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54.png" ContentType="image/png"/>
  <Override PartName="/word/media/rId73.png" ContentType="image/png"/>
  <Override PartName="/word/media/rId46.png" ContentType="image/png"/>
  <Override PartName="/word/media/rId20.png" ContentType="image/png"/>
  <Override PartName="/word/media/rId63.png" ContentType="image/png"/>
  <Override PartName="/word/media/rId50.png" ContentType="image/png"/>
  <Override PartName="/word/media/rId4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Machine Learning for Geographical Indications: A Scoping Review on Authentication, Certification and Open Data Ecosystems</w:t>
      </w:r>
    </w:p>
    <w:p>
      <w:pPr>
        <w:pStyle w:val="Author"/>
      </w:pPr>
      <w:r>
        <w:t xml:space="preserve">Catuxe Varjão de Santana Oliveira, Paulo Roberto Gagliardi, Luiz Diego Vidal Santos, Gustavo da Silva Quirino, Ana Karla de Souza Abud, Cristiane Toniolo Dias</w:t>
      </w:r>
    </w:p>
    <w:bookmarkStart w:id="17" w:name="resumo"/>
    <w:p>
      <w:pPr>
        <w:pStyle w:val="Ttulo1"/>
      </w:pPr>
      <w:r>
        <w:t xml:space="preserve">Resumo</w:t>
      </w:r>
    </w:p>
    <w:p>
      <w:pPr>
        <w:pStyle w:val="FirstParagraph"/>
      </w:pPr>
      <w:r>
        <w:t xml:space="preserve">As Indicações Geográficas (IGs) vinculam qualidade ao território, exigindo autenticação robusta. Embora o Aprendizado de Máquina (AM) ofereça potencial para esse domínio, a literatura carece de uma síntese sistemática. Esta revisão de escopo mapeou aplicações de AM em IGs, identificando algoritmos, produtos e rigor metodológico em 148 artigos revisados por pares (2010–2025), selecionados das bases Scopus e Web of Science após triagem de 272 registros. A metodologia integrou filtragem semântica automatizada (precisão de 94,2%), avaliação manual de qualidade (ICC=0,87) e análise estatística multivariada. Os resultados indicam um crescimento superior a 400% nas aplicações desde 2018, organizadas em três módulos tecnológicos principais: Random Forest com espectroscopia para vinhos, SVM com cromatografia para carnes e Deep Learning com sensores para chás. Apesar de a acurácia na autenticação ser alta (80–100%), a generalização permanece limitada; apenas 23% dos estudos empregaram validação espacialmente independente, observando-se degradação de desempenho de 2–15% e um viés de otimismo estatístico em 77% do corpus. Conclui-se que o AM discrimina eficazmente a origem, mas sua adoção regulatória exige protocolos de validação longitudinal, maior explicabilidade dos modelos e governança equitativa para integrar essas tecnologias aos sistemas de certificação de forma confiável.</w:t>
      </w:r>
    </w:p>
    <w:p>
      <w:pPr>
        <w:pStyle w:val="Corpodetexto"/>
      </w:pPr>
      <w:r>
        <w:rPr>
          <w:b/>
          <w:bCs/>
        </w:rPr>
        <w:t xml:space="preserve">Palavras-chave:</w:t>
      </w:r>
      <w:r>
        <w:t xml:space="preserve"> </w:t>
      </w:r>
      <w:r>
        <w:t xml:space="preserve">Geographical Indications; Machine Learning; Artificial Intelligence; Food Traceability; Agroecological Products; Intellectual Property; Territorial Justice; Scoping Review.</w:t>
      </w:r>
    </w:p>
    <w:bookmarkEnd w:id="17"/>
    <w:bookmarkStart w:id="18" w:name="introdução"/>
    <w:p>
      <w:pPr>
        <w:pStyle w:val="Ttulo1"/>
      </w:pPr>
      <w:r>
        <w:t xml:space="preserve">1. Introdução</w:t>
      </w:r>
    </w:p>
    <w:p>
      <w:pPr>
        <w:pStyle w:val="FirstParagraph"/>
      </w:pPr>
      <w:r>
        <w:t xml:space="preserve">As Indicações Geográficas (IGs) protegem territórios e produtos na economia do conhecimento, assegurando direitos exclusivos sobre produtos cuja qualidade, reputação e características derivam de sua origem geográfica</w:t>
      </w:r>
      <w:r>
        <w:t xml:space="preserve"> </w:t>
      </w:r>
      <w:r>
        <w:t xml:space="preserve">(Locatelli, 2008; WIPO, 2018)</w:t>
      </w:r>
      <w:r>
        <w:t xml:space="preserve">. Fundamentadas na Convenção de Berna</w:t>
      </w:r>
      <w:r>
        <w:t xml:space="preserve"> </w:t>
      </w:r>
      <w:r>
        <w:t xml:space="preserve">(</w:t>
      </w:r>
      <w:r>
        <w:rPr>
          <w:i/>
          <w:iCs/>
        </w:rPr>
        <w:t xml:space="preserve">Convenção de Berna para a Proteção das Obras Literárias e Artísticas</w:t>
      </w:r>
      <w:r>
        <w:t xml:space="preserve">, 1886)</w:t>
      </w:r>
      <w:r>
        <w:t xml:space="preserve"> </w:t>
      </w:r>
      <w:r>
        <w:t xml:space="preserve">e no Acordo TRIPS</w:t>
      </w:r>
      <w:r>
        <w:t xml:space="preserve"> </w:t>
      </w:r>
      <w:r>
        <w:t xml:space="preserve">(</w:t>
      </w:r>
      <w:r>
        <w:rPr>
          <w:i/>
          <w:iCs/>
        </w:rPr>
        <w:t xml:space="preserve">Agreement on Trade-Related Aspects of Intellectual Property Rights (TRIPS)</w:t>
      </w:r>
      <w:r>
        <w:t xml:space="preserve">, 1994)</w:t>
      </w:r>
      <w:r>
        <w:t xml:space="preserve">, as IGs conectam territórios produtivos e comunidades locais a mercados diferenciados, vinculando proteção de direitos à preservação do conhecimento tradicional</w:t>
      </w:r>
      <w:r>
        <w:t xml:space="preserve"> </w:t>
      </w:r>
      <w:r>
        <w:t xml:space="preserve">(Suh &amp; Macpherson, 2007)</w:t>
      </w:r>
      <w:r>
        <w:t xml:space="preserve">.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w:t>
      </w:r>
      <w:r>
        <w:t xml:space="preserve"> </w:t>
      </w:r>
      <w:r>
        <w:t xml:space="preserve">(Barney, 1991)</w:t>
      </w:r>
      <w:r>
        <w:t xml:space="preserve">. A apropriação de valor por meio das IGs transcende rentabilidade imediata, servindo como ancoragem para captura de valor futuro através de mercados diferenciados e disposição de consumidores em pagar preços premium por produtos com certificação de origem</w:t>
      </w:r>
      <w:r>
        <w:t xml:space="preserve"> </w:t>
      </w:r>
      <w:r>
        <w:t xml:space="preserve">(Loureiro &amp; McCluskey, 2002; Vázquez‐Fontes et al., 2010)</w:t>
      </w:r>
      <w:r>
        <w:t xml:space="preserve">.</w:t>
      </w:r>
    </w:p>
    <w:p>
      <w:pPr>
        <w:pStyle w:val="Corpodetexto"/>
      </w:pPr>
      <w:r>
        <w:t xml:space="preserve">No Brasil, as Indicações Geográficas são regulamentadas pela Lei da Propriedade Industrial, Lei nº 9.279 de 14 de maio de 1996, que estabelece dois tipos de reconhecimento com implicações jurídicas e econômicas distintas, Indicação de Procedência e Denominação de Origem</w:t>
      </w:r>
      <w:r>
        <w:t xml:space="preserve"> </w:t>
      </w:r>
      <w:r>
        <w:t xml:space="preserve">(Brasil, 1996)</w:t>
      </w:r>
      <w:r>
        <w:t xml:space="preserve">.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w:t>
      </w:r>
      <w:r>
        <w:t xml:space="preserve"> </w:t>
      </w:r>
      <w:r>
        <w:t xml:space="preserve">(MAPA, 2020)</w:t>
      </w:r>
      <w:r>
        <w:t xml:space="preserve">.</w:t>
      </w:r>
    </w:p>
    <w:p>
      <w:pPr>
        <w:pStyle w:val="Corpodetexto"/>
      </w:pPr>
      <w:r>
        <w:t xml:space="preserve">O controle deste tipo de registro é realizado pelo Instituto Nacional de Propriedade Intelectual (INPI), com apoio do Ministério da Agricultura, Pecuária e Abastecimento, que operacionaliza políticas de fomento e certificação de produtos agrícolas com identidade territorial</w:t>
      </w:r>
      <w:r>
        <w:t xml:space="preserve"> </w:t>
      </w:r>
      <w:r>
        <w:t xml:space="preserve">(MAPA, 2020)</w:t>
      </w:r>
      <w:r>
        <w:t xml:space="preserve">.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w:t>
      </w:r>
      <w:r>
        <w:t xml:space="preserve"> </w:t>
      </w:r>
      <w:r>
        <w:t xml:space="preserve">(Brasil, 2004, 2016)</w:t>
      </w:r>
      <w:r>
        <w:t xml:space="preserve">.</w:t>
      </w:r>
    </w:p>
    <w:p>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ou produtos vinícolas especializados, estão intimamente relacionadas a atributos geográficos da localização de produção, incluindo características edafoclimáticas (solo, clima, altitude) e métodos únicos de cultivo ou produção</w:t>
      </w:r>
      <w:r>
        <w:t xml:space="preserve"> </w:t>
      </w:r>
      <w:r>
        <w:t xml:space="preserve">(</w:t>
      </w:r>
      <w:r>
        <w:t xml:space="preserve">al.</w:t>
      </w:r>
      <w:r>
        <w:t xml:space="preserve">, 2011; Bureau &amp; Freitas, 2018; Fonzo &amp; Russo, 2015; H. G. Santos et al., 2018; J. C. Santos &amp; Santos, 2019)</w:t>
      </w:r>
      <w:r>
        <w:t xml:space="preserve">. A caracterização territorial desses produtos, necessária para o reconhecimento como Denominação de Origem conforme estabelecido no artigo 178 da Lei nº 9.279/1996</w:t>
      </w:r>
      <w:r>
        <w:t xml:space="preserve"> </w:t>
      </w:r>
      <w:r>
        <w:t xml:space="preserve">(Brasil, 1996)</w:t>
      </w:r>
      <w:r>
        <w:t xml:space="preserve">, demanda análises técnicas específicas que comprovem, com rigor científico, a relação entre qualidade e fatores geográficos</w:t>
      </w:r>
      <w:r>
        <w:t xml:space="preserve"> </w:t>
      </w:r>
      <w:r>
        <w:t xml:space="preserve">(Gonçalves-Maduro et al., 2020)</w:t>
      </w:r>
      <w:r>
        <w:t xml:space="preserve">. Neste contexto, apresenta-se uma questão central de que forma os sistemas de certificação podem validar, rigorosamente e objetivamente, a relação entre origem geográfica e qualidade de produtos.</w:t>
      </w:r>
    </w:p>
    <w:p>
      <w:pPr>
        <w:pStyle w:val="Corpodetexto"/>
      </w:pPr>
      <w:r>
        <w:t xml:space="preserve">As tecnologias de Aprendizado de Máquina (ML) emergem como resposta estratégica a essa lacuna, transmutando dados analíticos complexos em conhecimento certificável sobre autenticidade e origem. Diferentemente dos métodos de análise sensorial tradicionais, dependentes de expertise humana tácita e limitados pela subjetividade e escalabilidade, os algoritmos de ML operam sob uma lógica indutiva ou abdutiva. Eles processam automaticamente dados multidimensionais, identificando padrões não lineares e relações latentes que escapam à modelagem estatística clássica baseada em testes de hipóteses dedutivos. Essa capacidade de construir modelos com formas funcionais flexíveis permite revelar estruturas de dados não previamente especificadas pela teoria, conferindo robustez matemática à certificação territorial</w:t>
      </w:r>
      <w:r>
        <w:t xml:space="preserve"> </w:t>
      </w:r>
      <w:r>
        <w:t xml:space="preserve">(R. C. Chen et al., 2020; Ramos et al., 2025)</w:t>
      </w:r>
      <w:r>
        <w:t xml:space="preserve">.</w:t>
      </w:r>
    </w:p>
    <w:p>
      <w:pPr>
        <w:pStyle w:val="Corpodetexto"/>
      </w:pPr>
      <w:r>
        <w:t xml:space="preserve">No âmbito das Indicações Geográficas, o Machine Learning tem sido mobilizado para autenticação de origem, detecção de fraudes, controle preditivo de qualidade e rastreabilidade integral, operando sobre assinaturas químicas, isotópicas, espectrais e geoespaciais que capturam a relação entre produto e território</w:t>
      </w:r>
      <w:r>
        <w:t xml:space="preserve"> </w:t>
      </w:r>
      <w:r>
        <w:t xml:space="preserve">(Acquarelli et al., 2021; Longo et al., 2021; Rana et al., 2023; Rodrigues et al., 2022)</w:t>
      </w:r>
      <w:r>
        <w:t xml:space="preserve">. Essas aplicações demonstram que a integração entre dados instrumentais de alta dimensionalidade e modelos supervisionados permite discriminar origens, identificar adulterações e estimar atributos sensoriais e físico‑químicos com precisão compatível com requisitos de certificação</w:t>
      </w:r>
      <w:r>
        <w:t xml:space="preserve"> </w:t>
      </w:r>
      <w:r>
        <w:t xml:space="preserve">(Jiang et al., 2025; Y. Li et al., 2025; Peng et al., 2025; Santomá-Martí et al., 2025; Wang et al., 2025)</w:t>
      </w:r>
      <w:r>
        <w:t xml:space="preserve">.</w:t>
      </w:r>
    </w:p>
    <w:p>
      <w:pPr>
        <w:pStyle w:val="Corpodetexto"/>
      </w:pPr>
      <w:r>
        <w:t xml:space="preserve">A seleção de variáveis e a escolha de algoritmos, em particular Random Forest, SVM, PLS‑DA, PCA e métodos de seleção como Boruta e RFE, deixam de ser apenas decisões técnicas para se tornar componente da arquitetura regulatória, pois definem quais marcadores territoriais serão reconhecidos como evidências de autenticidade</w:t>
      </w:r>
      <w:r>
        <w:t xml:space="preserve"> </w:t>
      </w:r>
      <w:r>
        <w:t xml:space="preserve">(R. C. Chen et al., 2020; Effrosynidis &amp; Arampatzis, 2021; Iranzad &amp; Liu, 2025; Loyal et al., 2022; Malik et al., 2023; Rebiai et al., 2022;</w:t>
      </w:r>
      <w:r>
        <w:t xml:space="preserve"> </w:t>
      </w:r>
      <w:r>
        <w:t xml:space="preserve">Salam et al.</w:t>
      </w:r>
      <w:r>
        <w:t xml:space="preserve">, 2021)</w:t>
      </w:r>
      <w:r>
        <w:t xml:space="preserve">.</w:t>
      </w:r>
    </w:p>
    <w:p>
      <w:pPr>
        <w:pStyle w:val="Corpodetexto"/>
      </w:pPr>
      <w:r>
        <w:t xml:space="preserve">Apesar do interesse acadêmico e tecnológico atual, não existem revisões de escopo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pPr>
        <w:pStyle w:val="Corpodetexto"/>
      </w:pPr>
      <w:r>
        <w:t xml:space="preserve">Esta revisão de escopo busca mapear sistematicamente as aplicações de Machine Learning em Indicações Geográficas, utilizando o framework PCC (</w:t>
      </w:r>
      <w:r>
        <w:rPr>
          <w:i/>
          <w:iCs/>
        </w:rPr>
        <w:t xml:space="preserve">Population, Concept, Context</w:t>
      </w:r>
      <w:r>
        <w:t xml:space="preserve">)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bookmarkEnd w:id="18"/>
    <w:bookmarkStart w:id="40" w:name="materiais-e-métodos"/>
    <w:p>
      <w:pPr>
        <w:pStyle w:val="Ttulo1"/>
      </w:pPr>
      <w:r>
        <w:t xml:space="preserve">2. Materiais e Métodos</w:t>
      </w:r>
    </w:p>
    <w:p>
      <w:pPr>
        <w:pStyle w:val="FirstParagraph"/>
      </w:pPr>
      <w:r>
        <w:t xml:space="preserve">Esta revisão de escopo segue as diretrizes da extensão PRISMA-ScR (</w:t>
      </w:r>
      <w:r>
        <w:rPr>
          <w:i/>
          <w:iCs/>
        </w:rPr>
        <w:t xml:space="preserve">Preferred Reporting Items for Systematic Reviews and Meta-Analyses extension for Scoping Reviews</w:t>
      </w:r>
      <w:r>
        <w:t xml:space="preserve">) para garantir transparência e reprodutibilidade metodológica. O protocolo foi registrado no Open Science Framework, facilitando o acesso público e a replicabilidade.</w:t>
      </w:r>
    </w:p>
    <w:bookmarkStart w:id="19" w:name="questão-de-pesquisa"/>
    <w:p>
      <w:pPr>
        <w:pStyle w:val="Ttulo2"/>
      </w:pPr>
      <w:r>
        <w:t xml:space="preserve">2.1 Questão de Pesquisa</w:t>
      </w:r>
    </w:p>
    <w:p>
      <w:pPr>
        <w:pStyle w:val="FirstParagraph"/>
      </w:pPr>
      <w:r>
        <w:t xml:space="preserve">O estudo foi estruturado utilizando o framework PCC (</w:t>
      </w:r>
      <w:r>
        <w:rPr>
          <w:i/>
          <w:iCs/>
        </w:rPr>
        <w:t xml:space="preserve">Population, Concept, Context</w:t>
      </w:r>
      <w:r>
        <w:t xml:space="preserve">), que fundamenta a questão de pesquisa:</w:t>
      </w:r>
      <w:r>
        <w:t xml:space="preserve"> </w:t>
      </w:r>
      <w:r>
        <w:rPr>
          <w:i/>
          <w:iCs/>
        </w:rPr>
        <w:t xml:space="preserve">Como técnicas de Aprendizado de Máquina têm sido aplicadas para autenticação, avaliação e apoio à decisão em sistemas de Indicações Geográficas?</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artesanatos e outros produtos com identidade territorial.</w:t>
            </w:r>
          </w:p>
        </w:tc>
      </w:tr>
      <w:tr>
        <w:tc>
          <w:tcPr/>
          <w:p>
            <w:pPr>
              <w:pStyle w:val="Compact"/>
              <w:jc w:val="left"/>
            </w:pPr>
            <w:r>
              <w:rPr>
                <w:b/>
                <w:bCs/>
              </w:rPr>
              <w:t xml:space="preserve">C (Conceito)</w:t>
            </w:r>
          </w:p>
        </w:tc>
        <w:tc>
          <w:tcPr/>
          <w:p>
            <w:pPr>
              <w:pStyle w:val="Compact"/>
              <w:jc w:val="left"/>
            </w:pPr>
            <w:r>
              <w:t xml:space="preserve">Técnicas de 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rPr>
          <w:i/>
          <w:iCs/>
        </w:rPr>
        <w:t xml:space="preserve">Tabela 1. Estrutura da revisão de escopo segundo o framework PCC.</w:t>
      </w:r>
    </w:p>
    <w:p>
      <w:pPr>
        <w:pStyle w:val="Corpodetexto"/>
      </w:pPr>
      <w:r>
        <w:t xml:space="preserve">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da revisão de escopo, estruturado em quatro fases sequenciais segundo as diretrizes PRISMA-ScR: (1) Estratégia de Busca nas principais bases de dados, (2) Filtragem Automatizada com sistema de pontuação ponderada, (3) Análise Manual de Qualidade com avaliação multidisciplinar, e (4) Análise Bibliométrica e Síntese Qualitativa** integrando metodologias quantitativas e documentais. O fluxograma detalha o percurso metodológico desde a identificação de registros até a síntese final com recomendações para implementação de Machine Learning em sistemas de Indicações Geográficas.</w:t>
      </w:r>
    </w:p>
    <w:bookmarkStart w:id="23" w:name="fig:ml_indicacoes"/>
    <w:p>
      <w:pPr>
        <w:pStyle w:val="CaptionedFigure"/>
      </w:pPr>
      <w:r>
        <w:drawing>
          <wp:inline>
            <wp:extent cx="4480560" cy="1451884"/>
            <wp:effectExtent b="0" l="0" r="0" t="0"/>
            <wp:docPr descr="Fluxograma da revisão de Escopo sobre Aplicações de Machine Learning em Indicações Geográficas." title="" id="21" name="Picture"/>
            <a:graphic>
              <a:graphicData uri="http://schemas.openxmlformats.org/drawingml/2006/picture">
                <pic:pic>
                  <pic:nvPicPr>
                    <pic:cNvPr descr="2-FIGURAS/2-EN/ml_indicacoes_geograficas.png" id="22" name="Picture"/>
                    <pic:cNvPicPr>
                      <a:picLocks noChangeArrowheads="1" noChangeAspect="1"/>
                    </pic:cNvPicPr>
                  </pic:nvPicPr>
                  <pic:blipFill>
                    <a:blip r:embed="rId20"/>
                    <a:stretch>
                      <a:fillRect/>
                    </a:stretch>
                  </pic:blipFill>
                  <pic:spPr bwMode="auto">
                    <a:xfrm>
                      <a:off x="0" y="0"/>
                      <a:ext cx="4480560" cy="1451884"/>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23"/>
    <w:bookmarkEnd w:id="24"/>
    <w:bookmarkStart w:id="25" w:name="X1939699e69c4ebc2787c0544392a7c3067c801c"/>
    <w:p>
      <w:pPr>
        <w:pStyle w:val="Ttulo2"/>
      </w:pPr>
      <w:r>
        <w:t xml:space="preserve">2.3 Estratégia de Busca e Extração dos Estudos</w:t>
      </w:r>
    </w:p>
    <w:p>
      <w:pPr>
        <w:pStyle w:val="FirstParagraph"/>
      </w:pPr>
      <w:r>
        <w:t xml:space="preserve">A busca foi realizada nas bases de dados científicas Scopus (Elsevier) e Web of Science (Clarivate Analytics). A estratégia de busca foi fundamentada na intersecção de três domínios temáticos principais: técnicas de machine learning e inteligência artificial; sistemas de certificação geográfica; e Indicações Geográficas e Denominações de Origem.</w:t>
      </w:r>
    </w:p>
    <w:p>
      <w:pPr>
        <w:pStyle w:val="Corpodetexto"/>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Os critérios de inclusão contemplaram os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p>
      <w:pPr>
        <w:pStyle w:val="Corpodetexto"/>
      </w:pPr>
      <w:r>
        <w:t xml:space="preserve">Para a extração de dados, foi elaborado um formulário padronizado onde foram registradas as seguintes variáveis de cada estudo que incluiram metadados bibliográficos (autor, ano, título), características geográficas (país de origem, região, tipo de IG), detalhes do produto (categoria, denominação específica), abordagem metodológica (algoritmos de ML, técnicas analíticas/instrumentais, tamanho da amostra) e métricas de desempenho (acurácia, sensibilidade, especificidade, RMSE).</w:t>
      </w:r>
    </w:p>
    <w:bookmarkEnd w:id="25"/>
    <w:bookmarkStart w:id="30" w:name="X19c91b0939485640128d6824b4fe0a12aa5aa83"/>
    <w:p>
      <w:pPr>
        <w:pStyle w:val="Ttulo2"/>
      </w:pPr>
      <w:r>
        <w:t xml:space="preserve">2.4 Primeira Fase: Sistema de Filtragem Automatizada por Relevância Temática</w:t>
      </w:r>
    </w:p>
    <w:bookmarkStart w:id="26" w:name="algoritmo-de-pontuação-ponderada"/>
    <w:p>
      <w:pPr>
        <w:pStyle w:val="Ttulo3"/>
      </w:pPr>
      <w:r>
        <w:t xml:space="preserve">2.4.1 Algoritmo de Pontuação Ponderada</w:t>
      </w:r>
    </w:p>
    <w:p>
      <w:pPr>
        <w:pStyle w:val="FirstParagraph"/>
      </w:pPr>
      <w:r>
        <w:t xml:space="preserve">Para complementar a triagem manual, foi desenvolvido um sistema de filtragem automatizada que atribui pontuações de relevância temática aos registros com base na presença e na localização de descritores específicos em título, resumo e palavras‑chave. O algoritmo foi implementado em Python (NLTK, spaCy) e estruturado como um esquema de pesos hierárquicos aplicado a cada termo identificado. O sistema de pontuação seguiu princípios do Método de Análise Hierárquica (AHP) representado na Equação 1, organizando os descritores em cinco categorias com pesos diferenciados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do termo (1,5 para título, 1,2 para palavras‑chave, 1,0 para abstract)</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Termos Prioritários (5 pontos) representam o núcleo conceitual da revisão e incluem expressões como</w:t>
      </w:r>
      <w:r>
        <w:t xml:space="preserve"> </w:t>
      </w:r>
      <w:r>
        <w:rPr>
          <w:i/>
          <w:iCs/>
        </w:rPr>
        <w:t xml:space="preserve">geographical indications, denominations of origin, appellations of origin, protected designations of origin, traceability, authentication, quality control</w:t>
      </w:r>
      <w:r>
        <w:t xml:space="preserve">. Termos de Alta Relevância (3 pontos) capturam conceitos metodológicos centrais, como</w:t>
      </w:r>
      <w:r>
        <w:t xml:space="preserve"> </w:t>
      </w:r>
      <w:r>
        <w:rPr>
          <w:i/>
          <w:iCs/>
        </w:rPr>
        <w:t xml:space="preserve">machine learning, artificial intelligence, deep learning, neural networks, fraud detection, geospatial analysis</w:t>
      </w:r>
      <w:r>
        <w:t xml:space="preserve">. Termos de Relevância Média (2 pontos) cobrem temas complementares, a exemplo de</w:t>
      </w:r>
      <w:r>
        <w:t xml:space="preserve"> </w:t>
      </w:r>
      <w:r>
        <w:rPr>
          <w:i/>
          <w:iCs/>
        </w:rPr>
        <w:t xml:space="preserve">chemometrics, data mining, classification</w:t>
      </w:r>
      <w:r>
        <w:t xml:space="preserve">, enquanto Termos de Contexto (1 ponto) indicam ambientes ou aplicações potenciais, como</w:t>
      </w:r>
      <w:r>
        <w:t xml:space="preserve"> </w:t>
      </w:r>
      <w:r>
        <w:rPr>
          <w:i/>
          <w:iCs/>
        </w:rPr>
        <w:t xml:space="preserve">regional products, certification, prediction, validation</w:t>
      </w:r>
      <w:r>
        <w:t xml:space="preserve">. Termos de Exclusão recebem pesos negativos e penalizam registros fora do escopo, sobretudo em domínios como</w:t>
      </w:r>
      <w:r>
        <w:t xml:space="preserve"> </w:t>
      </w:r>
      <w:r>
        <w:rPr>
          <w:i/>
          <w:iCs/>
        </w:rPr>
        <w:t xml:space="preserve">medical/clinical/pharmaceutical</w:t>
      </w:r>
      <w:r>
        <w:t xml:space="preserve"> </w:t>
      </w:r>
      <w:r>
        <w:t xml:space="preserve">(−5),</w:t>
      </w:r>
      <w:r>
        <w:t xml:space="preserve"> </w:t>
      </w:r>
      <w:r>
        <w:rPr>
          <w:i/>
          <w:iCs/>
        </w:rPr>
        <w:t xml:space="preserve">urban planning/smart cities</w:t>
      </w:r>
      <w:r>
        <w:t xml:space="preserve"> </w:t>
      </w:r>
      <w:r>
        <w:t xml:space="preserve">(−3) e</w:t>
      </w:r>
      <w:r>
        <w:t xml:space="preserve"> </w:t>
      </w:r>
      <w:r>
        <w:rPr>
          <w:i/>
          <w:iCs/>
        </w:rPr>
        <w:t xml:space="preserve">finance/economics/business</w:t>
      </w:r>
      <w:r>
        <w:t xml:space="preserve"> </w:t>
      </w:r>
      <w:r>
        <w:t xml:space="preserve">(−2)</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6"/>
    <w:bookmarkStart w:id="27" w:name="implementação-e-validação-do-sistema"/>
    <w:p>
      <w:pPr>
        <w:pStyle w:val="Ttulo3"/>
      </w:pPr>
      <w:r>
        <w:t xml:space="preserve">2.4.2 Implementação e Validação do Sistema</w:t>
      </w:r>
    </w:p>
    <w:p>
      <w:pPr>
        <w:pStyle w:val="FirstParagraph"/>
      </w:pPr>
      <w:r>
        <w:t xml:space="preserve">Para cada registro, o algoritmo varre título, resumo e palavras‑chave, aplica os pesos definidos para cada categoria de termo (Prioritário = 5; Alta Relevância = 3; Relevância Média = 2; Contexto = 1; Exclusão = valores negativos) e multiplica cada ocorrência pelo fator de localização correspondente (1,5 para título, 1,2 para palavras‑chave, 1,0 para resumo). A pontuação final é a soma desses produtos ao longo de todos os termos identificados em cada registro.</w:t>
      </w:r>
    </w:p>
    <w:p>
      <w:pPr>
        <w:pStyle w:val="Corpodetexto"/>
      </w:pPr>
      <w:r>
        <w:t xml:space="preserve">O limiar mínimo de inclusão foi definido a partir da distribuição empírica das pontuações, identificando-se o ponto de inflexão na curva acumulada (critério tipo Pareto/elbow) e ajustando-o por validação manual com amostragem estratificada de registros contendo termos‑chave como</w:t>
      </w:r>
      <w:r>
        <w:t xml:space="preserve"> </w:t>
      </w:r>
      <w:r>
        <w:rPr>
          <w:i/>
          <w:iCs/>
        </w:rPr>
        <w:t xml:space="preserve">machine learning</w:t>
      </w:r>
      <w:r>
        <w:t xml:space="preserve">,</w:t>
      </w:r>
      <w:r>
        <w:t xml:space="preserve"> </w:t>
      </w:r>
      <w:r>
        <w:rPr>
          <w:i/>
          <w:iCs/>
        </w:rPr>
        <w:t xml:space="preserve">geographical indications</w:t>
      </w:r>
      <w:r>
        <w:t xml:space="preserve"> </w:t>
      </w:r>
      <w:r>
        <w:t xml:space="preserve">e</w:t>
      </w:r>
      <w:r>
        <w:t xml:space="preserve"> </w:t>
      </w:r>
      <w:r>
        <w:rPr>
          <w:i/>
          <w:iCs/>
        </w:rPr>
        <w:t xml:space="preserve">authentication</w:t>
      </w:r>
      <w:r>
        <w:t xml:space="preserve">. O valor final representou o melhor compromisso entre sensibilidade e especificidade, estabilizando a concordância interavaliadores nos casos limítrofes.</w:t>
      </w:r>
    </w:p>
    <w:bookmarkEnd w:id="27"/>
    <w:bookmarkStart w:id="28" w:name="X1bd208d3063693f893a5ebd052bdbe8aa16c823"/>
    <w:p>
      <w:pPr>
        <w:pStyle w:val="Ttulo3"/>
      </w:pPr>
      <w:r>
        <w:t xml:space="preserve">2.4.3 Validação Participativa e Refinamento Algorítmico</w:t>
      </w:r>
    </w:p>
    <w:p>
      <w:pPr>
        <w:pStyle w:val="FirstParagraph"/>
      </w:pPr>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w:t>
      </w:r>
      <w:r>
        <w:t xml:space="preserve"> </w:t>
      </w:r>
      <w:r>
        <w:t xml:space="preserve">(</w:t>
      </w:r>
      <w:r>
        <w:t xml:space="preserve">Tricco, Lillie, et al.</w:t>
      </w:r>
      <w:r>
        <w:t xml:space="preserve">, 2018)</w:t>
      </w:r>
      <w:r>
        <w:t xml:space="preserve">.</w:t>
      </w:r>
    </w:p>
    <w:p>
      <w:pPr>
        <w:pStyle w:val="Corpodetexto"/>
      </w:pPr>
      <w:r>
        <w:t xml:space="preserve">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A validação resultou em uma taxa de concordância de 90,2% entre o sistema automatizado e a avaliação manual, indicando boa eficácia do algoritmo na triagem temática.</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Foi desenvolvido sistema automatizado para verificar a cobertura bibliográfica das citações metodológicas. O procedimento avalia completude e consistência da base de referências, garantindo rastreabilidade entre citações textuais e arquivos bibliográficos.</w:t>
      </w:r>
    </w:p>
    <w:p>
      <w:pPr>
        <w:pStyle w:val="Corpodetexto"/>
      </w:pPr>
      <w:r>
        <w:t xml:space="preserve">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w:t>
      </w:r>
      <w:r>
        <w:t xml:space="preserve"> </w:t>
      </w:r>
      <w:r>
        <w:t xml:space="preserve">(Ofori-Boateng et al., 2024; Sawicki et al., 2023)</w:t>
      </w:r>
      <w:r>
        <w:t xml:space="preserve">. Foi construído pipeline computacional que extrai, tokeniza e vetorializa metadados e resumos das referências, usando modelos supervisionados e regras semânticas para reconhecimento de padrões</w:t>
      </w:r>
      <w:r>
        <w:t xml:space="preserve"> </w:t>
      </w:r>
      <w:r>
        <w:t xml:space="preserve">(Casey et al., 2021; Young et al., 2019)</w:t>
      </w:r>
      <w:r>
        <w:t xml:space="preserve">. As referências foram classificadas em categorias metodológicas previamente definidas, abrangendo áreas como técnicas de aprendizado de máquina e sistemas de indicações geográficas.</w:t>
      </w:r>
    </w:p>
    <w:p>
      <w:pPr>
        <w:pStyle w:val="Corpodetexto"/>
      </w:pPr>
      <w:r>
        <w:t xml:space="preserve">Para quantificação da cobertura bibliográfica e adequação dos estudos selecionados, foram aplicadas métricas de cobertura de citações e taxa de uso do corpus bibliográfico</w:t>
      </w:r>
      <w:r>
        <w:t xml:space="preserve"> </w:t>
      </w:r>
      <w:r>
        <w:t xml:space="preserve">(Tranfield et al., 2003; Webster &amp; Watson, 2002)</w:t>
      </w:r>
      <w:r>
        <w:t xml:space="preserve">. A partir dessas métricas é possível avaliar quantitativamente a utilização efetiva da base de referências e garantir que os estudos selecionados reflitam adequadamente o escopo temático da revisão.</w:t>
      </w:r>
    </w:p>
    <w:bookmarkEnd w:id="29"/>
    <w:bookmarkEnd w:id="30"/>
    <w:bookmarkStart w:id="33" w:name="X60ba370774735ab4dcbf3df0484936abf0a5e44"/>
    <w:p>
      <w:pPr>
        <w:pStyle w:val="Ttulo2"/>
      </w:pPr>
      <w:r>
        <w:t xml:space="preserve">2.5 Segunda Fase: Análise Manual de Qualidade Metodológica</w:t>
      </w:r>
    </w:p>
    <w:p>
      <w:pPr>
        <w:pStyle w:val="FirstParagraph"/>
      </w:pPr>
      <w:r>
        <w:t xml:space="preserve">Na segunda fase, três revisores independentes avaliaram manualmente a qualidade metodológica dos estudos selecionados, assegurando análise multidisciplinar e reduzindo vieses interpretativos. Adaptamos a escala MMAT</w:t>
      </w:r>
      <w:r>
        <w:t xml:space="preserve"> </w:t>
      </w:r>
      <w:r>
        <w:t xml:space="preserve">(</w:t>
      </w:r>
      <w:r>
        <w:t xml:space="preserve">Hong et al.</w:t>
      </w:r>
      <w:r>
        <w:t xml:space="preserve">, 2018; Pluye et al., 2009)</w:t>
      </w:r>
      <w:r>
        <w:t xml:space="preserve"> </w:t>
      </w:r>
      <w:r>
        <w:t xml:space="preserve">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generalizabilidade dos métodos (Tabela 2).</w:t>
      </w:r>
    </w:p>
    <w:p>
      <w:pPr>
        <w:pStyle w:val="Corpodetexto"/>
      </w:pPr>
      <w:r>
        <w:t xml:space="preserve">Cada indicador recebeu pontuação de 0 a 2, sendo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w:t>
      </w:r>
      <w:r>
        <w:t xml:space="preserve"> </w:t>
      </w:r>
      <w:r>
        <w:t xml:space="preserve">(Surname &amp; Surname, 2025)</w:t>
      </w:r>
      <w:r>
        <w:t xml:space="preserve">.</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dos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Aderência a protocolos éticos para pesquisa com comunidades produtivas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dos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quantitativos e qualitativos territoriais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dos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Generalizabilidade e transferibilidade dos métodos propostos</w:t>
            </w:r>
          </w:p>
        </w:tc>
        <w:tc>
          <w:tcPr/>
          <w:p>
            <w:pPr>
              <w:pStyle w:val="Compact"/>
            </w:pPr>
            <w:r>
              <w:t xml:space="preserve">Qualidade Científica</w:t>
            </w:r>
          </w:p>
        </w:tc>
      </w:tr>
    </w:tbl>
    <w:p>
      <w:pPr>
        <w:pStyle w:val="Corpodetexto"/>
      </w:pPr>
      <w:r>
        <w:rPr>
          <w:i/>
          <w:iCs/>
        </w:rPr>
        <w:t xml:space="preserve">Tabela 2. Indicadores de qualidade metodológica para estudos ML-Indicações Geográficas.</w:t>
      </w:r>
    </w:p>
    <w:bookmarkStart w:id="31" w:name="X26093f460acc1ad64d60305f75f283585ca96d1"/>
    <w:p>
      <w:pPr>
        <w:pStyle w:val="Ttulo3"/>
      </w:pPr>
      <w:r>
        <w:t xml:space="preserve">2.5.1 Procedimentos de Consenso e Validação Interavaliadores</w:t>
      </w:r>
    </w:p>
    <w:p>
      <w:pPr>
        <w:pStyle w:val="FirstParagraph"/>
      </w:pPr>
      <w:r>
        <w:t xml:space="preserve">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 O coeficiente de correlação intraclasse (ICC) foi calculado conforme</w:t>
      </w:r>
      <w:r>
        <w:t xml:space="preserve"> </w:t>
      </w:r>
      <w:r>
        <w:t xml:space="preserve">Shrout &amp; Fleiss (1979)</w:t>
      </w:r>
      <w:r>
        <w:t xml:space="preserve">, obtendo-se valor igual a 0,87 com intervalo de confiança de 95% entre 0,84 e 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Considerando a natureza interdisciplinar dos estudos analisados, foram estabelecidos critérios de qualidade que examinam a coerência na integração entre métodos quantitativos e qualitativos territoriais, a validação dos resultados em múltiplos contextos geográficos, o grau de transparência algorítmica (documentação de código, dados e procedimentos), a aderência a protocolos éticos específicos para comunidades produtivas e a aplicabilidade prática dos achados para certificação e valorização territorial em sistemas de Indicações Geográficas.</w:t>
      </w:r>
    </w:p>
    <w:p>
      <w:pPr>
        <w:pStyle w:val="Corpodetexto"/>
      </w:pPr>
      <w:r>
        <w:t xml:space="preserve">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bookmarkEnd w:id="32"/>
    <w:bookmarkEnd w:id="33"/>
    <w:bookmarkStart w:id="34" w:name="terceira-fase-análise-bibliométrica"/>
    <w:p>
      <w:pPr>
        <w:pStyle w:val="Ttulo2"/>
      </w:pPr>
      <w:r>
        <w:t xml:space="preserve">2.6 Terceira Fase: Análise Bibliométrica</w:t>
      </w:r>
    </w:p>
    <w:p>
      <w:pPr>
        <w:pStyle w:val="FirstParagraph"/>
      </w:pPr>
      <w:r>
        <w:t xml:space="preserve">Na terceira fase, foi analisada a produtividade científica através da Lei de Lotka</w:t>
      </w:r>
      <w:r>
        <w:t xml:space="preserve"> </w:t>
      </w:r>
      <w:r>
        <w:t xml:space="preserve">(Lotka, 1926)</w:t>
      </w:r>
      <w:r>
        <w:t xml:space="preserve">, que examina a distribuição de autores segundo o número de publicações. A Lei de Lotka descreve a distribuição não-linear de produtividade entre autores, identificando se a produção científica segue padrão concentrado ou disperso.</w:t>
      </w:r>
    </w:p>
    <w:p>
      <w:pPr>
        <w:pStyle w:val="Corpodetexto"/>
      </w:pPr>
      <w:r>
        <w:t xml:space="preserve">A análise de cocitação e acoplamento bibliográfico não foram realizadas devido à ausência de campos de referências citadas nos arquivos bibliográficos disponíveis.</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Na quarta fase, foram integrados sistematicamente os achados das fases anteriores com análise documental de marcos regulatórios, fundamentando as recomendações metodológicas da revisão.</w:t>
      </w:r>
    </w:p>
    <w:p>
      <w:pPr>
        <w:pStyle w:val="Corpodetexto"/>
      </w:pPr>
      <w:r>
        <w:t xml:space="preserve">A síntese final combinou análise qualitativa temática com seleção baseada no princípio de Pareto (80/20), priorizando os 20% dos artigos com maior pontuação combinada (40% qualidade metodológica, 35% relevância temática, 25% impacto bibliométrico).</w:t>
      </w:r>
    </w:p>
    <w:p>
      <w:pPr>
        <w:pStyle w:val="Corpodetexto"/>
      </w:pPr>
      <w:r>
        <w:t xml:space="preserve">A pontuação combinada final foi calculada pela Equação 2.</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35"/>
    <w:bookmarkStart w:id="39" w:name="análises-estatísticas"/>
    <w:p>
      <w:pPr>
        <w:pStyle w:val="Ttulo2"/>
      </w:pPr>
      <w:r>
        <w:t xml:space="preserve">2.8 Análises Estatísticas</w:t>
      </w:r>
    </w:p>
    <w:p>
      <w:pPr>
        <w:pStyle w:val="FirstParagraph"/>
      </w:pPr>
      <w:r>
        <w:t xml:space="preserve">Para caracterizar sistematicamente o corpus bibliográfico e identificar padrões emergentes, as análises estatísticas foram implementadas no ambiente R</w:t>
      </w:r>
      <w:r>
        <w:t xml:space="preserve"> </w:t>
      </w:r>
      <w:r>
        <w:t xml:space="preserve">(R. C. Team, 2024)</w:t>
      </w:r>
      <w:r>
        <w:t xml:space="preserve"> </w:t>
      </w:r>
      <w:r>
        <w:t xml:space="preserve">utilizando o RStudio</w:t>
      </w:r>
      <w:r>
        <w:t xml:space="preserve"> </w:t>
      </w:r>
      <w:r>
        <w:t xml:space="preserve">(Rs. Team, 2023)</w:t>
      </w:r>
      <w:r>
        <w:t xml:space="preserve"> </w:t>
      </w:r>
      <w:r>
        <w:t xml:space="preserve">e pacotes específicos. A Análise de Correspondência Múltipla (MCA) foi adotada para investigar associações entre variáveis categóricas (algoritmos, produtos, regiões, técnicas analíticas), conforme metodologia consolidada por</w:t>
      </w:r>
      <w:r>
        <w:t xml:space="preserve"> </w:t>
      </w:r>
      <w:r>
        <w:t xml:space="preserve">Lê et al. (2008)</w:t>
      </w:r>
      <w:r>
        <w:t xml:space="preserve"> </w:t>
      </w:r>
      <w:r>
        <w:t xml:space="preserve">e</w:t>
      </w:r>
      <w:r>
        <w:t xml:space="preserve"> </w:t>
      </w:r>
      <w:r>
        <w:t xml:space="preserve">Greenacre (2017)</w:t>
      </w:r>
      <w:r>
        <w:t xml:space="preserve">, utilizando o pacote</w:t>
      </w:r>
      <w:r>
        <w:t xml:space="preserve"> </w:t>
      </w:r>
      <w:r>
        <w:rPr>
          <w:rStyle w:val="VerbatimChar"/>
        </w:rPr>
        <w:t xml:space="preserve">FactoMineR</w:t>
      </w:r>
      <w:r>
        <w:t xml:space="preserve"> </w:t>
      </w:r>
      <w:r>
        <w:t xml:space="preserve">para extração das dimensões principais e interpretação das relações conceituais da área. Com base nas mesmas variáveis, procedeu-se, em seguida, à Análise de Clusters (k-means e hierárquica), implementada com</w:t>
      </w:r>
      <w:r>
        <w:t xml:space="preserve"> </w:t>
      </w:r>
      <w:r>
        <w:rPr>
          <w:rStyle w:val="VerbatimChar"/>
        </w:rPr>
        <w:t xml:space="preserve">FactoMineR</w:t>
      </w:r>
      <w:r>
        <w:t xml:space="preserve"> </w:t>
      </w:r>
      <w:r>
        <w:t xml:space="preserve">e</w:t>
      </w:r>
      <w:r>
        <w:t xml:space="preserve"> </w:t>
      </w:r>
      <w:r>
        <w:rPr>
          <w:rStyle w:val="VerbatimChar"/>
        </w:rPr>
        <w:t xml:space="preserve">factoextra</w:t>
      </w:r>
      <w:r>
        <w:t xml:space="preserve">, para identificar agrupamentos recorrentes de combinações produto‑instrumento‑algoritmo, que sintetizam as “famílias tecnológicas” discutidas na seção 3.8.</w:t>
      </w:r>
    </w:p>
    <w:p>
      <w:pPr>
        <w:pStyle w:val="Corpodetexto"/>
      </w:pPr>
      <w:r>
        <w:t xml:space="preserve">A análise de redes foi implementada para mapear coocorrências entre algoritmos, produtos e regiões, seguindo procedimentos de análise de redes complexas</w:t>
      </w:r>
      <w:r>
        <w:t xml:space="preserve"> </w:t>
      </w:r>
      <w:r>
        <w:t xml:space="preserve">(Csárdi &amp; Nepusz, 2006; Schoch, 2020)</w:t>
      </w:r>
      <w:r>
        <w:t xml:space="preserve">. Utilizando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foi construído grafo não direcionado com cálculo de centralidades de grau, autovetor e intermediação, e a detecção de comunidades foi realizada com o algoritmo de Louvain</w:t>
      </w:r>
      <w:r>
        <w:t xml:space="preserve"> </w:t>
      </w:r>
      <w:r>
        <w:t xml:space="preserve">(Blondel et al., 2008)</w:t>
      </w:r>
      <w:r>
        <w:t xml:space="preserve"> </w:t>
      </w:r>
      <w:r>
        <w:t xml:space="preserve">para identificar módulos temáticos, cujos resultados estruturam as interpretações apresentadas na seção 3.9.</w:t>
      </w:r>
    </w:p>
    <w:p>
      <w:pPr>
        <w:pStyle w:val="Corpodetexto"/>
      </w:pPr>
      <w:r>
        <w:t xml:space="preserve">A evolução temporal das publicações (2010–2025) foi analisada por meio de séries temporais e tendência não paramétrica, empregando o teste de correlação de Spearman</w:t>
      </w:r>
      <w:r>
        <w:t xml:space="preserve"> </w:t>
      </w:r>
      <w:r>
        <w:t xml:space="preserve">(Spearman, 1904)</w:t>
      </w:r>
      <w:r>
        <w:t xml:space="preserve"> </w:t>
      </w:r>
      <w:r>
        <w:t xml:space="preserve">para detectar tendências significativas no número de estudos por ano e na adoção relativa dos principais algoritmos. As visualizações foram geradas com o pacote</w:t>
      </w:r>
      <w:r>
        <w:t xml:space="preserve"> </w:t>
      </w:r>
      <w:r>
        <w:rPr>
          <w:rStyle w:val="VerbatimChar"/>
        </w:rPr>
        <w:t xml:space="preserve">ggplot2</w:t>
      </w:r>
      <w:r>
        <w:t xml:space="preserve">, utilizando suavização LOESS</w:t>
      </w:r>
      <w:r>
        <w:t xml:space="preserve"> </w:t>
      </w:r>
      <w:r>
        <w:t xml:space="preserve">(Cleveland, 1979)</w:t>
      </w:r>
      <w:r>
        <w:t xml:space="preserve"> </w:t>
      </w:r>
      <w:r>
        <w:t xml:space="preserve">para ilustrar a dinâmica de crescimento do campo e a transição entre paradigmas algorítmicos.</w:t>
      </w:r>
    </w:p>
    <w:p>
      <w:pPr>
        <w:pStyle w:val="Corpodetexto"/>
      </w:pPr>
      <w:r>
        <w:t xml:space="preserve">Por fim, foram ajustados modelos preditivos globais para avaliar em que medida variáveis bibliométricas e metodológicas permitem antecipar um índice contínuo de pontuação dos estudos e uma classificação dicotômica entre trabalhos de alto e baixo score. Modelos de regressão (Mínimos Quadrados Ordinários, Ridge, Lasso e Random Forest) e de classificação (Regressão Logística e Random Forest) foram estimados com</w:t>
      </w:r>
      <w:r>
        <w:t xml:space="preserve"> </w:t>
      </w:r>
      <w:r>
        <w:rPr>
          <w:rStyle w:val="VerbatimChar"/>
        </w:rPr>
        <w:t xml:space="preserve">caret</w:t>
      </w:r>
      <w:r>
        <w:t xml:space="preserve"> </w:t>
      </w:r>
      <w:r>
        <w:t xml:space="preserve">e</w:t>
      </w:r>
      <w:r>
        <w:t xml:space="preserve"> </w:t>
      </w:r>
      <w:r>
        <w:rPr>
          <w:rStyle w:val="VerbatimChar"/>
        </w:rPr>
        <w:t xml:space="preserve">randomForest</w:t>
      </w:r>
      <w:r>
        <w:t xml:space="preserve">, utilizando validação cruzada k-fold estratificada para controle de sobreajuste. O desempenho foi avaliado por RMSE e</w:t>
      </w:r>
      <w:r>
        <w:t xml:space="preserve"> </w:t>
      </w:r>
      <m:oMath>
        <m:sSup>
          <m:e>
            <m:r>
              <m:t>R</m:t>
            </m:r>
          </m:e>
          <m:sup>
            <m:r>
              <m:t>2</m:t>
            </m:r>
          </m:sup>
        </m:sSup>
      </m:oMath>
      <w:r>
        <w:t xml:space="preserve"> </w:t>
      </w:r>
      <w:r>
        <w:t xml:space="preserve">na regressão, e por acurácia, precisão, sensibilidade e F1-score na classificação, em consonância com os resultados discutidos na seção 3.7.</w:t>
      </w:r>
    </w:p>
    <w:bookmarkStart w:id="36" w:name="análise-de-correspondência-múltipla-mca"/>
    <w:p>
      <w:pPr>
        <w:pStyle w:val="Ttulo3"/>
      </w:pPr>
      <w:r>
        <w:t xml:space="preserve">2.8.1 Análise de Correspondência Múltipla (MCA)</w:t>
      </w:r>
    </w:p>
    <w:p>
      <w:pPr>
        <w:pStyle w:val="FirstParagraph"/>
      </w:pPr>
      <w:r>
        <w:t xml:space="preserve">A Análise de Correspondência Múltipla (MCA) foi adotada para investigar associações entre as variáveis categóricas (algoritmos, produtos, regiões, etc.), conforme metodologia consolidada por</w:t>
      </w:r>
      <w:r>
        <w:t xml:space="preserve"> </w:t>
      </w:r>
      <w:r>
        <w:t xml:space="preserve">Lê et al. (2008)</w:t>
      </w:r>
      <w:r>
        <w:t xml:space="preserve"> </w:t>
      </w:r>
      <w:r>
        <w:t xml:space="preserve">e</w:t>
      </w:r>
      <w:r>
        <w:t xml:space="preserve"> </w:t>
      </w:r>
      <w:r>
        <w:t xml:space="preserve">Greenacre (2017)</w:t>
      </w:r>
      <w:r>
        <w:t xml:space="preserve">. A análise, conduzida com o pacote</w:t>
      </w:r>
      <w:r>
        <w:t xml:space="preserve"> </w:t>
      </w:r>
      <w:r>
        <w:rPr>
          <w:rStyle w:val="VerbatimChar"/>
        </w:rPr>
        <w:t xml:space="preserve">FactoMineR</w:t>
      </w:r>
      <w:r>
        <w:t xml:space="preserve"> </w:t>
      </w:r>
      <w:r>
        <w:t xml:space="preserve">para a interpretação das relações conceituais da área.</w:t>
      </w:r>
    </w:p>
    <w:bookmarkEnd w:id="36"/>
    <w:bookmarkStart w:id="37" w:name="análise-de-redes-network-analysis"/>
    <w:p>
      <w:pPr>
        <w:pStyle w:val="Ttulo3"/>
      </w:pPr>
      <w:r>
        <w:t xml:space="preserve">2.8.2 Análise de Redes (Network Analysis)</w:t>
      </w:r>
    </w:p>
    <w:p>
      <w:pPr>
        <w:pStyle w:val="FirstParagraph"/>
      </w:pPr>
      <w:r>
        <w:t xml:space="preserve">A análise de redes foi implementada para mapear co-ocorrências entre algoritmos, produtos e regiões, seguindo procedimentos de análise de redes complexas</w:t>
      </w:r>
      <w:r>
        <w:t xml:space="preserve"> </w:t>
      </w:r>
      <w:r>
        <w:t xml:space="preserve">(Csárdi &amp; Nepusz, 2006; Schoch, 2020)</w:t>
      </w:r>
      <w:r>
        <w:t xml:space="preserve">. Utilizando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foi construído um grafo não-direcionado ponderado, onde os nós representam entidades (algoritmos, instrumentos analíticos, produtos e regiões) e as arestas indicam co-ocorrência nos estudos, com pesos proporcionais à frequência de co-ocorrência. Foram calculadas métricas de centralidade (grau, intermediação e autovetor) para identificar elementos estruturalmente centrais na rede de conhecimento do campo.</w:t>
      </w:r>
    </w:p>
    <w:p>
      <w:pPr>
        <w:pStyle w:val="Corpodetexto"/>
      </w:pPr>
      <w:r>
        <w:t xml:space="preserve">A detecção de comunidades foi realizada com o algoritmo de Louvain</w:t>
      </w:r>
      <w:r>
        <w:t xml:space="preserve"> </w:t>
      </w:r>
      <w:r>
        <w:t xml:space="preserve">(Blondel et al., 2008)</w:t>
      </w:r>
      <w:r>
        <w:t xml:space="preserve">, método hierárquico baseado em otimização da modularidade que identifica partições da rede maximizando a densidade de conexões intra-módulo. A estrutura modular resultante foi interpretada como módulos tecnológicos temáticos, cujos resultados estruturam as interpretações apresentadas na seção 3.9.</w:t>
      </w:r>
    </w:p>
    <w:bookmarkEnd w:id="37"/>
    <w:bookmarkStart w:id="38" w:name="análise-temporal"/>
    <w:p>
      <w:pPr>
        <w:pStyle w:val="Ttulo3"/>
      </w:pPr>
      <w:r>
        <w:t xml:space="preserve">2.8.3 Análise Temporal</w:t>
      </w:r>
    </w:p>
    <w:p>
      <w:pPr>
        <w:pStyle w:val="FirstParagraph"/>
      </w:pPr>
      <w:r>
        <w:t xml:space="preserve">A evolução temporal das publicações (2010–2025) foi analisada por meio de séries temporais, empregando o teste de correlação de Spearman</w:t>
      </w:r>
      <w:r>
        <w:t xml:space="preserve"> </w:t>
      </w:r>
      <w:r>
        <w:t xml:space="preserve">(Spearman, 1904)</w:t>
      </w:r>
      <w:r>
        <w:t xml:space="preserve"> </w:t>
      </w:r>
      <w:r>
        <w:t xml:space="preserve">para detectar tendências significativas. As visualizações foram geradas com o pacote</w:t>
      </w:r>
      <w:r>
        <w:t xml:space="preserve"> </w:t>
      </w:r>
      <w:r>
        <w:rPr>
          <w:rStyle w:val="VerbatimChar"/>
        </w:rPr>
        <w:t xml:space="preserve">ggplot2</w:t>
      </w:r>
      <w:r>
        <w:t xml:space="preserve">, utilizando suavização LOESS</w:t>
      </w:r>
      <w:r>
        <w:t xml:space="preserve"> </w:t>
      </w:r>
      <w:r>
        <w:t xml:space="preserve">(Cleveland, 1979)</w:t>
      </w:r>
      <w:r>
        <w:t xml:space="preserve"> </w:t>
      </w:r>
      <w:r>
        <w:t xml:space="preserve">para ilustrar a dinâmica de crescimento do campo e a adoção de diferentes tecnologias.</w:t>
      </w:r>
    </w:p>
    <w:bookmarkEnd w:id="38"/>
    <w:bookmarkEnd w:id="39"/>
    <w:bookmarkEnd w:id="40"/>
    <w:bookmarkStart w:id="85" w:name="resultados-e-discussão"/>
    <w:p>
      <w:pPr>
        <w:pStyle w:val="Ttulo1"/>
      </w:pPr>
      <w:r>
        <w:t xml:space="preserve">3. Resultados e Discussão</w:t>
      </w:r>
    </w:p>
    <w:bookmarkStart w:id="45" w:name="síntese-executiva-da-revisão-de-escopo"/>
    <w:p>
      <w:pPr>
        <w:pStyle w:val="Ttulo2"/>
      </w:pPr>
      <w:r>
        <w:t xml:space="preserve">3.1 Síntese Executiva da Revisão de Escopo</w:t>
      </w:r>
    </w:p>
    <w:p>
      <w:pPr>
        <w:pStyle w:val="FirstParagraph"/>
      </w:pPr>
      <w:r>
        <w:t xml:space="preserve">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w:t>
      </w:r>
      <w:r>
        <w:t xml:space="preserve"> </w:t>
      </w:r>
      <w:r>
        <w:t xml:space="preserve">(Hu et al., 2024)</w:t>
      </w:r>
      <w:r>
        <w:t xml:space="preserve">.</w:t>
      </w:r>
    </w:p>
    <w:bookmarkStart w:id="44" w:name="fig:prisma2020"/>
    <w:p>
      <w:pPr>
        <w:pStyle w:val="CaptionedFigure"/>
      </w:pPr>
      <w:r>
        <w:drawing>
          <wp:inline>
            <wp:extent cx="4480560" cy="2473085"/>
            <wp:effectExtent b="0" l="0" r="0" t="0"/>
            <wp:docPr descr="Fluxograma da revisão de Escopo sobre Aplicações de Machine Learning em Indicações Geográficas." title="" id="42" name="Picture"/>
            <a:graphic>
              <a:graphicData uri="http://schemas.openxmlformats.org/drawingml/2006/picture">
                <pic:pic>
                  <pic:nvPicPr>
                    <pic:cNvPr descr="2-FIGURAS/2-EN/prisma_flowdiagram.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44"/>
    <w:p>
      <w:pPr>
        <w:pStyle w:val="Corpodetexto"/>
      </w:pPr>
      <w:r>
        <w:t xml:space="preserve">A filtragem automatizada por análise semântica e pontuação, alcançou precisão temática de 94,2%, superando o limiar de 85% estabelecido. A abordagem de triagem computacional mostrou-se adequada para revisões com grandes volumes bibliográficos, indicando que sistemas automatizados calibrados contribuem para reduzir vieses de seleção e aumentar a reprodutibilidade</w:t>
      </w:r>
      <w:r>
        <w:t xml:space="preserve"> </w:t>
      </w:r>
      <w:r>
        <w:t xml:space="preserve">(Ofori-Boateng et al., 2024)</w:t>
      </w:r>
      <w:r>
        <w:t xml:space="preserve">. A reprodutibilidade de 100% em execuções múltiplas do algoritmo, associada à concordância interavaliadores de κ = 0.89, garante que os achados refletem, com alta confiabilidade, o estado atual da literatura científica neste domínio.</w:t>
      </w:r>
    </w:p>
    <w:p>
      <w:pPr>
        <w:pStyle w:val="Corpodetexto"/>
      </w:pPr>
      <w:r>
        <w:t xml:space="preserve">A avaliação manual de qualidade metodológica alcançou coeficiente de correlação intraclasse (ICC), de 0,87 (intervalo de confiança de 95%: 0,84–0,91), confirmando boa concordância entre avaliadores e legitimando os critérios de inclusão utilizados</w:t>
      </w:r>
      <w:r>
        <w:t xml:space="preserve"> </w:t>
      </w:r>
      <w:r>
        <w:t xml:space="preserve">(Streiner &amp; Norman, 2008)</w:t>
      </w:r>
      <w:r>
        <w:t xml:space="preserve">. Esta validação assegura que os estudos selecionados para análise sintética atendem a requisitos adequados de rigor metodológico.</w:t>
      </w:r>
    </w:p>
    <w:bookmarkEnd w:id="45"/>
    <w:bookmarkStart w:id="58" w:name="X436b3ae93799519be02fd9051a8c628a7b063c7"/>
    <w:p>
      <w:pPr>
        <w:pStyle w:val="Ttulo2"/>
      </w:pPr>
      <w:r>
        <w:t xml:space="preserve">3.2 Análise Estrutural e Temporal do Corpus Científico</w:t>
      </w:r>
    </w:p>
    <w:p>
      <w:pPr>
        <w:pStyle w:val="FirstParagraph"/>
      </w:pPr>
      <w:r>
        <w:t xml:space="preserve">A Análise de Correspondência Múltipla (MCA) foi aplicada para mapear a evolução temporal das aplicações de Machine Learning em Indicações Geográficas, focando na relação entre abordagens metodológicas (algoritmos, instrumentos e aplicações), produtos investigados e períodos de publicação. As duas primeiras dimensões da MCA explicaram 9.59% da inércia total (Dim1: 4.82%, Dim2: 4.77%), valor coerente com a alta dimensionalidade do corpus analisado (148 estudos, 33 variáveis categóricas binárias), indicando uma estrutura conceitual diversificada no campo (Figura 3).</w:t>
      </w:r>
    </w:p>
    <w:bookmarkStart w:id="49" w:name="fig:mca_temporal"/>
    <w:p>
      <w:pPr>
        <w:pStyle w:val="CaptionedFigure"/>
      </w:pPr>
      <w:r>
        <w:drawing>
          <wp:inline>
            <wp:extent cx="4480560" cy="3200206"/>
            <wp:effectExtent b="0" l="0" r="0" t="0"/>
            <wp:docPr descr="Biplot de Análise de Correspondência Múltipla (ACM) sobre a evolução temporal das aplicações de ML para autenticação de indicações geográficas (2010-2025)." title="" id="47" name="Picture"/>
            <a:graphic>
              <a:graphicData uri="http://schemas.openxmlformats.org/drawingml/2006/picture">
                <pic:pic>
                  <pic:nvPicPr>
                    <pic:cNvPr descr="2-FIGURAS/2-EN/mca_biplot_temporal_completo.png" id="48" name="Picture"/>
                    <pic:cNvPicPr>
                      <a:picLocks noChangeArrowheads="1" noChangeAspect="1"/>
                    </pic:cNvPicPr>
                  </pic:nvPicPr>
                  <pic:blipFill>
                    <a:blip r:embed="rId46"/>
                    <a:stretch>
                      <a:fillRect/>
                    </a:stretch>
                  </pic:blipFill>
                  <pic:spPr bwMode="auto">
                    <a:xfrm>
                      <a:off x="0" y="0"/>
                      <a:ext cx="4480560" cy="3200206"/>
                    </a:xfrm>
                    <a:prstGeom prst="rect">
                      <a:avLst/>
                    </a:prstGeom>
                    <a:noFill/>
                    <a:ln w="9525">
                      <a:noFill/>
                      <a:headEnd/>
                      <a:tailEnd/>
                    </a:ln>
                  </pic:spPr>
                </pic:pic>
              </a:graphicData>
            </a:graphic>
          </wp:inline>
        </w:drawing>
      </w:r>
    </w:p>
    <w:p>
      <w:pPr>
        <w:pStyle w:val="ImageCaption"/>
      </w:pPr>
      <w:r>
        <w:t xml:space="preserve">Biplot de Análise de Correspondência Múltipla (ACM) sobre a evolução temporal das aplicações de ML para autenticação de indicações geográficas (2010-2025).</w:t>
      </w:r>
    </w:p>
    <w:bookmarkEnd w:id="49"/>
    <w:p>
      <w:pPr>
        <w:pStyle w:val="Corpodetexto"/>
      </w:pPr>
      <w:r>
        <w:rPr>
          <w:i/>
          <w:iCs/>
        </w:rPr>
        <w:t xml:space="preserve">Nota: As elipses coloridas (intervalos de confiança de 95%) representam três períodos temporais: 2010-2018 (verde, n=26), 2019-2021 (laranja, n=27) e 2022-2025 (roxo, n=95). Cada ponto representa um estudo individual, com formas indicando a abordagem metodológica principal: círculos representam estudos focados em algoritmos, quadrados representam estudos focados em instrumentos/técnicas analíticas, e triângulos representam estudos focados em aplicações. Rótulos de produtos (Wine, Honey, Olive, Coffee) são exibidos sobre os pontos correspondentes. As dimensões 1 e 2 explicam 4,82% e 4,77% da variância total, respectivamente.</w:t>
      </w:r>
    </w:p>
    <w:p>
      <w:pPr>
        <w:pStyle w:val="Corpodetexto"/>
      </w:pPr>
      <w:r>
        <w:t xml:space="preserve">Como pode ser visto na Figura 3, o padrão temporal revela três fases. Entre 2010 e 2018, predomina uma fase de consolidação metodológica, concentrada em produtos tradicionais europeus (especialmente vinhos) e em técnicas espectroscópicas consolidadas (NIR, FTIR) combinadas a algoritmos clássicos como PLS-DA e SVM, com relativa homogeneidade de abordagens</w:t>
      </w:r>
      <w:r>
        <w:t xml:space="preserve"> </w:t>
      </w:r>
      <w:r>
        <w:t xml:space="preserve">(Mohammadi et al., 2024; Rebiai et al., 2022)</w:t>
      </w:r>
      <w:r>
        <w:t xml:space="preserve">. O período intermediário (2019–2021) marca uma transição, na qual a democratização de ferramentas de ML e o acesso ampliado a técnicas analíticas avançadas favorecem a diversificação de produtos (incluindo chás e plantas medicinais asiáticos) e a adoção gradual de algoritmos como Random Forest e redes neurais</w:t>
      </w:r>
      <w:r>
        <w:t xml:space="preserve"> </w:t>
      </w:r>
      <w:r>
        <w:t xml:space="preserve">(Liakos et al., 2018)</w:t>
      </w:r>
      <w:r>
        <w:t xml:space="preserve">. A fase recente (2022–2025), que concentra 64% do corpus, corresponde a uma expansão rápida e heterogênea, com crescimento das aplicações de Deep Learning, metabolômica</w:t>
      </w:r>
      <w:r>
        <w:t xml:space="preserve"> </w:t>
      </w:r>
      <w:r>
        <w:rPr>
          <w:i/>
          <w:iCs/>
        </w:rPr>
        <w:t xml:space="preserve">untargeted</w:t>
      </w:r>
      <w:r>
        <w:t xml:space="preserve">, abordagens multimodais e estratégias de transfer learning</w:t>
      </w:r>
      <w:r>
        <w:t xml:space="preserve"> </w:t>
      </w:r>
      <w:r>
        <w:t xml:space="preserve">(</w:t>
      </w:r>
      <w:r>
        <w:t xml:space="preserve">Feng et al.</w:t>
      </w:r>
      <w:r>
        <w:t xml:space="preserve">, 2025; He et al., 2024; Liu et al., 2025; Peng et al., 2025; Wang et al., 2021)</w:t>
      </w:r>
      <w:r>
        <w:t xml:space="preserve">. A Figura 4 apresenta a análise de redes de co-ocorrência.</w:t>
      </w:r>
    </w:p>
    <w:p>
      <w:pPr>
        <w:pStyle w:val="Corpodetexto"/>
      </w:pPr>
      <w:bookmarkStart w:id="53" w:name="fig:network_analysiss"/>
      <w:r>
        <w:drawing>
          <wp:inline>
            <wp:extent cx="5600700" cy="2115405"/>
            <wp:effectExtent b="0" l="0" r="0" t="0"/>
            <wp:docPr descr="Análise de Redes de Co-ocorrência. (a) Rede completa mostrando as comunidades temáticas entre algoritmos, produtos e técnicas. (b) Rede focada na co-ocorrência entre algoritmos de ML e produtos." title="" id="51" name="Picture"/>
            <a:graphic>
              <a:graphicData uri="http://schemas.openxmlformats.org/drawingml/2006/picture">
                <pic:pic>
                  <pic:nvPicPr>
                    <pic:cNvPr descr="2-FIGURAS/2-EN/network_centrality_metrics.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r>
        <w:t xml:space="preserve"> </w:t>
      </w:r>
      <w:r>
        <w:t xml:space="preserve">{#fig:network_analysis_B}</w:t>
      </w:r>
    </w:p>
    <w:p>
      <w:pPr>
        <w:pStyle w:val="Corpodetexto"/>
      </w:pPr>
      <w:r>
        <w:t xml:space="preserve">A dinâmica temporal da produção científica (Figura 5 (a)) revela crescimento exponencial superior a 400% entre 2018 e 2024, reflexo da democratização de ferramentas de ML e da expansão de técnicas analíticas de alta performance</w:t>
      </w:r>
      <w:r>
        <w:t xml:space="preserve"> </w:t>
      </w:r>
      <w:r>
        <w:t xml:space="preserve">(Liakos et al., 2018)</w:t>
      </w:r>
      <w:r>
        <w:t xml:space="preserve">. Paralelamente, a transição paradigmática nos algoritmos empregados (Figura 5 (b)) evidencia a substituição gradual de métodos quimiométricos clássicos (PLS-DA, predominante até 2018) por algoritmos com maior capacidade preditiva e flexibilidade (Random Forest, SVM a partir de 2019), culminando na emergência de Deep Learning e CNNs após 2022, voltados ao processamento de dados hiperespectrais e não estruturados</w:t>
      </w:r>
      <w:r>
        <w:t xml:space="preserve"> </w:t>
      </w:r>
      <w:r>
        <w:t xml:space="preserve">(Lavine &amp; Workman, 2005; Shah et al., 2019)</w:t>
      </w:r>
      <w:r>
        <w:t xml:space="preserve">.</w:t>
      </w:r>
    </w:p>
    <w:bookmarkStart w:id="57" w:name="fig:temporal_algoritmos"/>
    <w:p>
      <w:pPr>
        <w:pStyle w:val="CaptionedFigure"/>
      </w:pPr>
      <w:r>
        <w:drawing>
          <wp:inline>
            <wp:extent cx="4480560" cy="1340935"/>
            <wp:effectExtent b="0" l="0" r="0" t="0"/>
            <wp:docPr descr="Evolução temporal de (a) número de publicações e (b) adoção dos principais algoritmos de Machine Learning em estudos de IGs." title="" id="55" name="Picture"/>
            <a:graphic>
              <a:graphicData uri="http://schemas.openxmlformats.org/drawingml/2006/picture">
                <pic:pic>
                  <pic:nvPicPr>
                    <pic:cNvPr descr="2-FIGURAS/2-EN/evolucao_temporal.png" id="56" name="Picture"/>
                    <pic:cNvPicPr>
                      <a:picLocks noChangeArrowheads="1" noChangeAspect="1"/>
                    </pic:cNvPicPr>
                  </pic:nvPicPr>
                  <pic:blipFill>
                    <a:blip r:embed="rId54"/>
                    <a:stretch>
                      <a:fillRect/>
                    </a:stretch>
                  </pic:blipFill>
                  <pic:spPr bwMode="auto">
                    <a:xfrm>
                      <a:off x="0" y="0"/>
                      <a:ext cx="4480560" cy="1340935"/>
                    </a:xfrm>
                    <a:prstGeom prst="rect">
                      <a:avLst/>
                    </a:prstGeom>
                    <a:noFill/>
                    <a:ln w="9525">
                      <a:noFill/>
                      <a:headEnd/>
                      <a:tailEnd/>
                    </a:ln>
                  </pic:spPr>
                </pic:pic>
              </a:graphicData>
            </a:graphic>
          </wp:inline>
        </w:drawing>
      </w:r>
    </w:p>
    <w:p>
      <w:pPr>
        <w:pStyle w:val="ImageCaption"/>
      </w:pPr>
      <w:r>
        <w:t xml:space="preserve">Evolução temporal de (a) número de publicações e (b) adoção dos principais algoritmos de Machine Learning em estudos de IGs.</w:t>
      </w:r>
    </w:p>
    <w:bookmarkEnd w:id="57"/>
    <w:bookmarkEnd w:id="58"/>
    <w:bookmarkStart w:id="60" w:name="X5c2d1980a76d19469d70002b9df752d0e93c628"/>
    <w:p>
      <w:pPr>
        <w:pStyle w:val="Ttulo2"/>
      </w:pPr>
      <w:r>
        <w:t xml:space="preserve">3.3 Domínios de Aplicação, Produtos e Padrões de Distribuição Geográfica</w:t>
      </w:r>
    </w:p>
    <w:p>
      <w:pPr>
        <w:pStyle w:val="FirstParagraph"/>
      </w:pPr>
      <w:r>
        <w:t xml:space="preserve">A análise do corpus revelou que as aplicações de Machine Learning em Indicações Geográficas concentram-se predominantemente em produtos agroalimentares, com ênfase em bebidas alcoólicas, carnes processadas e produtos agrícolas especializados (Apêndice A, Tabela A.1). Essa distribuição reflete a convergência entre mercados de elevada remuneração, incidência significativa de fraude e adulteração e ampla disponibilidade de métodos analíticos capazes de gerar grandes volumes de dados multivariados adequados ao processamento por ML.</w:t>
      </w:r>
    </w:p>
    <w:p>
      <w:pPr>
        <w:pStyle w:val="Corpodetexto"/>
      </w:pPr>
      <w:r>
        <w:t xml:space="preserve">Vinhos de origem protegida, como os das denominações Douro, Rioja e Bordeaux, e chás com indicação geográfica, como o Wuyi Rock Tea, constituem a principal frente de aplicação. Nesses estudos, a discriminação de origem é construída a partir de</w:t>
      </w:r>
      <w:r>
        <w:t xml:space="preserve"> </w:t>
      </w:r>
      <w:r>
        <w:rPr>
          <w:i/>
          <w:iCs/>
        </w:rPr>
        <w:t xml:space="preserve">fingerprinting</w:t>
      </w:r>
      <w:r>
        <w:t xml:space="preserve"> </w:t>
      </w:r>
      <w:r>
        <w:t xml:space="preserve">metabolômico e análise de traços elementares, demonstrando que o perfil químico dessas bebidas está intimamente associado às condições geográficas de produção e a fatores ambientais do terroir</w:t>
      </w:r>
      <w:r>
        <w:t xml:space="preserve"> </w:t>
      </w:r>
      <w:r>
        <w:t xml:space="preserve">(Ramos et al., 2025; Xu et al., 2021)</w:t>
      </w:r>
      <w:r>
        <w:t xml:space="preserve">. Carnes e produtos cárneos (por exemplo, cordeiro de regiões específicas e presunto de Jinhua) configuram um segundo bloco relevante, no qual a discriminação de origem se baseia sobretudo em assinaturas elementares e isotópicas processadas por algoritmos como Random Forest e SVM</w:t>
      </w:r>
      <w:r>
        <w:t xml:space="preserve"> </w:t>
      </w:r>
      <w:r>
        <w:t xml:space="preserve">(R. C. Chen et al., 2020)</w:t>
      </w:r>
      <w:r>
        <w:t xml:space="preserve">.</w:t>
      </w:r>
    </w:p>
    <w:p>
      <w:pPr>
        <w:pStyle w:val="Corpodetexto"/>
      </w:pPr>
      <w:r>
        <w:t xml:space="preserve">Segmentos como frutas, hortaliças e plantas medicinais expandem esse quadro para uma diversidade maior de matrizes. Em frutas e hortaliças, o ML é empregado para rastrear origem a partir de</w:t>
      </w:r>
      <w:r>
        <w:t xml:space="preserve"> </w:t>
      </w:r>
      <w:r>
        <w:rPr>
          <w:i/>
          <w:iCs/>
        </w:rPr>
        <w:t xml:space="preserve">fingerprints</w:t>
      </w:r>
      <w:r>
        <w:t xml:space="preserve"> </w:t>
      </w:r>
      <w:r>
        <w:t xml:space="preserve">metabólicos e perfis nutricionais, explorando a hipótese de que a assinatura bioquímica dos produtos reflete condições edafoclimáticas específicas</w:t>
      </w:r>
      <w:r>
        <w:t xml:space="preserve"> </w:t>
      </w:r>
      <w:r>
        <w:t xml:space="preserve">(Luan et al., 2020; Peng et al., 2025)</w:t>
      </w:r>
      <w:r>
        <w:t xml:space="preserve">. No caso de plantas medicinais como o</w:t>
      </w:r>
      <w:r>
        <w:t xml:space="preserve"> </w:t>
      </w:r>
      <w:r>
        <w:rPr>
          <w:i/>
          <w:iCs/>
        </w:rPr>
        <w:t xml:space="preserve">Panax notoginseng</w:t>
      </w:r>
      <w:r>
        <w:t xml:space="preserve">, a certificação de origem relaciona-se também à potência farmacológica, reforçando o vínculo entre localização geográfica, composição bioativa e valor agregado</w:t>
      </w:r>
      <w:r>
        <w:t xml:space="preserve"> </w:t>
      </w:r>
      <w:r>
        <w:t xml:space="preserve">(</w:t>
      </w:r>
      <w:r>
        <w:t xml:space="preserve">Feng et al.</w:t>
      </w:r>
      <w:r>
        <w:t xml:space="preserve">, 2025)</w:t>
      </w:r>
      <w:r>
        <w:t xml:space="preserve">.</w:t>
      </w:r>
    </w:p>
    <w:p>
      <w:pPr>
        <w:pStyle w:val="Corpodetexto"/>
      </w:pPr>
      <w:r>
        <w:t xml:space="preserve">Do ponto de vista geográfico, observa-se predominância de estudos conduzidos em instituições da Ásia, particularmente na China, seguida pela Europa. Brasil e outras economias emergentes aparecem em proporção menor, o que reflete, por um lado, os investimentos recentes chineses em tecnologias de rastreabilidade</w:t>
      </w:r>
      <w:r>
        <w:t xml:space="preserve"> </w:t>
      </w:r>
      <w:r>
        <w:t xml:space="preserve">(Wang et al., 2025)</w:t>
      </w:r>
      <w:r>
        <w:t xml:space="preserve"> </w:t>
      </w:r>
      <w:r>
        <w:t xml:space="preserve">e, por outro, a consolidação de infraestrutura analítica em contextos europeus. Para o Brasil, essa assimetria evidencia uma lacuna e, simultaneamente, uma oportunidade estratégica para desenvolver aplicações de ML voltadas à proteção e valorização de IGs nacionais.</w:t>
      </w:r>
    </w:p>
    <w:bookmarkStart w:id="59" w:name="análise-bibliométrica"/>
    <w:p>
      <w:pPr>
        <w:pStyle w:val="Ttulo3"/>
      </w:pPr>
      <w:r>
        <w:t xml:space="preserve">3.3.1 Análise Bibliométrica</w:t>
      </w:r>
    </w:p>
    <w:p>
      <w:pPr>
        <w:pStyle w:val="FirstParagraph"/>
      </w:pPr>
      <w:r>
        <w:t xml:space="preserve">A Lei de Lotka, foi aplicada ao corpus de 148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IGs é colaborativo, com muitos pesquisadores contribuindo esporadicamente, mas com alguns autores altamente produtivos, possivelmente especialistas em quimiometria ou análise instrumental.</w:t>
      </w:r>
    </w:p>
    <w:p>
      <w:pPr>
        <w:pStyle w:val="Corpodetexto"/>
      </w:pPr>
      <w:r>
        <w:t xml:space="preserve">A aplicação do princípio de Pareto (80/20) resultou na seleção dos 20% dos artigos com maior pontuação combinada, calculada pela Equação 6 (40% qualidade metodológica, 35% relevância temática, 25% impacto bibliométrico). A Tabela A.2 (Apêndice A) apresenta os 10 artigos selecionados com maior pontuação.</w:t>
      </w:r>
    </w:p>
    <w:bookmarkEnd w:id="59"/>
    <w:bookmarkEnd w:id="60"/>
    <w:bookmarkStart w:id="61" w:name="técnicas-de-machine-learning-empregadas"/>
    <w:p>
      <w:pPr>
        <w:pStyle w:val="Ttulo2"/>
      </w:pPr>
      <w:r>
        <w:t xml:space="preserve">3.4 Técnicas de Machine Learning Empregadas</w:t>
      </w:r>
    </w:p>
    <w:bookmarkEnd w:id="61"/>
    <w:bookmarkStart w:id="62" w:name="X4964c4b002a6bcd9bc0fc69dad95c4397d6031b"/>
    <w:p>
      <w:pPr>
        <w:pStyle w:val="Ttulo2"/>
      </w:pPr>
      <w:r>
        <w:t xml:space="preserve">3.5 O Ecossistema Algorítmico na Autenticação de IGs</w:t>
      </w:r>
    </w:p>
    <w:p>
      <w:pPr>
        <w:pStyle w:val="FirstParagraph"/>
      </w:pPr>
      <w:r>
        <w:t xml:space="preserve">A análise do corpus bibliográfico revela um ecossistema algorítmico diversificado, mas estruturado em torno de poucos núcleos tecnológicos. Longe de indicar fragmentação, essa variedade reflete que diferentes matrizes, tamanhos amostrais e contextos regulatórios exigem soluções computacionais ajustadas. Predominam algoritmos de classificação supervisionada, com Random Forest e Support Vector Machines (SVM) respondendo, em conjunto, por cerca de dois terços das aplicações.</w:t>
      </w:r>
      <w:r>
        <w:t xml:space="preserve"> </w:t>
      </w:r>
      <w:r>
        <w:t xml:space="preserve">Xu et al. (2021)</w:t>
      </w:r>
      <w:r>
        <w:t xml:space="preserve"> </w:t>
      </w:r>
      <w:r>
        <w:t xml:space="preserve">empregaram Random Forest para discriminar a origem de vinhos a partir de perfis elementares, alcançando acurácia superior a 95%, enquanto</w:t>
      </w:r>
      <w:r>
        <w:t xml:space="preserve"> </w:t>
      </w:r>
      <w:r>
        <w:t xml:space="preserve">Mohammadi et al. (2024)</w:t>
      </w:r>
      <w:r>
        <w:t xml:space="preserve"> </w:t>
      </w:r>
      <w:r>
        <w:t xml:space="preserve">integraram SVM com kernel RBF para autenticar azeites a partir de espectroscopia NIR em um cenário de alta dimensionalidade.</w:t>
      </w:r>
    </w:p>
    <w:p>
      <w:pPr>
        <w:pStyle w:val="Corpodetexto"/>
      </w:pPr>
      <w:r>
        <w:t xml:space="preserve">Do ponto de vista funcional, esses modelos podem ser entendidos como dispositivos que transformam vetores de características</w:t>
      </w:r>
      <w:r>
        <w:t xml:space="preserve"> </w:t>
      </w:r>
      <m:oMath>
        <m:r>
          <m:t>x</m:t>
        </m:r>
      </m:oMath>
      <w:r>
        <w:t xml:space="preserve">, compostos por intensidades espectrais, concentrações elementares ou abundâncias de metabolitos em decisões sobre origem geográfica. Nos estudos com PLS-DA e SVM, essa transformação assume, em sua forma mais simples, a estrutura de uma função de decisão linear</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na qual a combinação ponderada das variáveis (</w:t>
      </w:r>
      <m:oMath>
        <m:r>
          <m:t>w</m:t>
        </m:r>
      </m:oMath>
      <w:r>
        <w:t xml:space="preserve">) sintetiza um “hiperplano territorial” que separa amostras de diferentes regiões. A formulação em espaços de alta dimensionalidade, sobretudo no caso de SVM com kernels não lineares, permite que essa fronteira de decisão capture relações complexas entre marcadores químicos e território, mantendo, ao mesmo tempo, a possibilidade de interpretar</w:t>
      </w:r>
      <w:r>
        <w:t xml:space="preserve"> </w:t>
      </w:r>
      <m:oMath>
        <m:r>
          <m:t>w</m:t>
        </m:r>
      </m:oMath>
      <w:r>
        <w:t xml:space="preserve"> </w:t>
      </w:r>
      <w:r>
        <w:t xml:space="preserve">como vetor que concentra os pesos das evidências analíticas em favor de cada origem.</w:t>
      </w:r>
    </w:p>
    <w:p>
      <w:pPr>
        <w:pStyle w:val="Corpodetexto"/>
      </w:pPr>
      <w:r>
        <w:t xml:space="preserve">O uso amplo do Random Forest decorre de sua capacidade de modelar interações não lineares em dados multivariados, lidar com classes desbalanceadas e, sobretudo, fornecer medidas de importância de variáveis (VIM) que permitem identificar marcadores territoriais com valor regulatório</w:t>
      </w:r>
      <w:r>
        <w:t xml:space="preserve"> </w:t>
      </w:r>
      <w:r>
        <w:t xml:space="preserve">(</w:t>
      </w:r>
      <w:r>
        <w:rPr>
          <w:b/>
          <w:bCs/>
        </w:rPr>
        <w:t xml:space="preserve">Zhang2025MRF?</w:t>
      </w:r>
      <w:r>
        <w:t xml:space="preserve">)</w:t>
      </w:r>
      <w:r>
        <w:t xml:space="preserve">. Em termos formais, esses modelos operam como comitês de classificadores</w:t>
      </w:r>
      <w:r>
        <w:t xml:space="preserve"> </w:t>
      </w:r>
      <m:oMath>
        <m:sSub>
          <m:e>
            <m:r>
              <m:t>h</m:t>
            </m:r>
          </m:e>
          <m:sub>
            <m:r>
              <m:t>m</m:t>
            </m:r>
          </m:sub>
        </m:sSub>
        <m:r>
          <m:rPr>
            <m:sty m:val="p"/>
          </m:rPr>
          <m:t>(</m:t>
        </m:r>
        <m:r>
          <m:t>x</m:t>
        </m:r>
        <m:r>
          <m:rPr>
            <m:sty m:val="p"/>
          </m:rPr>
          <m:t>)</m:t>
        </m:r>
      </m:oMath>
      <w:r>
        <w:t xml:space="preserve">, agregados em uma decisão final</w:t>
      </w:r>
      <w:r>
        <w:t xml:space="preserve"> </w:t>
      </w:r>
      <m:oMath>
        <m:acc>
          <m:accPr>
            <m:chr m:val="̂"/>
          </m:accPr>
          <m:e>
            <m:r>
              <m:t>y</m:t>
            </m:r>
          </m:e>
        </m:acc>
        <m:r>
          <m:rPr>
            <m:sty m:val="p"/>
          </m:rPr>
          <m:t>=</m:t>
        </m:r>
        <m:r>
          <m:rPr>
            <m:sty m:val="p"/>
          </m:rPr>
          <m:t>a</m:t>
        </m:r>
        <m:r>
          <m:rPr>
            <m:sty m:val="p"/>
          </m:rPr>
          <m:t>g</m:t>
        </m:r>
        <m:r>
          <m:rPr>
            <m:sty m:val="p"/>
          </m:rPr>
          <m:t>g</m:t>
        </m:r>
        <m:r>
          <m:rPr>
            <m:sty m:val="p"/>
          </m:rPr>
          <m:t>(</m:t>
        </m:r>
        <m:sSub>
          <m:e>
            <m:r>
              <m:t>h</m:t>
            </m:r>
          </m:e>
          <m:sub>
            <m:r>
              <m:t>1</m:t>
            </m:r>
          </m:sub>
        </m:sSub>
        <m:r>
          <m:rPr>
            <m:sty m:val="p"/>
          </m:rPr>
          <m:t>(</m:t>
        </m:r>
        <m:r>
          <m:t>x</m:t>
        </m:r>
        <m:r>
          <m:rPr>
            <m:sty m:val="p"/>
          </m:rPr>
          <m:t>)</m:t>
        </m:r>
        <m:r>
          <m:rPr>
            <m:sty m:val="p"/>
          </m:rPr>
          <m:t>,</m:t>
        </m:r>
        <m:r>
          <m:rPr>
            <m:sty m:val="p"/>
          </m:rPr>
          <m:t>…</m:t>
        </m:r>
        <m:r>
          <m:rPr>
            <m:sty m:val="p"/>
          </m:rPr>
          <m:t>,</m:t>
        </m:r>
        <m:sSub>
          <m:e>
            <m:r>
              <m:t>h</m:t>
            </m:r>
          </m:e>
          <m:sub>
            <m:r>
              <m:t>M</m:t>
            </m:r>
          </m:sub>
        </m:sSub>
        <m:r>
          <m:rPr>
            <m:sty m:val="p"/>
          </m:rPr>
          <m:t>(</m:t>
        </m:r>
        <m:r>
          <m:t>x</m:t>
        </m:r>
        <m:r>
          <m:rPr>
            <m:sty m:val="p"/>
          </m:rPr>
          <m:t>)</m:t>
        </m:r>
        <m:r>
          <m:rPr>
            <m:sty m:val="p"/>
          </m:rPr>
          <m:t>)</m:t>
        </m:r>
      </m:oMath>
      <w:r>
        <w:t xml:space="preserve">, usualmente por maioria de votos ou média de probabilidades</w:t>
      </w:r>
      <w:r>
        <w:t xml:space="preserve"> </w:t>
      </w:r>
      <w:r>
        <w:t xml:space="preserve">(Cornelio et al., 2019)</w:t>
      </w:r>
      <w:r>
        <w:t xml:space="preserve">. Em estudos como</w:t>
      </w:r>
      <w:r>
        <w:t xml:space="preserve"> </w:t>
      </w:r>
      <w:r>
        <w:t xml:space="preserve">Y. Li et al. (2025)</w:t>
      </w:r>
      <w:r>
        <w:t xml:space="preserve">, essa arquitetura de comitê foi explorada para isolar subconjuntos de variáveis químicas e elementares que sustentam, de forma transparente, alegações de autenticidade geográfica, uma vez que as VIM indicam quais componentes de</w:t>
      </w:r>
      <w:r>
        <w:t xml:space="preserve"> </w:t>
      </w:r>
      <m:oMath>
        <m:r>
          <m:t>x</m:t>
        </m:r>
      </m:oMath>
      <w:r>
        <w:t xml:space="preserve"> </w:t>
      </w:r>
      <w:r>
        <w:t xml:space="preserve">mais contribuem para alterar</w:t>
      </w:r>
      <w:r>
        <w:t xml:space="preserve"> </w:t>
      </w:r>
      <m:oMath>
        <m:acc>
          <m:accPr>
            <m:chr m:val="̂"/>
          </m:accPr>
          <m:e>
            <m:r>
              <m:t>y</m:t>
            </m:r>
          </m:e>
        </m:acc>
      </m:oMath>
      <w:r>
        <w:t xml:space="preserve"> </w:t>
      </w:r>
      <w:r>
        <w:t xml:space="preserve">de uma denominação para outra.</w:t>
      </w:r>
    </w:p>
    <w:p>
      <w:pPr>
        <w:pStyle w:val="Corpodetexto"/>
      </w:pPr>
      <w:r>
        <w:t xml:space="preserve">Em domínios com dados de imagem ou sinais hiperespectrais, modelos de Deep Learning, especialmente Redes Neurais Convolucionais (CNNs), constituem o padrão emergente.</w:t>
      </w:r>
      <w:r>
        <w:t xml:space="preserve"> </w:t>
      </w:r>
      <w:r>
        <w:t xml:space="preserve">Peng et al. (2025)</w:t>
      </w:r>
      <w:r>
        <w:t xml:space="preserve"> </w:t>
      </w:r>
      <w:r>
        <w:t xml:space="preserve">utilizaram CNNs para classificar chás com IG a partir de imagens hiperespectrais, obtendo discriminação precisa entre diferentes regiões produtoras;</w:t>
      </w:r>
      <w:r>
        <w:t xml:space="preserve"> </w:t>
      </w:r>
      <w:r>
        <w:t xml:space="preserve">Feng et al.</w:t>
      </w:r>
      <w:r>
        <w:t xml:space="preserve"> </w:t>
      </w:r>
      <w:r>
        <w:t xml:space="preserve">(2025)</w:t>
      </w:r>
      <w:r>
        <w:t xml:space="preserve"> </w:t>
      </w:r>
      <w:r>
        <w:t xml:space="preserve">aplicaram arquiteturas profundas para autenticar visualmente plantas medicinais. Nesses modelos, a operação central de convolução pode ser descrita como</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u</m:t>
            </m:r>
            <m:r>
              <m:rPr>
                <m:sty m:val="p"/>
              </m:rPr>
              <m:t>,</m:t>
            </m:r>
            <m:r>
              <m:t>v</m:t>
            </m:r>
          </m:sub>
          <m:sup>
            <m:r>
              <m:t>​</m:t>
            </m:r>
          </m:sup>
          <m:e>
            <m:r>
              <m:t>K</m:t>
            </m:r>
          </m:e>
        </m:nary>
        <m:r>
          <m:rPr>
            <m:sty m:val="p"/>
          </m:rPr>
          <m:t>(</m:t>
        </m:r>
        <m:r>
          <m:t>u</m:t>
        </m:r>
        <m:r>
          <m:rPr>
            <m:sty m:val="p"/>
          </m:rPr>
          <m:t>,</m:t>
        </m:r>
        <m:r>
          <m:t>v</m:t>
        </m:r>
        <m:r>
          <m:rPr>
            <m:sty m:val="p"/>
          </m:rPr>
          <m:t>)</m:t>
        </m:r>
        <m:r>
          <m:rPr>
            <m:sty m:val="p"/>
          </m:rPr>
          <m:t>⋅</m:t>
        </m:r>
        <m:r>
          <m:t>X</m:t>
        </m:r>
        <m:r>
          <m:rPr>
            <m:sty m:val="p"/>
          </m:rPr>
          <m:t>(</m:t>
        </m:r>
        <m:r>
          <m:t>i</m:t>
        </m:r>
        <m:r>
          <m:rPr>
            <m:sty m:val="p"/>
          </m:rPr>
          <m:t>−</m:t>
        </m:r>
        <m:r>
          <m:t>u</m:t>
        </m:r>
        <m:r>
          <m:rPr>
            <m:sty m:val="p"/>
          </m:rPr>
          <m:t>,</m:t>
        </m:r>
        <m:r>
          <m:t>j</m:t>
        </m:r>
        <m:r>
          <m:rPr>
            <m:sty m:val="p"/>
          </m:rPr>
          <m:t>−</m:t>
        </m:r>
        <m:r>
          <m:t>v</m:t>
        </m:r>
        <m:r>
          <m:rPr>
            <m:sty m:val="p"/>
          </m:rPr>
          <m:t>)</m:t>
        </m:r>
      </m:oMath>
      <w:r>
        <w:t xml:space="preserve">, em que um filtro</w:t>
      </w:r>
      <w:r>
        <w:t xml:space="preserve"> </w:t>
      </w:r>
      <m:oMath>
        <m:r>
          <m:t>K</m:t>
        </m:r>
      </m:oMath>
      <w:r>
        <w:t xml:space="preserve"> </w:t>
      </w:r>
      <w:r>
        <w:t xml:space="preserve">varre a matriz de entrada</w:t>
      </w:r>
      <w:r>
        <w:t xml:space="preserve"> </w:t>
      </w:r>
      <m:oMath>
        <m:r>
          <m:t>X</m:t>
        </m:r>
      </m:oMath>
      <w:r>
        <w:t xml:space="preserve"> </w:t>
      </w:r>
      <w:r>
        <w:t xml:space="preserve">(imagem ou “cubo” espectral) para extrair padrões locais característicos. Essa formalização reforça que a autenticação não se apoia apenas em valores pontuais de intensidade, mas em estruturas espaciais ou espectrais recorrentes que codificam o terroir de forma distribuída.</w:t>
      </w:r>
    </w:p>
    <w:p>
      <w:pPr>
        <w:pStyle w:val="Corpodetexto"/>
      </w:pPr>
      <w:r>
        <w:t xml:space="preserve">Para dados espectrais e quimiométricos, a Análise Discriminante por Mínimos Quadrados Parciais (PLS-DA) permanece central em quase metade dos estudos, consolidando um paradigma bem estabelecido em quimiometria.</w:t>
      </w:r>
      <w:r>
        <w:t xml:space="preserve"> </w:t>
      </w:r>
      <w:r>
        <w:t xml:space="preserve">Rebiai et al. (2022)</w:t>
      </w:r>
      <w:r>
        <w:t xml:space="preserve"> </w:t>
      </w:r>
      <w:r>
        <w:t xml:space="preserve">demonstraram que PLS-DA, acoplada a espectroscopia NIR, discrimina azeites de múltiplas denominações com elevada acurácia, explorando sua robustez frente à multicolinearidade e ao regime</w:t>
      </w:r>
      <w:r>
        <w:t xml:space="preserve"> </w:t>
      </w:r>
      <m:oMath>
        <m:r>
          <m:t>n</m:t>
        </m:r>
        <m:r>
          <m:rPr>
            <m:sty m:val="p"/>
          </m:rPr>
          <m:t>&lt;</m:t>
        </m:r>
        <m:r>
          <m:t>p</m:t>
        </m:r>
      </m:oMath>
      <w:r>
        <w:t xml:space="preserve">. Diferentemente da Análise de Componentes Principais (PCA), que busca representar a variância total dos dados, a PLS-DA otimiza explicitamente a separação entre classes, o que a torna particularmente adequada para problemas de autenticação de origem.</w:t>
      </w:r>
    </w:p>
    <w:p>
      <w:pPr>
        <w:pStyle w:val="Corpodetexto"/>
      </w:pPr>
      <w:r>
        <w:t xml:space="preserve">O manejo da alta dimensionalidade aparece como eixo transversal. A PCA é utilizada em mais da metade dos estudos como etapa de pré-processamento para redução de dimensionalidade, diminuição de ruído e visualização exploratória, frequentemente antes da aplicação de classificadores supervisionados.</w:t>
      </w:r>
      <w:r>
        <w:t xml:space="preserve"> </w:t>
      </w:r>
      <w:r>
        <w:t xml:space="preserve">Ramos et al. (2025)</w:t>
      </w:r>
      <w:r>
        <w:t xml:space="preserve">, por exemplo, aplicaram PCA para condensar milhares de variáveis metabolômicas de vinhos em poucos componentes principais interpretáveis, que em seguida alimentaram um modelo de Random Forest. Em paralelo, métodos de seleção de</w:t>
      </w:r>
      <w:r>
        <w:t xml:space="preserve"> </w:t>
      </w:r>
      <w:r>
        <w:rPr>
          <w:i/>
          <w:iCs/>
        </w:rPr>
        <w:t xml:space="preserve">features</w:t>
      </w:r>
      <w:r>
        <w:t xml:space="preserve"> </w:t>
      </w:r>
      <w:r>
        <w:t xml:space="preserve">como RF-RFE e Boruta, presentes em cerca de um terço dos trabalhos, são empregados para identificar subconjuntos de variáveis com maior poder discriminante.</w:t>
      </w:r>
      <w:r>
        <w:t xml:space="preserve"> </w:t>
      </w:r>
      <w:r>
        <w:t xml:space="preserve">Salam et al.</w:t>
      </w:r>
      <w:r>
        <w:t xml:space="preserve"> </w:t>
      </w:r>
      <w:r>
        <w:t xml:space="preserve">(2021)</w:t>
      </w:r>
      <w:r>
        <w:t xml:space="preserve"> </w:t>
      </w:r>
      <w:r>
        <w:t xml:space="preserve">mostraram que o uso de Boruta permitiu reduzir de 80 para 15 elementos traço em estudos com carnes, sem perdas significativas de desempenho. Essa combinação entre redução/seleção de variáveis e classificadores robustos é central não apenas para controlar o risco de sobreajuste e reduzir custos computacionais, mas também para chegar a conjuntos compactos de marcadores territoriais com potencial de serem incorporados em protocolos oficiais de certificação.</w:t>
      </w:r>
    </w:p>
    <w:p>
      <w:pPr>
        <w:pStyle w:val="Corpodetexto"/>
      </w:pPr>
      <w:r>
        <w:t xml:space="preserve">Neste sentido, o ecossistema algorítmico observado neste corpus indica que a escolha de modelos em IGs não segue uma lógica meramente incremental (substituir um algoritmo por outro</w:t>
      </w:r>
      <w:r>
        <w:t xml:space="preserve"> </w:t>
      </w:r>
      <w:r>
        <w:t xml:space="preserve">“mais moderno”</w:t>
      </w:r>
      <w:r>
        <w:t xml:space="preserve">), mas é condicionada pela natureza da matriz, pela estrutura dos dados e pelo grau de exigência regulatória. Random Forest, SVM, PLS-DA e CNNs ocupam posições complementares em uma paisagem metodológica em que desempenho preditivo, interpretabilidade e adequação ao tipo de dado precisam ser negociados caso a caso.</w:t>
      </w:r>
    </w:p>
    <w:p>
      <w:pPr>
        <w:pStyle w:val="Corpodetexto"/>
      </w:pPr>
      <w:r>
        <w:t xml:space="preserve">Essa necessidade de interpretabilidade transcende o domínio técnico, constituindo-se em requisito fundamental para a validade jurídica e a legitimidade social das decisões de certificação. Em contextos regulatórios como os das Indicações Geográficas, onde a prova de origem deve ser defensável em processos administrativos ou judiciais, algoritmos como Random Forest e PLS-DA, que fornecem medidas de importância de variáveis ou</w:t>
      </w:r>
      <w:r>
        <w:t xml:space="preserve"> </w:t>
      </w:r>
      <w:r>
        <w:rPr>
          <w:i/>
          <w:iCs/>
        </w:rPr>
        <w:t xml:space="preserve">loadings</w:t>
      </w:r>
      <w:r>
        <w:t xml:space="preserve"> </w:t>
      </w:r>
      <w:r>
        <w:t xml:space="preserve">explicitáveis, oferecem uma vantagem crítica sobre modelos de</w:t>
      </w:r>
      <w:r>
        <w:t xml:space="preserve"> </w:t>
      </w:r>
      <w:r>
        <w:t xml:space="preserve">“caixa-preta”</w:t>
      </w:r>
      <w:r>
        <w:t xml:space="preserve"> </w:t>
      </w:r>
      <w:r>
        <w:t xml:space="preserve">como redes neurais profundas. Essa transparência algorítmica não apenas facilita a auditoria científica, mas também reforça a confiança dos stakeholders, produtores, consumidores e reguladores, na integridade do sistema de certificação, transformando a ML de uma ferramenta técnica em um instrumento de governança territorial</w:t>
      </w:r>
      <w:r>
        <w:t xml:space="preserve"> </w:t>
      </w:r>
      <w:r>
        <w:t xml:space="preserve">(He et al., 2024; Lundberg &amp; Lee, 2017)</w:t>
      </w:r>
      <w:r>
        <w:t xml:space="preserve">.</w:t>
      </w:r>
    </w:p>
    <w:bookmarkEnd w:id="62"/>
    <w:bookmarkStart w:id="67" w:name="desempenho-preditivo-dos-modelos"/>
    <w:p>
      <w:pPr>
        <w:pStyle w:val="Ttulo2"/>
      </w:pPr>
      <w:r>
        <w:t xml:space="preserve">3.7 Desempenho Preditivo dos Modelos</w:t>
      </w:r>
    </w:p>
    <w:p>
      <w:pPr>
        <w:pStyle w:val="FirstParagraph"/>
      </w:pPr>
      <w:r>
        <w:t xml:space="preserve">A análise do corpus revela que os modelos de Machine Learning alcançam um desempenho preditivo substancial, com acurácias frequentemente situadas entre 80% e 100%, o que sugere que a assinatura geográfica dos produtos é computacionalmente detectável. Quando o objetivo é regressão de atributos como acidez, teor de fenóis ou intensidade aromática, a qualidade do ajuste é usualmente medida por métricas como erro absoluto médio (MAE) e raiz do erro quadrático médio (RMSE).</w:t>
      </w:r>
    </w:p>
    <w:p>
      <w:pPr>
        <w:pStyle w:val="Corpodetexto"/>
      </w:pPr>
      <w:r>
        <w:t xml:space="preserve">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w:t>
      </w:r>
      <w:r>
        <w:t xml:space="preserve"> </w:t>
      </w:r>
      <w:r>
        <w:t xml:space="preserve">(R. C. Chen et al., 2020; Effrosynidis &amp; Arampatzis, 2021)</w:t>
      </w:r>
      <w:r>
        <w:t xml:space="preserve">. O ceticismo em relação a tais resultados é justificado, pois raramente são acompanhados de validação externa robusta que permita estimar o desempenho esperado quando o modelo é exposto a novas amostras não utilizadas no ajuste dos parâmetros.</w:t>
      </w:r>
    </w:p>
    <w:p>
      <w:pPr>
        <w:pStyle w:val="Corpodetexto"/>
      </w:pPr>
      <w:r>
        <w:t xml:space="preserve">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w:t>
      </w:r>
      <w:r>
        <w:t xml:space="preserve"> </w:t>
      </w:r>
      <w:r>
        <w:t xml:space="preserve">(Meena et al., 2024; Mohammadi et al., 2024)</w:t>
      </w:r>
      <w:r>
        <w:t xml:space="preserve">.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confrontados com distribuições levemente deslocadas em relação àquelas usadas para estimar o modelo</w:t>
      </w:r>
      <w:r>
        <w:t xml:space="preserve"> </w:t>
      </w:r>
      <w:r>
        <w:t xml:space="preserve">(Kuhn &amp; Johnson, 2013)</w:t>
      </w:r>
      <w:r>
        <w:t xml:space="preserve">. Essa discrepância revela que muitos sistemas operam em condições de otimismo estatístico não controlado. Esta observação possui uma implicação direta para a prática da certificação pois, para que um modelo de ML seja juridicamente defensável e cientificamente robusto, ele deve ser obrigatoriamente testado em amostras que desafiem sua capacidade de generalização para além das condições vistas durante o treinamento, incluindo safras, regiões e lotes distintos.</w:t>
      </w:r>
    </w:p>
    <w:p>
      <w:pPr>
        <w:pStyle w:val="Corpodetexto"/>
      </w:pPr>
      <w:r>
        <w:t xml:space="preserve">Essa falha de validação externa não representa apenas uma limitação metodológica, mas um risco reputacional e econômico substancial para as Indicações Geográficas. Um modelo superestimado pode levar à certificação incorreta de produtos, erodindo a confiança do consumidor no selo de origem e depreciando o valor premium associado ao terroir</w:t>
      </w:r>
      <w:r>
        <w:t xml:space="preserve"> </w:t>
      </w:r>
      <w:r>
        <w:t xml:space="preserve">(He et al., 2024)</w:t>
      </w:r>
      <w:r>
        <w:t xml:space="preserve">. Em termos econômicos, a exposição de fraudes não detectadas ou falsos positivos pode resultar em litígios, perda de mercado e desvalorização de ativos intangíveis, transformando o otimismo estatístico em uma vulnerabilidade sistêmica que ameaça a sustentabilidade das IGs como estratégia de desenvolvimento territorial.</w:t>
      </w:r>
    </w:p>
    <w:p>
      <w:pPr>
        <w:pStyle w:val="Corpodetexto"/>
      </w:pPr>
      <w:r>
        <w:t xml:space="preserve">Complementarmente, foi conduzida uma análise de modelagem preditiva global para avaliar em que medida os padrões estatísticos capturados pelas variáveis do corpus permitem antecipar um índice contínuo de pontuação dos estudos e uma classificação dicotômica entre trabalhos de</w:t>
      </w:r>
      <w:r>
        <w:t xml:space="preserve"> </w:t>
      </w:r>
      <w:r>
        <w:t xml:space="preserve">“alto score”</w:t>
      </w:r>
      <w:r>
        <w:t xml:space="preserve"> </w:t>
      </w:r>
      <w:r>
        <w:t xml:space="preserve">e demais artigos. Na tarefa de regressão, comparando modelos lineares e não lineares, a performance foi modesta: o erro médio quadrático (RMSE) variou entre 11,8 e 12,5 e o coeficiente de determinação</w:t>
      </w:r>
      <w:r>
        <w:t xml:space="preserve"> </w:t>
      </w:r>
      <m:oMath>
        <m:sSup>
          <m:e>
            <m:r>
              <m:t>R</m:t>
            </m:r>
          </m:e>
          <m:sup>
            <m:r>
              <m:t>2</m:t>
            </m:r>
          </m:sup>
        </m:sSup>
      </m:oMath>
      <w:r>
        <w:t xml:space="preserve"> </w:t>
      </w:r>
      <w:r>
        <w:t xml:space="preserve">permaneceu baixo (0,11–0,14) mesmo para os melhores modelos (Ridge e Random Forest). Segundo</w:t>
      </w:r>
      <w:r>
        <w:t xml:space="preserve"> </w:t>
      </w:r>
      <w:r>
        <w:t xml:space="preserve">Hair et al. (2010)</w:t>
      </w:r>
      <w:r>
        <w:t xml:space="preserve">, valores de</w:t>
      </w:r>
      <w:r>
        <w:t xml:space="preserve"> </w:t>
      </w:r>
      <m:oMath>
        <m:sSup>
          <m:e>
            <m:r>
              <m:t>R</m:t>
            </m:r>
          </m:e>
          <m:sup>
            <m:r>
              <m:t>2</m:t>
            </m:r>
          </m:sup>
        </m:sSup>
      </m:oMath>
      <w:r>
        <w:t xml:space="preserve"> </w:t>
      </w:r>
      <w:r>
        <w:t xml:space="preserve">abaixo de 0,25 indicam relações fracas entre as variáveis preditoras e a variável dependente. Esse resultado indica que, embora os modelos de ML sejam altamente eficazes para discriminar a origem geográfica de produtos, a predição de um índice sintético de qualidade/impacto dos estudos a partir de variáveis bibliométricas e metodológicas agregadas é substancialmente mais difícil, reforçando o papel insubstituível do julgamento humano na avaliação qualitativa dos artigos</w:t>
      </w:r>
      <w:r>
        <w:t xml:space="preserve"> </w:t>
      </w:r>
      <w:r>
        <w:t xml:space="preserve">(D. Wang et al., 2013)</w:t>
      </w:r>
      <w:r>
        <w:t xml:space="preserve">.</w:t>
      </w:r>
    </w:p>
    <w:p>
      <w:pPr>
        <w:pStyle w:val="Corpodetexto"/>
      </w:pPr>
      <w:r>
        <w:t xml:space="preserve">Na tarefa de classificação (alto score vs. demais), o modelo de Regressão Logística apresentou desempenho superior ao Random Forest (acurácia de 0,69 e F1-score de 0,70, contra 0,53 de acurácia para Random Forest), sugerindo que o padrão que distingue os estudos mais bem avaliados é relativamente simples e pode ser capturado adequadamente por fronteiras de decisão aproximadamente lineares</w:t>
      </w:r>
      <w:r>
        <w:t xml:space="preserve"> </w:t>
      </w:r>
      <w:r>
        <w:t xml:space="preserve">(Rudin, 2019)</w:t>
      </w:r>
      <w:r>
        <w:t xml:space="preserve">. Em conjunto, esses achados apontam para uma assimetria que, os mesmos algoritmos que atingem acurácias próximas de 100% em autenticação de produtos mostram desempenho apenas moderado quando aplicados à avaliação global da qualidade dos estudos. A Figura 6 destaca as abordagens lineares simples que apresentam desempenho semelhante a algoritmos mais complexos na predição do score e da categoria de alto score.</w:t>
      </w:r>
    </w:p>
    <w:bookmarkStart w:id="66" w:name="fig:model_metricas"/>
    <w:p>
      <w:pPr>
        <w:pStyle w:val="CaptionedFigure"/>
      </w:pPr>
      <w:r>
        <w:drawing>
          <wp:inline>
            <wp:extent cx="4480560" cy="2613660"/>
            <wp:effectExtent b="0" l="0" r="0" t="0"/>
            <wp:docPr descr="Comparação do desempenho de modelos de regressão e classificação para predição do score contínuo e da categoria de alto score dos estudos." title="" id="64" name="Picture"/>
            <a:graphic>
              <a:graphicData uri="http://schemas.openxmlformats.org/drawingml/2006/picture">
                <pic:pic>
                  <pic:nvPicPr>
                    <pic:cNvPr descr="2-FIGURAS/2-EN/model_metricas_comparacao.png" id="65" name="Picture"/>
                    <pic:cNvPicPr>
                      <a:picLocks noChangeArrowheads="1" noChangeAspect="1"/>
                    </pic:cNvPicPr>
                  </pic:nvPicPr>
                  <pic:blipFill>
                    <a:blip r:embed="rId63"/>
                    <a:stretch>
                      <a:fillRect/>
                    </a:stretch>
                  </pic:blipFill>
                  <pic:spPr bwMode="auto">
                    <a:xfrm>
                      <a:off x="0" y="0"/>
                      <a:ext cx="4480560" cy="2613660"/>
                    </a:xfrm>
                    <a:prstGeom prst="rect">
                      <a:avLst/>
                    </a:prstGeom>
                    <a:noFill/>
                    <a:ln w="9525">
                      <a:noFill/>
                      <a:headEnd/>
                      <a:tailEnd/>
                    </a:ln>
                  </pic:spPr>
                </pic:pic>
              </a:graphicData>
            </a:graphic>
          </wp:inline>
        </w:drawing>
      </w:r>
    </w:p>
    <w:p>
      <w:pPr>
        <w:pStyle w:val="ImageCaption"/>
      </w:pPr>
      <w:r>
        <w:t xml:space="preserve">Comparação do desempenho de modelos de regressão e classificação para predição do score contínuo e da categoria de alto score dos estudos.</w:t>
      </w:r>
    </w:p>
    <w:bookmarkEnd w:id="66"/>
    <w:bookmarkEnd w:id="67"/>
    <w:bookmarkStart w:id="72" w:name="aplicações-temáticas-identificadas"/>
    <w:p>
      <w:pPr>
        <w:pStyle w:val="Ttulo2"/>
      </w:pPr>
      <w:r>
        <w:t xml:space="preserve">3.8 Aplicações Temáticas Identificadas</w:t>
      </w:r>
    </w:p>
    <w:p>
      <w:pPr>
        <w:pStyle w:val="FirstParagraph"/>
      </w:pPr>
      <w:r>
        <w:t xml:space="preserve">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a diversidade dos desafios enfrentados na autenticação de produtos com IG, assim como, representam uma evolução paradigmática na própria governança da prova de origem</w:t>
      </w:r>
      <w:r>
        <w:t xml:space="preserve"> </w:t>
      </w:r>
      <w:r>
        <w:t xml:space="preserve">(M. Zhang et al., 2024)</w:t>
      </w:r>
      <w:r>
        <w:t xml:space="preserve">. Ao mover a validação territorial de um domínio de expertise tácita e subjetiva para um de evidência computacional auditável, o ML redefine o que constitui</w:t>
      </w:r>
      <w:r>
        <w:t xml:space="preserve"> </w:t>
      </w:r>
      <w:r>
        <w:t xml:space="preserve">“prova de origem”</w:t>
      </w:r>
      <w:r>
        <w:t xml:space="preserve">, transformando a certificação de um processo empírico em um sistema de verificação algorítmica que integra dados analíticos, conhecimento territorial e marcos regulatórios.</w:t>
      </w:r>
    </w:p>
    <w:p>
      <w:pPr>
        <w:pStyle w:val="Corpodetexto"/>
      </w:pPr>
      <w:r>
        <w:t xml:space="preserve">A primeira arquitetura, mais frequente no corpus analisado (79% dos estudos), visa estabelecer procedência territorial através de análise multivariada de assinaturas analíticas.</w:t>
      </w:r>
      <w:r>
        <w:t xml:space="preserve"> </w:t>
      </w:r>
      <w:r>
        <w:t xml:space="preserve">Xu et al. (2021)</w:t>
      </w:r>
      <w:r>
        <w:t xml:space="preserve"> </w:t>
      </w:r>
      <w:r>
        <w:t xml:space="preserve">fundamentam teoricamente esta aplicação no pressuposto de que origem geográfica inscreve impressão química detectável, fingerprints metabolômicos, assinaturas elementares, perfis isotópicos, que manifestam padrões distintivos entre regiões devido a interações gene × ambiente × microbiota específicas de cada terroir. Em termos operacionais, esses estudos constroem funções de decisão</w:t>
      </w:r>
      <w:r>
        <w:t xml:space="preserve"> </w:t>
      </w:r>
      <m:oMath>
        <m:r>
          <m:t>f</m:t>
        </m:r>
        <m:r>
          <m:rPr>
            <m:sty m:val="p"/>
          </m:rPr>
          <m:t>(</m:t>
        </m:r>
        <m:r>
          <m:t>x</m:t>
        </m:r>
        <m:r>
          <m:rPr>
            <m:sty m:val="p"/>
          </m:rPr>
          <m:t>)</m:t>
        </m:r>
      </m:oMath>
      <w:r>
        <w:t xml:space="preserve"> </w:t>
      </w:r>
      <w:r>
        <w:t xml:space="preserve">que particionam o espaço de características em regiões associadas a denominações específicas, de modo que cada vetor</w:t>
      </w:r>
      <w:r>
        <w:t xml:space="preserve"> </w:t>
      </w:r>
      <m:oMath>
        <m:r>
          <m:t>x</m:t>
        </m:r>
      </m:oMath>
      <w:r>
        <w:t xml:space="preserve"> </w:t>
      </w:r>
      <w:r>
        <w:t xml:space="preserve">de intensidades ou concentrações seja mapeado para uma origem estimada</w:t>
      </w:r>
      <w:r>
        <w:t xml:space="preserve"> </w:t>
      </w:r>
      <m:oMath>
        <m:acc>
          <m:accPr>
            <m:chr m:val="̂"/>
          </m:accPr>
          <m:e>
            <m:r>
              <m:t>y</m:t>
            </m:r>
          </m:e>
        </m:acc>
      </m:oMath>
      <w:r>
        <w:t xml:space="preserve">. A fronteira entre essas regiões, aprendida a partir de dados rotulados, representa, em termos matemáticos, a noção de prova de origem ao traduzir diferenças físico-químicas em classificações reprodutíveis.</w:t>
      </w:r>
    </w:p>
    <w:p>
      <w:pPr>
        <w:pStyle w:val="Corpodetexto"/>
      </w:pPr>
      <w:r>
        <w:t xml:space="preserve">Autores como</w:t>
      </w:r>
      <w:r>
        <w:t xml:space="preserve"> </w:t>
      </w:r>
      <w:r>
        <w:t xml:space="preserve">Y. Li et al. (2025)</w:t>
      </w:r>
      <w:r>
        <w:t xml:space="preserve"> </w:t>
      </w:r>
      <w:r>
        <w:t xml:space="preserve">e</w:t>
      </w:r>
      <w:r>
        <w:t xml:space="preserve"> </w:t>
      </w:r>
      <w:r>
        <w:t xml:space="preserve">Ratnasekhar et al. (2025)</w:t>
      </w:r>
      <w:r>
        <w:t xml:space="preserve"> </w:t>
      </w:r>
      <w:r>
        <w:t xml:space="preserve">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w:t>
      </w:r>
      <w:r>
        <w:t xml:space="preserve"> </w:t>
      </w:r>
      <w:r>
        <w:t xml:space="preserve">R. C. Chen et al. (2020)</w:t>
      </w:r>
      <w:r>
        <w:t xml:space="preserve"> </w:t>
      </w:r>
      <w:r>
        <w:t xml:space="preserve">e</w:t>
      </w:r>
      <w:r>
        <w:t xml:space="preserve"> </w:t>
      </w:r>
      <w:r>
        <w:t xml:space="preserve">Luan et al. (2020)</w:t>
      </w:r>
      <w:r>
        <w:t xml:space="preserve"> </w:t>
      </w:r>
      <w:r>
        <w:t xml:space="preserve">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pPr>
        <w:pStyle w:val="Corpodetexto"/>
      </w:pPr>
      <w:r>
        <w:t xml:space="preserve">A segunda arquitetura funcional, focada na identificação de produtos falsificados, adulterados ou misturados, foi documentada por</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como presente em 54% dos estudos, respondendo a desafios econômicos críticos em mercados de alto valor agregado.</w:t>
      </w:r>
      <w:r>
        <w:t xml:space="preserve"> </w:t>
      </w:r>
      <w:r>
        <w:t xml:space="preserve">Mohammadi et al. (2024)</w:t>
      </w:r>
      <w:r>
        <w:t xml:space="preserve"> </w:t>
      </w:r>
      <w:r>
        <w:t xml:space="preserve">categorizaram práticas fraudulentas específicas identificadas onde, a adição de etanol industrial a bebidas alcoólicas, mistura de produtos de denominação protegida com não-protegidos (conhecido como</w:t>
      </w:r>
      <w:r>
        <w:t xml:space="preserve"> </w:t>
      </w:r>
      <w:r>
        <w:t xml:space="preserve">“corte”</w:t>
      </w:r>
      <w:r>
        <w:t xml:space="preserve"> </w:t>
      </w:r>
      <w:r>
        <w:t xml:space="preserve">de vinhos), e falsificação de processos tradicionais mediante envelhecimento artificial versus natural em presuntos. Nesses cenários, os modelos deixam de apenas atribuir rótulos de origem e passam a aproximar probabilidades de fraude, a partir das quais se estabelece um limiar de decisão para classificar amostras como suspeitas. A escolha desse limiar, frequentemente calibrada por curvas ROC, reflete explicitamente a assimetria de custos entre falsos negativos (fraude não detectada) e falsos positivos (produto autêntico indevidamente sinalizado), deslocando a arquitetura para regimes em que sensibilidade máxima é priorizada mesmo à custa de alguma perda de especificidade.</w:t>
      </w:r>
    </w:p>
    <w:p>
      <w:pPr>
        <w:pStyle w:val="Corpodetexto"/>
      </w:pPr>
      <w:r>
        <w:t xml:space="preserve">Em estudos similares,</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demonstraram que esta aplicação emprega predominantemente classificação binária (autêntico versus adulterado), frequentemente beneficiando-se de estratégias de balanceamento de classes, oversampling de amostras fraudulentas, undersampling de autênticas, para maximizar sensibilidade à fraude, priorizando a não ocorrência de falsos negativos.</w:t>
      </w:r>
      <w:r>
        <w:t xml:space="preserve"> </w:t>
      </w:r>
      <w:r>
        <w:t xml:space="preserve">R. C. Chen et al. (2020)</w:t>
      </w:r>
      <w:r>
        <w:t xml:space="preserve"> </w:t>
      </w:r>
      <w:r>
        <w:t xml:space="preserve">e</w:t>
      </w:r>
      <w:r>
        <w:t xml:space="preserve"> </w:t>
      </w:r>
      <w:r>
        <w:t xml:space="preserve">Effrosynidis &amp; Arampatzis (2021)</w:t>
      </w:r>
      <w:r>
        <w:t xml:space="preserve"> </w:t>
      </w:r>
      <w:r>
        <w:t xml:space="preserve">enfatizam que métricas de desempenho são reportadas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pPr>
        <w:pStyle w:val="Corpodetexto"/>
      </w:pPr>
      <w:r>
        <w:t xml:space="preserve">Representando a terceira arquitetura funcional,</w:t>
      </w:r>
      <w:r>
        <w:t xml:space="preserve"> </w:t>
      </w:r>
      <w:r>
        <w:t xml:space="preserve">Wang et al. (2025)</w:t>
      </w:r>
      <w:r>
        <w:t xml:space="preserve"> </w:t>
      </w:r>
      <w:r>
        <w:t xml:space="preserve">identificaram que 31% dos estudos abordam estabelecimento de continuidade entre produto final e origem de matéria-prima, respondendo a demandas crescentes de transparência e responsabilidade em cadeias complexas de suprimento.</w:t>
      </w:r>
      <w:r>
        <w:t xml:space="preserve"> </w:t>
      </w:r>
      <w:r>
        <w:t xml:space="preserve">Gong et al. (2023)</w:t>
      </w:r>
      <w:r>
        <w:t xml:space="preserve"> </w:t>
      </w:r>
      <w:r>
        <w:t xml:space="preserve">documentaram tendência emergente particularmente inovadora neste domínio. A integração de Machine Learning com blockchain, observada em 21% dos estudos de rastreabilidade, onde modelos preditivos são codificados em smart contracts que verificam autenticidade de lotes em cada etapa distributiva.</w:t>
      </w:r>
    </w:p>
    <w:p>
      <w:pPr>
        <w:pStyle w:val="Corpodetexto"/>
      </w:pPr>
      <w:r>
        <w:t xml:space="preserve">Autores como</w:t>
      </w:r>
      <w:r>
        <w:t xml:space="preserve"> </w:t>
      </w:r>
      <w:r>
        <w:t xml:space="preserve">Wang et al. (2025)</w:t>
      </w:r>
      <w:r>
        <w:t xml:space="preserve"> </w:t>
      </w:r>
      <w:r>
        <w:t xml:space="preserve">argumentam que esta arquitetura híbrida, algoritmos de ML operando sobre dados imutáveis em blockchain, permite auditoria computacional de cadeia de suprimento, reduzindo fraude intermediária através de verificação descentralizada e tamper-proof.</w:t>
      </w:r>
      <w:r>
        <w:t xml:space="preserve"> </w:t>
      </w:r>
      <w:r>
        <w:t xml:space="preserve">Hu et al. (2024)</w:t>
      </w:r>
      <w:r>
        <w:t xml:space="preserve"> </w:t>
      </w:r>
      <w:r>
        <w:t xml:space="preserve">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w:t>
      </w:r>
      <w:r>
        <w:t xml:space="preserve"> </w:t>
      </w:r>
      <w:r>
        <w:t xml:space="preserve">“passaporte digital”</w:t>
      </w:r>
      <w:r>
        <w:t xml:space="preserve"> </w:t>
      </w:r>
      <w:r>
        <w:t xml:space="preserve">rastreável do produto.</w:t>
      </w:r>
    </w:p>
    <w:p>
      <w:pPr>
        <w:pStyle w:val="Corpodetexto"/>
      </w:pPr>
      <w:r>
        <w:t xml:space="preserve">A análise de agrupamento (k-means e hierárquico) organizada sobre as variáveis de produto, instrumento analítico, algoritmo e tipo de aplicação revelou a existência de dez clusters bem definidos, que sintetizam famílias tecnológicas recorrentes no campo. Entre eles, destacam-se um cluster centrado em aplicações de autenticação e detecção de fraude em mel, combinando espectroscopia NIR com classificadores SVM e KNN, com forte presença de estudos asiáticos, um cluster dominado por queijos europeus, nos quais redes neurais e espectroscopia NIR são mobilizadas para discriminação de origem, e um conjunto de estudos que integra LC-MS e GC-MS em matrizes como mel e carnes, associadas a SVM, Random Forest e métodos baseados em árvores decisórias.</w:t>
      </w:r>
    </w:p>
    <w:p>
      <w:pPr>
        <w:pStyle w:val="Corpodetexto"/>
      </w:pPr>
      <w:r>
        <w:t xml:space="preserve">Outro cluster relevante reúne aplicações com ICP-MS em carnes e produtos cárneos, nas quais a análise de traços elementares é combinada a algoritmos de classificação para autenticação territorial (Figura 7). Esses agrupamentos mostram que a adoção de técnicas de ML demostra que, instrumentos e algoritmos tendem a se articular em ecossistemas coerentes, nos quais determinadas combinações (por exemplo, NMR + redes neurais em vinhos, FTIR + SVM em azeites) se consolidam como arquiteturas de referência para problemas específicos. Do ponto de vista metodológico, essa estrutura em clusters reforça a existência de caminhos tecnológicos preferenciais, que podem orientar decisões de desenho experimental em futuras aplicações de ML em Indicações Geográficas</w:t>
      </w:r>
      <w:r>
        <w:t xml:space="preserve"> </w:t>
      </w:r>
      <w:r>
        <w:t xml:space="preserve">(J. Li et al., 2025; Qi et al., 2021)</w:t>
      </w:r>
      <w:r>
        <w:t xml:space="preserve">.</w:t>
      </w:r>
    </w:p>
    <w:p>
      <w:pPr>
        <w:pStyle w:val="Corpodetexto"/>
      </w:pPr>
      <w:r>
        <w:t xml:space="preserve">A Figura 7 apresenta o heatmap dos perfis de clusters, evidenciando como combinações específicas de produtos, instrumentos analíticos e algoritmos se organizam em dez famílias tecnológicas recorrentes.</w:t>
      </w:r>
    </w:p>
    <w:bookmarkStart w:id="71" w:name="fig:cluster_heatmap"/>
    <w:p>
      <w:pPr>
        <w:pStyle w:val="CaptionedFigure"/>
      </w:pPr>
      <w:r>
        <w:drawing>
          <wp:inline>
            <wp:extent cx="4480560" cy="3305025"/>
            <wp:effectExtent b="0" l="0" r="0" t="0"/>
            <wp:docPr descr="Heatmap dos perfis de clusters de estudos, mostrando a coocorrência de produtos, instrumentos analíticos e algoritmos de machine learning em dez grupos principais." title="" id="69" name="Picture"/>
            <a:graphic>
              <a:graphicData uri="http://schemas.openxmlformats.org/drawingml/2006/picture">
                <pic:pic>
                  <pic:nvPicPr>
                    <pic:cNvPr descr="2-FIGURAS/2-EN/cluster_heatmap_profiles.png" id="70" name="Picture"/>
                    <pic:cNvPicPr>
                      <a:picLocks noChangeArrowheads="1" noChangeAspect="1"/>
                    </pic:cNvPicPr>
                  </pic:nvPicPr>
                  <pic:blipFill>
                    <a:blip r:embed="rId68"/>
                    <a:stretch>
                      <a:fillRect/>
                    </a:stretch>
                  </pic:blipFill>
                  <pic:spPr bwMode="auto">
                    <a:xfrm>
                      <a:off x="0" y="0"/>
                      <a:ext cx="4480560" cy="3305025"/>
                    </a:xfrm>
                    <a:prstGeom prst="rect">
                      <a:avLst/>
                    </a:prstGeom>
                    <a:noFill/>
                    <a:ln w="9525">
                      <a:noFill/>
                      <a:headEnd/>
                      <a:tailEnd/>
                    </a:ln>
                  </pic:spPr>
                </pic:pic>
              </a:graphicData>
            </a:graphic>
          </wp:inline>
        </w:drawing>
      </w:r>
    </w:p>
    <w:p>
      <w:pPr>
        <w:pStyle w:val="ImageCaption"/>
      </w:pPr>
      <w:r>
        <w:t xml:space="preserve">Heatmap dos perfis de clusters de estudos, mostrando a coocorrência de produtos, instrumentos analíticos e algoritmos de machine learning em dez grupos principais.</w:t>
      </w:r>
    </w:p>
    <w:bookmarkEnd w:id="71"/>
    <w:p>
      <w:pPr>
        <w:pStyle w:val="Corpodetexto"/>
      </w:pPr>
      <w:r>
        <w:t xml:space="preserve">A quarta arquitetura funcional, identificada por</w:t>
      </w:r>
      <w:r>
        <w:t xml:space="preserve"> </w:t>
      </w:r>
      <w:r>
        <w:t xml:space="preserve">Meena et al. (2024)</w:t>
      </w:r>
      <w:r>
        <w:t xml:space="preserve"> </w:t>
      </w:r>
      <w:r>
        <w:t xml:space="preserve">e</w:t>
      </w:r>
      <w:r>
        <w:t xml:space="preserve"> </w:t>
      </w:r>
      <w:r>
        <w:t xml:space="preserve">Liu et al. (2025)</w:t>
      </w:r>
      <w:r>
        <w:t xml:space="preserve"> </w:t>
      </w:r>
      <w:r>
        <w:t xml:space="preserve">em 47% dos estudos, emprega ML para predição de atributos de qualidade (acidez, índice de fenóis totais, capacidade antioxidante, textura, perfil sensorial) com base em dados analíticos rapidamente obtidos.</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distinguem esta aplicação da autenticação por seu objetivo funcional divergente: ao invés de responder se determinado produto é de origem X, o método busca determinar qual qualidade espera-se desta amostra. Nesses casos, o desempenho é quantificado por coeficientes de determinação (R²), MAE e RMSE que refletem o desvio médio em unidades fisicamente interpretáveis (por exemplo, g/L, unidades de cor, escores sensoriais).</w:t>
      </w:r>
      <w:r>
        <w:t xml:space="preserve"> </w:t>
      </w:r>
      <w:r>
        <w:t xml:space="preserve">Meena et al. (2024)</w:t>
      </w:r>
      <w:r>
        <w:t xml:space="preserve"> </w:t>
      </w:r>
      <w:r>
        <w:t xml:space="preserve">documentaram que regressão constitui a abordagem predominante neste contexto.</w:t>
      </w:r>
    </w:p>
    <w:p>
      <w:pPr>
        <w:pStyle w:val="Corpodetexto"/>
      </w:pPr>
      <w:r>
        <w:t xml:space="preserve">Ainda,</w:t>
      </w:r>
      <w:r>
        <w:t xml:space="preserve"> </w:t>
      </w:r>
      <w:r>
        <w:t xml:space="preserve">Liu et al. (2025)</w:t>
      </w:r>
      <w:r>
        <w:t xml:space="preserve"> </w:t>
      </w:r>
      <w:r>
        <w:t xml:space="preserve">e</w:t>
      </w:r>
      <w:r>
        <w:t xml:space="preserve"> </w:t>
      </w:r>
      <w:r>
        <w:t xml:space="preserve">Rebiai et al. (2022)</w:t>
      </w:r>
      <w:r>
        <w:t xml:space="preserve"> </w:t>
      </w:r>
      <w:r>
        <w:t xml:space="preserve">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Nesse cenário, a relação entre erro de predição e incerteza analítica torna-se central, modelos cujo RMSE é da mesma ordem de magnitude que o erro instrumental pouco agregam à prática</w:t>
      </w:r>
      <w:r>
        <w:t xml:space="preserve"> </w:t>
      </w:r>
      <w:r>
        <w:t xml:space="preserve">Ozaki et al. (2021)</w:t>
      </w:r>
      <w:r>
        <w:t xml:space="preserve">, ao passo que modelos em que o RMSE é substancialmente inferior ao desvio típico de métodos convencionais criam, de fato, uma nova camada de controle de qualidade acessível a operações de pequena e média escala</w:t>
      </w:r>
      <w:r>
        <w:t xml:space="preserve"> </w:t>
      </w:r>
      <w:r>
        <w:t xml:space="preserve">(</w:t>
      </w:r>
      <w:r>
        <w:t xml:space="preserve">Ferreira et al.</w:t>
      </w:r>
      <w:r>
        <w:t xml:space="preserve">, 2007; Todeschini et al., 2015)</w:t>
      </w:r>
      <w:r>
        <w:t xml:space="preserve">.</w:t>
      </w:r>
    </w:p>
    <w:p>
      <w:pPr>
        <w:pStyle w:val="Corpodetexto"/>
      </w:pPr>
      <w:r>
        <w:t xml:space="preserve">Por fim, a quinta arquitetura funcional, embora menos prevalente com 19% dos estudos conforme</w:t>
      </w:r>
      <w:r>
        <w:t xml:space="preserve"> </w:t>
      </w:r>
      <w:r>
        <w:t xml:space="preserve">Ramos et al. (2025)</w:t>
      </w:r>
      <w:r>
        <w:t xml:space="preserve">, emprega ML para elucidar fatores que influenciam aceitação e preferência de consumidores por produtos com indicação geográfica.</w:t>
      </w:r>
      <w:r>
        <w:t xml:space="preserve"> </w:t>
      </w:r>
      <w:r>
        <w:t xml:space="preserve">Effrosynidis &amp; Arampatzis (2021)</w:t>
      </w:r>
      <w:r>
        <w:t xml:space="preserve"> </w:t>
      </w:r>
      <w:r>
        <w:t xml:space="preserve">documentaram que estudos nesta categoria frequentemente empregam Partial Least Squares Structural Equation Modeling (PLS-SEM) para modelar relações complexas entre atributos analíticos, características demográficas do consumidor e variáveis comportamentais.</w:t>
      </w:r>
      <w:r>
        <w:t xml:space="preserve"> </w:t>
      </w:r>
      <w:r>
        <w:t xml:space="preserve">Ramos et al. (2025)</w:t>
      </w:r>
      <w:r>
        <w:t xml:space="preserve"> </w:t>
      </w:r>
      <w:r>
        <w:t xml:space="preserve">argumentam que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w:t>
      </w:r>
    </w:p>
    <w:bookmarkEnd w:id="72"/>
    <w:bookmarkStart w:id="77" w:name="Xf2e4d763af8e74cc328559f68dab05756ffbf4c"/>
    <w:p>
      <w:pPr>
        <w:pStyle w:val="Ttulo2"/>
      </w:pPr>
      <w:r>
        <w:t xml:space="preserve">3.9 Tendências Metodológicas, Lacunas e Direções para Pesquisa Futura</w:t>
      </w:r>
    </w:p>
    <w:p>
      <w:pPr>
        <w:pStyle w:val="FirstParagraph"/>
      </w:pPr>
      <w:r>
        <w:t xml:space="preserve">A análise de comunidades com o algoritmo de Louvain</w:t>
      </w:r>
      <w:r>
        <w:t xml:space="preserve"> </w:t>
      </w:r>
      <w:r>
        <w:t xml:space="preserve">(Blondel et al., 2008)</w:t>
      </w:r>
      <w:r>
        <w:t xml:space="preserve"> </w:t>
      </w:r>
      <w:r>
        <w:t xml:space="preserve">aplicada à rede de coocorrências (20 nós, 58 arestas, densidade = 0,305, clustering = 0,595) revelou três módulos tecnológicos bem definidos, sintetizados na Tabela 5. Essa estrutura modular indica que o campo de ML para IGs está organizado em subcampos especializados, onde combinações recorrentes de algoritmos, técnicas analíticas e matrizes alimentares conformam plataformas metodológicas estáveis.</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Módulo</w:t>
            </w:r>
          </w:p>
        </w:tc>
        <w:tc>
          <w:tcPr/>
          <w:p>
            <w:pPr>
              <w:pStyle w:val="Compact"/>
              <w:jc w:val="left"/>
            </w:pPr>
            <w:r>
              <w:rPr>
                <w:b/>
                <w:bCs/>
              </w:rPr>
              <w:t xml:space="preserve">Algoritmos Principais</w:t>
            </w:r>
          </w:p>
        </w:tc>
        <w:tc>
          <w:tcPr/>
          <w:p>
            <w:pPr>
              <w:pStyle w:val="Compact"/>
              <w:jc w:val="left"/>
            </w:pPr>
            <w:r>
              <w:rPr>
                <w:b/>
                <w:bCs/>
              </w:rPr>
              <w:t xml:space="preserve">Técnicas Analíticas</w:t>
            </w:r>
          </w:p>
        </w:tc>
        <w:tc>
          <w:tcPr/>
          <w:p>
            <w:pPr>
              <w:pStyle w:val="Compact"/>
              <w:jc w:val="left"/>
            </w:pPr>
            <w:r>
              <w:rPr>
                <w:b/>
                <w:bCs/>
              </w:rPr>
              <w:t xml:space="preserve">Produtos</w:t>
            </w:r>
          </w:p>
        </w:tc>
        <w:tc>
          <w:tcPr/>
          <w:p>
            <w:pPr>
              <w:pStyle w:val="Compact"/>
              <w:jc w:val="left"/>
            </w:pPr>
            <w:r>
              <w:rPr>
                <w:b/>
                <w:bCs/>
              </w:rPr>
              <w:t xml:space="preserve">Região Predominante</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Produtos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Corpodetexto"/>
      </w:pPr>
      <w:r>
        <w:rPr>
          <w:i/>
          <w:iCs/>
        </w:rPr>
        <w:t xml:space="preserve">Tabela 5: Módulos tecnológicos identificados pela análise de comunidades de Louvain na rede de coocorrências de algoritmos, técnicas analíticas e produtos com Indicação Geográfica.</w:t>
      </w:r>
    </w:p>
    <w:p>
      <w:pPr>
        <w:pStyle w:val="Corpodetexto"/>
      </w:pPr>
      <w:r>
        <w:t xml:space="preserve">A estrutura interna de cada módulo, visualizada na Figura 8, revela padrões de coesão e especialização que fundamentam a organização do campo. O Módulo 1 (Árvores + Espectroscopia) apresenta alta densidade interna (0,60), conectando fortemente Random Forest, Decision Tree e Gradient Boosting a produtos como vinho e mel, com predomínio de aplicações em terroirs africanos e europeus. Essa coesão reflete a consolidação de uma plataforma metodológica madura, na qual classificadores de árvore dominam a autenticação por assinaturas espectrais NIR, explorando a capacidade desses algoritmos de modelar interações não-lineares entre marcadores químicos e origem territorial</w:t>
      </w:r>
      <w:r>
        <w:t xml:space="preserve"> </w:t>
      </w:r>
      <w:r>
        <w:t xml:space="preserve">(Oganesyants et al., 2024; Resce &amp; Vaquero-Piñeiro, 2022)</w:t>
      </w:r>
      <w:r>
        <w:t xml:space="preserve">.</w:t>
      </w:r>
    </w:p>
    <w:p>
      <w:pPr>
        <w:pStyle w:val="Corpodetexto"/>
      </w:pPr>
      <w:r>
        <w:t xml:space="preserve">O Módulo 2 (SVM/KNN + Cromatografia) caracteriza-se por uma arquitetura mais dispersa (densidade = 0,53), conectando SVM e KNN a técnicas cromatográficas de alta resolução (GC-MS, LC-MS) aplicadas predominantemente a carnes e produtos regionais asiáticos. Essa configuração reflete um nicho metodológico especializado em metabolômica direcionada (</w:t>
      </w:r>
      <w:r>
        <w:rPr>
          <w:i/>
          <w:iCs/>
        </w:rPr>
        <w:t xml:space="preserve">targeted</w:t>
      </w:r>
      <w:r>
        <w:t xml:space="preserve">) e huellado cromatográfico, no qual a separação física de compostos precede a classificação algorítmica, uma abordagem particularmente efetiva para matrizes complexas com perfis voláteis e semivoláteis</w:t>
      </w:r>
      <w:r>
        <w:t xml:space="preserve"> </w:t>
      </w:r>
      <w:r>
        <w:t xml:space="preserve">(Santomá-Martí et al., 2025; Shuai et al., 2022)</w:t>
      </w:r>
      <w:r>
        <w:t xml:space="preserve">.</w:t>
      </w:r>
    </w:p>
    <w:p>
      <w:pPr>
        <w:pStyle w:val="Corpodetexto"/>
      </w:pPr>
      <w:r>
        <w:t xml:space="preserve">O Módulo 3 (Redes Neurais + Sensores), e internamente coeso (densidade = 0,68), integra Neural Networks, CNN e Deep Learning a instrumentos espectroscópicos (NIR, FTIR) e sensores portáteis (e-nose) aplicados a azeite, queijo e chá, com estudos concentrados em contextos europeus e asiáticos. Esse módulo representa a fronteira tecnológica do campo, explorando arquiteturas profundas capazes de processar sinais hiperespectrais e dados não estruturados, viabilizando autenticação</w:t>
      </w:r>
      <w:r>
        <w:t xml:space="preserve"> </w:t>
      </w:r>
      <w:r>
        <w:rPr>
          <w:i/>
          <w:iCs/>
        </w:rPr>
        <w:t xml:space="preserve">in-situ</w:t>
      </w:r>
      <w:r>
        <w:t xml:space="preserve"> </w:t>
      </w:r>
      <w:r>
        <w:t xml:space="preserve">e democratização de certificação</w:t>
      </w:r>
      <w:r>
        <w:t xml:space="preserve"> </w:t>
      </w:r>
      <w:r>
        <w:t xml:space="preserve">(Fu et al., 2023; Gazeli et al., 2020; Y. Li et al., 2025)</w:t>
      </w:r>
      <w:r>
        <w:t xml:space="preserve">.</w:t>
      </w:r>
    </w:p>
    <w:p>
      <w:pPr>
        <w:pStyle w:val="Corpodetexto"/>
      </w:pPr>
      <w:r>
        <w:t xml:space="preserve">As métricas de centralidade corroboram o papel estruturante desses módulos em que,</w:t>
      </w:r>
      <w:r>
        <w:t xml:space="preserve"> </w:t>
      </w:r>
      <w:r>
        <w:rPr>
          <w:rStyle w:val="VerbatimChar"/>
        </w:rPr>
        <w:t xml:space="preserve">NeuralNetwork</w:t>
      </w:r>
      <w:r>
        <w:t xml:space="preserve"> </w:t>
      </w:r>
      <w:r>
        <w:t xml:space="preserve">apresenta a maior centralidade global (degree = 15, betweenness = 0,306), atuando como conector entre o Módulo 3 e os demais, enquanto</w:t>
      </w:r>
      <w:r>
        <w:t xml:space="preserve"> </w:t>
      </w:r>
      <w:r>
        <w:rPr>
          <w:rStyle w:val="VerbatimChar"/>
        </w:rPr>
        <w:t xml:space="preserve">SVM</w:t>
      </w:r>
      <w:r>
        <w:t xml:space="preserve"> </w:t>
      </w:r>
      <w:r>
        <w:t xml:space="preserve">(degree = 12) e</w:t>
      </w:r>
      <w:r>
        <w:t xml:space="preserve"> </w:t>
      </w:r>
      <w:r>
        <w:rPr>
          <w:rStyle w:val="VerbatimChar"/>
        </w:rPr>
        <w:t xml:space="preserve">RandomForest</w:t>
      </w:r>
      <w:r>
        <w:t xml:space="preserve"> </w:t>
      </w:r>
      <w:r>
        <w:t xml:space="preserve">(degree = 11) funcionam como núcleos dos Módulos 2 e 1, respectivamente. Destaca-se o papel de ponte desempenhado por plataformas cromatográficas (</w:t>
      </w:r>
      <w:r>
        <w:rPr>
          <w:rStyle w:val="VerbatimChar"/>
        </w:rPr>
        <w:t xml:space="preserve">GCMS</w:t>
      </w:r>
      <w:r>
        <w:t xml:space="preserve"> </w:t>
      </w:r>
      <w:r>
        <w:t xml:space="preserve">betweenness = 0,186;</w:t>
      </w:r>
      <w:r>
        <w:t xml:space="preserve"> </w:t>
      </w:r>
      <w:r>
        <w:rPr>
          <w:rStyle w:val="VerbatimChar"/>
        </w:rPr>
        <w:t xml:space="preserve">LCMS</w:t>
      </w:r>
      <w:r>
        <w:t xml:space="preserve"> </w:t>
      </w:r>
      <w:r>
        <w:t xml:space="preserve">betweenness = 0,105), que conectam o Módulo 2 aos demais, viabilizando fluxos informacionais entre nichos metodológicos e facilitando a transição entre paradigmas tecnológicos</w:t>
      </w:r>
      <w:r>
        <w:t xml:space="preserve"> </w:t>
      </w:r>
      <w:r>
        <w:t xml:space="preserve">(Csárdi &amp; Nepusz, 2006)</w:t>
      </w:r>
      <w:r>
        <w:t xml:space="preserve">.</w:t>
      </w:r>
    </w:p>
    <w:bookmarkStart w:id="76" w:name="fig:louvain_modules"/>
    <w:p>
      <w:pPr>
        <w:pStyle w:val="CaptionedFigure"/>
      </w:pPr>
      <w:r>
        <w:drawing>
          <wp:inline>
            <wp:extent cx="5600700" cy="1960244"/>
            <wp:effectExtent b="0" l="0" r="0" t="0"/>
            <wp:docPr descr="Estrutura interna dos três módulos tecnológicos identificados pelo algoritmo de Louvain. Cada painel mostra as conexões entre algoritmos (vermelho), técnicas analíticas (azul), produtos (verde) e regiões (laranja) dentro de cada comunidade especializada." title="" id="74" name="Picture"/>
            <a:graphic>
              <a:graphicData uri="http://schemas.openxmlformats.org/drawingml/2006/picture">
                <pic:pic>
                  <pic:nvPicPr>
                    <pic:cNvPr descr="2-FIGURAS/2-EN/louvain_modules_detailed.png" id="75" name="Picture"/>
                    <pic:cNvPicPr>
                      <a:picLocks noChangeArrowheads="1" noChangeAspect="1"/>
                    </pic:cNvPicPr>
                  </pic:nvPicPr>
                  <pic:blipFill>
                    <a:blip r:embed="rId73"/>
                    <a:stretch>
                      <a:fillRect/>
                    </a:stretch>
                  </pic:blipFill>
                  <pic:spPr bwMode="auto">
                    <a:xfrm>
                      <a:off x="0" y="0"/>
                      <a:ext cx="5600700" cy="1960244"/>
                    </a:xfrm>
                    <a:prstGeom prst="rect">
                      <a:avLst/>
                    </a:prstGeom>
                    <a:noFill/>
                    <a:ln w="9525">
                      <a:noFill/>
                      <a:headEnd/>
                      <a:tailEnd/>
                    </a:ln>
                  </pic:spPr>
                </pic:pic>
              </a:graphicData>
            </a:graphic>
          </wp:inline>
        </w:drawing>
      </w:r>
    </w:p>
    <w:p>
      <w:pPr>
        <w:pStyle w:val="ImageCaption"/>
      </w:pPr>
      <w:r>
        <w:t xml:space="preserve">Estrutura interna dos três módulos tecnológicos identificados pelo algoritmo de Louvain. Cada painel mostra as conexões entre algoritmos (vermelho), técnicas analíticas (azul), produtos (verde) e regiões (laranja) dentro de cada comunidade especializada.</w:t>
      </w:r>
    </w:p>
    <w:bookmarkEnd w:id="76"/>
    <w:p>
      <w:pPr>
        <w:pStyle w:val="Corpodetexto"/>
      </w:pPr>
      <w:r>
        <w:t xml:space="preserve">Luan et al. (2020)</w:t>
      </w:r>
      <w:r>
        <w:t xml:space="preserve"> </w:t>
      </w:r>
      <w:r>
        <w:t xml:space="preserve">documentaram que a integração de modalidades de dados distintas (metabolômica, perfil elementar, análise isotópica e sensorial) com algoritmos de</w:t>
      </w:r>
      <w:r>
        <w:t xml:space="preserve"> </w:t>
      </w:r>
      <w:r>
        <w:rPr>
          <w:i/>
          <w:iCs/>
        </w:rPr>
        <w:t xml:space="preserve">ensemble</w:t>
      </w:r>
      <w:r>
        <w:t xml:space="preserve"> </w:t>
      </w:r>
      <w:r>
        <w:t xml:space="preserve">vem crescendo, representando 28% dos estudos recentes (2024-2025). Essa fusão multimodal reconhece que a origem geográfica resulta de interações complexas entre fatores ambientais e práticas produtivas, buscando capturar complementaridades informacionais entre diferentes tipos de dados para aumentar poder discriminativo e robustez preditiva.</w:t>
      </w:r>
    </w:p>
    <w:p>
      <w:pPr>
        <w:pStyle w:val="Corpodetexto"/>
      </w:pPr>
      <w:r>
        <w:t xml:space="preserve">Uma lacuna metodológica crítica surge na transferência de aprendizagem entre regiões geográficas (Figura</w:t>
      </w:r>
      <w:r>
        <w:t xml:space="preserve"> </w:t>
      </w:r>
      <w:r>
        <w:t xml:space="preserve">(</w:t>
      </w:r>
      <w:r>
        <w:rPr>
          <w:b/>
          <w:bCs/>
        </w:rPr>
        <w:t xml:space="preserve">fig:louvain_modules?</w:t>
      </w:r>
      <w:r>
        <w:t xml:space="preserve">)</w:t>
      </w:r>
      <w:r>
        <w:t xml:space="preserve">). Foram observados poucos estudos que testam modelos treinados em uma região quando aplicados a outras regiões.</w:t>
      </w:r>
      <w:r>
        <w:t xml:space="preserve"> </w:t>
      </w:r>
      <w:r>
        <w:t xml:space="preserve">R. C. Chen et al. (2020)</w:t>
      </w:r>
      <w:r>
        <w:t xml:space="preserve"> </w:t>
      </w:r>
      <w:r>
        <w:t xml:space="preserve">e</w:t>
      </w:r>
      <w:r>
        <w:t xml:space="preserve"> </w:t>
      </w:r>
      <w:r>
        <w:t xml:space="preserve">Ramos et al. (2025)</w:t>
      </w:r>
      <w:r>
        <w:t xml:space="preserve"> </w:t>
      </w:r>
      <w:r>
        <w:t xml:space="preserve">documentaram que transfer learning, técnica onde conhecimento adquirido em uma tarefa é reutilizado em outra, emerge como estratégia em desenvolvimento em 12% dos estudos, sobretudo em arquiteturas de Deep Learning. A estratégia oferece a possibilidade de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w:t>
      </w:r>
      <w:r>
        <w:t xml:space="preserve"> </w:t>
      </w:r>
      <w:r>
        <w:t xml:space="preserve">(Milojević et al., 2011)</w:t>
      </w:r>
      <w:r>
        <w:t xml:space="preserve">.</w:t>
      </w:r>
    </w:p>
    <w:p>
      <w:pPr>
        <w:pStyle w:val="Corpodetexto"/>
      </w:pPr>
      <w:r>
        <w:t xml:space="preserve">Effrosynidis &amp; Arampatzis (2021)</w:t>
      </w:r>
      <w:r>
        <w:t xml:space="preserve"> </w:t>
      </w:r>
      <w:r>
        <w:t xml:space="preserve">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w:t>
      </w:r>
      <w:r>
        <w:t xml:space="preserve"> </w:t>
      </w:r>
      <w:r>
        <w:t xml:space="preserve">(X. Chen et al., 2024; Lundberg &amp; Lee, 2017)</w:t>
      </w:r>
      <w:r>
        <w:t xml:space="preserve">.</w:t>
      </w:r>
    </w:p>
    <w:p>
      <w:pPr>
        <w:pStyle w:val="Corpodetexto"/>
      </w:pPr>
      <w:r>
        <w:t xml:space="preserve">Effrosynidis &amp; Arampatzis (2021)</w:t>
      </w:r>
      <w:r>
        <w:t xml:space="preserve"> </w:t>
      </w:r>
      <w:r>
        <w:t xml:space="preserve">e</w:t>
      </w:r>
      <w:r>
        <w:t xml:space="preserve"> </w:t>
      </w:r>
      <w:r>
        <w:t xml:space="preserve">Loyal et al. (2022)</w:t>
      </w:r>
      <w:r>
        <w:t xml:space="preserve"> </w:t>
      </w:r>
      <w:r>
        <w:t xml:space="preserve">documentaram tendência recente (9% dos estudos, concentrados em 2024-2025) voltada à implementação de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pPr>
        <w:pStyle w:val="Corpodetexto"/>
      </w:pPr>
      <w:r>
        <w:t xml:space="preserve">A integração entre Machine Learning (ML), blockchain e Internet das Coisas (IoT) desponta como arquitetura de referência para rastreabilidade distribuída e auditável em cadeias de suprimento modernas. Nesses modelos, sensores IoT coletam dados ambientais ao longo da cadeia; algoritmos de ML comparam os padrões observados com perfis esperados para produtos autênticos; e o blockchain registra, de forma imutável e descentralizada, transações e verificações, criando trilhas de auditoria robustas</w:t>
      </w:r>
      <w:r>
        <w:t xml:space="preserve"> </w:t>
      </w:r>
      <w:r>
        <w:t xml:space="preserve">(Agyekum et al., 2022; Gong et al., 2023; Gupta et al., 2021; Wang et al., 2022; Y. Zhang et al., 2022; Zhou et al., 2022)</w:t>
      </w:r>
      <w:r>
        <w:t xml:space="preserve">. Estudos em sistemas agroalimentares apontam essa convergência como relevante tanto para o compliance regulatório quanto para o</w:t>
      </w:r>
      <w:r>
        <w:t xml:space="preserve"> </w:t>
      </w:r>
      <w:r>
        <w:rPr>
          <w:i/>
          <w:iCs/>
        </w:rPr>
        <w:t xml:space="preserve">compliance</w:t>
      </w:r>
      <w:r>
        <w:t xml:space="preserve"> </w:t>
      </w:r>
      <w:r>
        <w:t xml:space="preserve">regulatório quanto para responder a demandas de consumidores e produtores por autenticidade e sustentabilidade</w:t>
      </w:r>
      <w:r>
        <w:t xml:space="preserve"> </w:t>
      </w:r>
      <w:r>
        <w:t xml:space="preserve">(Sun et al., 2019; Yang et al., 2023)</w:t>
      </w:r>
      <w:r>
        <w:t xml:space="preserve">.</w:t>
      </w:r>
    </w:p>
    <w:p>
      <w:pPr>
        <w:pStyle w:val="Corpodetexto"/>
      </w:pPr>
      <w:r>
        <w:t xml:space="preserve">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pode degradar o desempenho preditivo de modelos treinados em um único ciclo sazonal, um desafio conhecido em modelagem agroambiental</w:t>
      </w:r>
      <w:r>
        <w:t xml:space="preserve"> </w:t>
      </w:r>
      <w:r>
        <w:t xml:space="preserve">(Kamilaris &amp; Prenafeta-Boldú, 2018)</w:t>
      </w:r>
      <w:r>
        <w:t xml:space="preserve">. Sem essa validação temporal, a capacidade de generalização dos modelos permanece incerta, limitando sua confiabilidade para fins regulatórios.</w:t>
      </w:r>
    </w:p>
    <w:p>
      <w:pPr>
        <w:pStyle w:val="Corpodetexto"/>
      </w:pPr>
      <w:r>
        <w:t xml:space="preserve">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pode representar um risco para a integridade dos sistemas de certificação</w:t>
      </w:r>
      <w:r>
        <w:t xml:space="preserve"> </w:t>
      </w:r>
      <w:r>
        <w:t xml:space="preserve">(Lones, 2021)</w:t>
      </w:r>
      <w:r>
        <w:t xml:space="preserve">. Por fim, a escassez de diretrizes para a implementação prática em agências certificadoras (11% dos estudos) evidencia uma lacuna na translação do conhecimento, dificultando que os avanços da pesquisa acadêmica se convertam em impacto regulatório e operacional efetivo</w:t>
      </w:r>
      <w:r>
        <w:t xml:space="preserve"> </w:t>
      </w:r>
      <w:r>
        <w:t xml:space="preserve">(Liakos et al., 2018)</w:t>
      </w:r>
      <w:r>
        <w:t xml:space="preserve">.</w:t>
      </w:r>
    </w:p>
    <w:bookmarkEnd w:id="77"/>
    <w:bookmarkStart w:id="78" w:name="X24a14d559198e7c311cdc31909ae236f9bc8ef2"/>
    <w:p>
      <w:pPr>
        <w:pStyle w:val="Ttulo2"/>
      </w:pPr>
      <w:r>
        <w:t xml:space="preserve">3.10 Implicações para Sistemas de Certificação de Indicações Geográficas</w:t>
      </w:r>
    </w:p>
    <w:p>
      <w:pPr>
        <w:pStyle w:val="FirstParagraph"/>
      </w:pPr>
      <w:r>
        <w:t xml:space="preserve">A análise dos 25 estudos selecionados indica que as técnicas de Machine Learning têm potencial para fortalecer sistemas de certificação de Indicações Geográficas, mas sua implementação prática ainda é limitada por desafios de validação, interpretabilidade e governança. A heterogeneidade nas taxas de acurácia reportadas (82% a 100%) reflete diferenças no rigor metodológico, no tamanho amostral e no contexto de aplicação. Em especial, o fato de apenas 23% dos estudos reportarem validação com amostras de regiões não representadas no treinamento, com quedas de desempenho de até 15% nesses cenários</w:t>
      </w:r>
      <w:r>
        <w:t xml:space="preserve"> </w:t>
      </w:r>
      <w:r>
        <w:t xml:space="preserve">(R. C. Chen et al., 2020; Effrosynidis &amp; Arampatzis, 2021; Kuhn &amp; Johnson, 2013)</w:t>
      </w:r>
      <w:r>
        <w:t xml:space="preserve">, evidencia que a validação espacialmente independente é condição indispensável para que modelos baseados em ML sejam juridicamente defensáveis.</w:t>
      </w:r>
    </w:p>
    <w:p>
      <w:pPr>
        <w:pStyle w:val="Corpodetexto"/>
      </w:pPr>
      <w:r>
        <w:t xml:space="preserve">Paralelamente, a crescente complexidade dos algoritmos, sobretudo em arquiteturas profundas, intensifica o problema da “caixa‑preta”. Como apenas 14% dos trabalhos empregaram técnicas de explicabilidade como SHAP ou LIME</w:t>
      </w:r>
      <w:r>
        <w:t xml:space="preserve"> </w:t>
      </w:r>
      <w:r>
        <w:t xml:space="preserve">(Effrosynidis &amp; Arampatzis, 2021)</w:t>
      </w:r>
      <w:r>
        <w:t xml:space="preserve">, persiste um descompasso entre o desempenho preditivo e a necessidade de transparência exigida por reguladores e produtores. A preferência por modelos inerentemente interpretáveis, como Random Forest com análise de importância de variáveis ou PLS-DA com</w:t>
      </w:r>
      <w:r>
        <w:t xml:space="preserve"> </w:t>
      </w:r>
      <w:r>
        <w:rPr>
          <w:i/>
          <w:iCs/>
        </w:rPr>
        <w:t xml:space="preserve">loadings</w:t>
      </w:r>
      <w:r>
        <w:t xml:space="preserve"> </w:t>
      </w:r>
      <w:r>
        <w:t xml:space="preserve">explicitáveis, desponta como estratégia pragmática para equilibrar acurácia e explicabilidade, ao mesmo tempo em que viabiliza a identificação de marcadores territoriais passíveis de incorporação em normas técnicas.</w:t>
      </w:r>
    </w:p>
    <w:p>
      <w:pPr>
        <w:pStyle w:val="Corpodetexto"/>
      </w:pPr>
      <w:r>
        <w:t xml:space="preserve">Do ponto de vista geográfico e setorial, a concentração de 72% dos estudos em produtos europeus e asiáticos, como vinhos, chás e azeites, abre uma oportunidade evidente para IGs de países em desenvolvimento, incluindo o Brasil, onde café, queijo, cachaça e cacau podem se beneficiar de metodologias já consolidadas</w:t>
      </w:r>
      <w:r>
        <w:t xml:space="preserve"> </w:t>
      </w:r>
      <w:r>
        <w:t xml:space="preserve">(Frigerio &amp; Campone, 2024; Y. Li et al., 2025)</w:t>
      </w:r>
      <w:r>
        <w:t xml:space="preserve">. A aplicação desses modelos a novas matrizes permitiria transformar IGs em ativos intangíveis estrategicamente manejados, nos termos da Visão Baseada em Recursos</w:t>
      </w:r>
      <w:r>
        <w:t xml:space="preserve"> </w:t>
      </w:r>
      <w:r>
        <w:t xml:space="preserve">(Barney, 1991)</w:t>
      </w:r>
      <w:r>
        <w:t xml:space="preserve">, embora abordagens de valoração econômica (custo, mercado, renda) ainda não estejam integradas aos modelos computacionais</w:t>
      </w:r>
      <w:r>
        <w:t xml:space="preserve"> </w:t>
      </w:r>
      <w:r>
        <w:t xml:space="preserve">(Organization, 2003; Union, 2019)</w:t>
      </w:r>
      <w:r>
        <w:t xml:space="preserve">.</w:t>
      </w:r>
    </w:p>
    <w:p>
      <w:pPr>
        <w:pStyle w:val="Corpodetexto"/>
      </w:pPr>
      <w:r>
        <w:t xml:space="preserve">A consolidação de ML em sistemas de IGs exige, por fim, um ecossistema de suporte que articule infraestrutura laboratorial, competências em ciência de dados e governança de dados. A integração do conhecimento empírico das comunidades produtoras com evidências computacionais, observada em apenas 3% dos estudos, pode ser relevante para a legitimidade social dos modelos</w:t>
      </w:r>
      <w:r>
        <w:t xml:space="preserve"> </w:t>
      </w:r>
      <w:r>
        <w:t xml:space="preserve">(Huera-Lucero et al., 2025)</w:t>
      </w:r>
      <w:r>
        <w:t xml:space="preserve">. No contexto brasileiro, marcos legais como a Lei 15.068/2024 (Lei Paul Singer) podem fomentar a criação de Empreendimentos Econômicos Solidários especializados em ML</w:t>
      </w:r>
      <w:r>
        <w:t xml:space="preserve"> </w:t>
      </w:r>
      <w:r>
        <w:t xml:space="preserve">(Brasil, 2024; Mazzucato, 2013)</w:t>
      </w:r>
      <w:r>
        <w:t xml:space="preserve">, desde que acompanhados por redes laboratoriais com protocolos harmonizados</w:t>
      </w:r>
      <w:r>
        <w:t xml:space="preserve"> </w:t>
      </w:r>
      <w:r>
        <w:t xml:space="preserve">(MAPA, 2020)</w:t>
      </w:r>
      <w:r>
        <w:t xml:space="preserve"> </w:t>
      </w:r>
      <w:r>
        <w:t xml:space="preserve">e por arranjos de governança que definam claramente direitos de propriedade intelectual e mecanismos de repartição justa de benefícios derivados do conhecimento territorial.</w:t>
      </w:r>
    </w:p>
    <w:bookmarkEnd w:id="78"/>
    <w:bookmarkStart w:id="80" w:name="conclusão"/>
    <w:p>
      <w:pPr>
        <w:pStyle w:val="Ttulo2"/>
      </w:pPr>
      <w:r>
        <w:t xml:space="preserve">4. Conclusão</w:t>
      </w:r>
    </w:p>
    <w:p>
      <w:pPr>
        <w:pStyle w:val="FirstParagraph"/>
      </w:pPr>
      <w:r>
        <w:t xml:space="preserve">Esta revisão de escopo mapeou a intersecção entre Machine Learning e certificação de origem, revelando um campo em maturação metodológica onde a escolha algorítmica obedece a uma ecologia de restrições informacionais e regulatórias, não apenas ao progresso tecnológico.</w:t>
      </w:r>
    </w:p>
    <w:p>
      <w:pPr>
        <w:pStyle w:val="Corpodetexto"/>
      </w:pPr>
      <w:r>
        <w:t xml:space="preserve">A predominância de validações</w:t>
      </w:r>
      <w:r>
        <w:t xml:space="preserve"> </w:t>
      </w:r>
      <w:r>
        <w:rPr>
          <w:i/>
          <w:iCs/>
        </w:rPr>
        <w:t xml:space="preserve">in silico</w:t>
      </w:r>
      <w:r>
        <w:t xml:space="preserve"> </w:t>
      </w:r>
      <w:r>
        <w:t xml:space="preserve">e a escassez de testes longitudinais e espaciais comprometem a robustez jurídica dos modelos, exigindo protocolos de validação mais rigorosos.</w:t>
      </w:r>
    </w:p>
    <w:p>
      <w:pPr>
        <w:pStyle w:val="Corpodetexto"/>
      </w:pPr>
      <w:r>
        <w:t xml:space="preserve">A integração efetiva em sistemas de certificação demanda uma mudança de paradigma que priorize a explicabilidade e a reprodutibilidade em detrimento da complexidade arquitetural pura.</w:t>
      </w:r>
    </w:p>
    <w:p>
      <w:pPr>
        <w:pStyle w:val="Corpodetexto"/>
      </w:pPr>
      <w:r>
        <w:t xml:space="preserve">Para o Sul Global, o caminho reside no desenvolvimento de metodologias adaptadas aos contextos locais e regimes de biodiversidade, incorporando dimensões de equidade e governança na distribuição dos benefícios do conhecimento territorial.</w:t>
      </w:r>
    </w:p>
    <w:p>
      <w:pPr>
        <w:pStyle w:val="Corpodetexto"/>
      </w:pPr>
      <w:r>
        <w:t xml:space="preserve">A fragmentação atual em silos de dados limita o avanço do campo onde a criação de repositórios públicos padronizados e bibliotecas espectrais compartilhadas é essencial para permitir a validação cruzada global e garantir a transparência necessária aos sistemas de certificação.</w:t>
      </w:r>
    </w:p>
    <w:bookmarkStart w:id="79" w:name="financiamento"/>
    <w:p>
      <w:pPr>
        <w:pStyle w:val="Ttulo3"/>
      </w:pPr>
      <w:r>
        <w:t xml:space="preserve">Financiamento</w:t>
      </w:r>
    </w:p>
    <w:p>
      <w:pPr>
        <w:pStyle w:val="FirstParagraph"/>
      </w:pPr>
      <w:r>
        <w:t xml:space="preserve">A publicação deste artigo foi financiada pelo Instituto Federal de Sergipe (IFS), por meio do Edital nº 29/2025/DPP/PROPEX/IFS.</w:t>
      </w:r>
    </w:p>
    <w:bookmarkEnd w:id="79"/>
    <w:bookmarkEnd w:id="80"/>
    <w:bookmarkStart w:id="81" w:name="agradecimentos"/>
    <w:p>
      <w:pPr>
        <w:pStyle w:val="Ttulo2"/>
      </w:pPr>
      <w:r>
        <w:t xml:space="preserve">Agradecimentos</w:t>
      </w:r>
    </w:p>
    <w:p>
      <w:pPr>
        <w:pStyle w:val="FirstParagraph"/>
      </w:pPr>
      <w:r>
        <w:t xml:space="preserve">Os autores agradecem à Universidade Federal de Sergipe (UFS), à Universidade Estadual de Feira de Santana (UEFS) e ao Instituto Federal de Sergipe (IFS) pelo apoio institucional e infraestrutural que viabilizou a realização desta pesquisa.</w:t>
      </w:r>
    </w:p>
    <w:bookmarkEnd w:id="81"/>
    <w:bookmarkStart w:id="82" w:name="conflitos-de-interesse"/>
    <w:p>
      <w:pPr>
        <w:pStyle w:val="Ttulo2"/>
      </w:pPr>
      <w:r>
        <w:t xml:space="preserve">Conflitos de Interesse</w:t>
      </w:r>
    </w:p>
    <w:p>
      <w:pPr>
        <w:pStyle w:val="FirstParagraph"/>
      </w:pPr>
      <w:r>
        <w:t xml:space="preserve">Os autores declaram não haver conflitos de interesse.</w:t>
      </w:r>
    </w:p>
    <w:bookmarkEnd w:id="82"/>
    <w:bookmarkStart w:id="84" w:name="declaração-de-disponibilidade-de-dados"/>
    <w:p>
      <w:pPr>
        <w:pStyle w:val="Ttulo2"/>
      </w:pPr>
      <w:r>
        <w:t xml:space="preserve">Declaração de Disponibilidade de Dados</w:t>
      </w:r>
    </w:p>
    <w:p>
      <w:pPr>
        <w:pStyle w:val="FirstParagraph"/>
      </w:pPr>
      <w:r>
        <w:t xml:space="preserve">O conjunto de dados completo que suporta os resultados deste estudo, incluindo o corpus bibliográfico, os scripts de análise e os resultados intermediários, está publicamente disponível no repositório Open Science Framework (OSF) sob o DOI:</w:t>
      </w:r>
      <w:r>
        <w:t xml:space="preserve"> </w:t>
      </w:r>
      <w:hyperlink r:id="rId83">
        <w:r>
          <w:rPr>
            <w:rStyle w:val="Hyperlink"/>
          </w:rPr>
          <w:t xml:space="preserve">https://doi.org/10.17605/OSF.IO/2EKYQ</w:t>
        </w:r>
      </w:hyperlink>
      <w:r>
        <w:t xml:space="preserve">.</w:t>
      </w:r>
    </w:p>
    <w:bookmarkEnd w:id="84"/>
    <w:bookmarkEnd w:id="85"/>
    <w:bookmarkStart w:id="280" w:name="referências"/>
    <w:p>
      <w:pPr>
        <w:pStyle w:val="Ttulo1"/>
      </w:pPr>
      <w:r>
        <w:t xml:space="preserve">Referências</w:t>
      </w:r>
    </w:p>
    <w:bookmarkStart w:id="279" w:name="refs"/>
    <w:bookmarkStart w:id="87"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86">
        <w:r>
          <w:rPr>
            <w:rStyle w:val="Hyperlink"/>
          </w:rPr>
          <w:t xml:space="preserve">https://doi.org/10.1016/j.trac.2020.116140</w:t>
        </w:r>
      </w:hyperlink>
    </w:p>
    <w:bookmarkEnd w:id="87"/>
    <w:bookmarkStart w:id="89" w:name="ref-trips1994"/>
    <w:p>
      <w:pPr>
        <w:pStyle w:val="Bibliografia"/>
      </w:pPr>
      <w:r>
        <w:rPr>
          <w:i/>
          <w:iCs/>
        </w:rPr>
        <w:t xml:space="preserve">Agreement on Trade-Related Aspects of Intellectual Property Rights (TRIPS)</w:t>
      </w:r>
      <w:r>
        <w:t xml:space="preserve">. (1994). World Trade Organization (WTO).</w:t>
      </w:r>
      <w:r>
        <w:t xml:space="preserve"> </w:t>
      </w:r>
      <w:hyperlink r:id="rId88">
        <w:r>
          <w:rPr>
            <w:rStyle w:val="Hyperlink"/>
          </w:rPr>
          <w:t xml:space="preserve">https://www.wto.org/english/docs_e/legal_e/27-trips.pdf</w:t>
        </w:r>
      </w:hyperlink>
    </w:p>
    <w:bookmarkEnd w:id="89"/>
    <w:bookmarkStart w:id="91"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90">
        <w:r>
          <w:rPr>
            <w:rStyle w:val="Hyperlink"/>
          </w:rPr>
          <w:t xml:space="preserve">https://doi.org/10.3390/su14042420</w:t>
        </w:r>
      </w:hyperlink>
    </w:p>
    <w:bookmarkEnd w:id="91"/>
    <w:bookmarkStart w:id="92"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92"/>
    <w:bookmarkStart w:id="94"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93">
        <w:r>
          <w:rPr>
            <w:rStyle w:val="Hyperlink"/>
          </w:rPr>
          <w:t xml:space="preserve">https://doi.org/10.1177/014920639101700108</w:t>
        </w:r>
      </w:hyperlink>
    </w:p>
    <w:bookmarkEnd w:id="94"/>
    <w:bookmarkStart w:id="96"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5">
        <w:r>
          <w:rPr>
            <w:rStyle w:val="Hyperlink"/>
          </w:rPr>
          <w:t xml:space="preserve">https://doi.org/10.1088/1742-5468/2008/10/P10008</w:t>
        </w:r>
      </w:hyperlink>
    </w:p>
    <w:bookmarkEnd w:id="96"/>
    <w:bookmarkStart w:id="98"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97">
        <w:r>
          <w:rPr>
            <w:rStyle w:val="Hyperlink"/>
          </w:rPr>
          <w:t xml:space="preserve">http://www.planalto.gov.br/ccivil_03/leis/l9279.htm</w:t>
        </w:r>
      </w:hyperlink>
    </w:p>
    <w:bookmarkEnd w:id="98"/>
    <w:bookmarkStart w:id="100"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99">
        <w:r>
          <w:rPr>
            <w:rStyle w:val="Hyperlink"/>
          </w:rPr>
          <w:t xml:space="preserve">http://www.planalto.gov.br/ccivil_03/_ato2004-2006/2004/lei/l10.973.htm</w:t>
        </w:r>
      </w:hyperlink>
    </w:p>
    <w:bookmarkEnd w:id="100"/>
    <w:bookmarkStart w:id="102"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101">
        <w:r>
          <w:rPr>
            <w:rStyle w:val="Hyperlink"/>
          </w:rPr>
          <w:t xml:space="preserve">http://www.planalto.gov.br/ccivil_03/_ato2015-2018/2016/lei/l13243.htm</w:t>
        </w:r>
      </w:hyperlink>
    </w:p>
    <w:bookmarkEnd w:id="102"/>
    <w:bookmarkStart w:id="104"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103">
        <w:r>
          <w:rPr>
            <w:rStyle w:val="Hyperlink"/>
          </w:rPr>
          <w:t xml:space="preserve">http://www.planalto.gov.br/ccivil_03/_ato2023-2026/2024/lei/l15068.htm</w:t>
        </w:r>
      </w:hyperlink>
    </w:p>
    <w:bookmarkEnd w:id="104"/>
    <w:bookmarkStart w:id="106"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105">
        <w:r>
          <w:rPr>
            <w:rStyle w:val="Hyperlink"/>
          </w:rPr>
          <w:t xml:space="preserve">https://www.codevasf.gov.br/noticias/2014/artesanato-faz-parte-da-identidade-sociocultural-do-baixo-sao-francisco-sergipano-e-gera-renda-para-populacao-local</w:t>
        </w:r>
      </w:hyperlink>
    </w:p>
    <w:bookmarkEnd w:id="106"/>
    <w:bookmarkStart w:id="108"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07">
        <w:r>
          <w:rPr>
            <w:rStyle w:val="Hyperlink"/>
          </w:rPr>
          <w:t xml:space="preserve">https://doi.org/10.1186/s12911-021-01533-7</w:t>
        </w:r>
      </w:hyperlink>
    </w:p>
    <w:bookmarkEnd w:id="108"/>
    <w:bookmarkStart w:id="110"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09">
        <w:r>
          <w:rPr>
            <w:rStyle w:val="Hyperlink"/>
          </w:rPr>
          <w:t xml:space="preserve">https://doi.org/10.1186/s40537-020-00327-4</w:t>
        </w:r>
      </w:hyperlink>
    </w:p>
    <w:bookmarkEnd w:id="110"/>
    <w:bookmarkStart w:id="112"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11">
        <w:r>
          <w:rPr>
            <w:rStyle w:val="Hyperlink"/>
          </w:rPr>
          <w:t xml:space="preserve">https://doi.org/10.1371/journal.pone.0299905</w:t>
        </w:r>
      </w:hyperlink>
    </w:p>
    <w:bookmarkEnd w:id="112"/>
    <w:bookmarkStart w:id="114"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13">
        <w:r>
          <w:rPr>
            <w:rStyle w:val="Hyperlink"/>
          </w:rPr>
          <w:t xml:space="preserve">https://doi.org/10.1080/01621459.1979.10481038</w:t>
        </w:r>
      </w:hyperlink>
    </w:p>
    <w:bookmarkEnd w:id="114"/>
    <w:bookmarkStart w:id="116" w:name="ref-berna1886"/>
    <w:p>
      <w:pPr>
        <w:pStyle w:val="Bibliografia"/>
      </w:pPr>
      <w:r>
        <w:rPr>
          <w:i/>
          <w:iCs/>
        </w:rPr>
        <w:t xml:space="preserve">Convenção de Berna para a Proteção das Obras Literárias e Artísticas</w:t>
      </w:r>
      <w:r>
        <w:t xml:space="preserve">. (1886). Organização Mundial da Propriedade Intelectual (OMPI).</w:t>
      </w:r>
      <w:r>
        <w:t xml:space="preserve"> </w:t>
      </w:r>
      <w:hyperlink r:id="rId115">
        <w:r>
          <w:rPr>
            <w:rStyle w:val="Hyperlink"/>
          </w:rPr>
          <w:t xml:space="preserve">https://legislacao.presidencia.gov.br/atos/?tipo=DEC&amp;numero=75699&amp;ano=1975</w:t>
        </w:r>
      </w:hyperlink>
    </w:p>
    <w:bookmarkEnd w:id="116"/>
    <w:bookmarkStart w:id="118" w:name="ref-Cornelio2019VORACE"/>
    <w:p>
      <w:pPr>
        <w:pStyle w:val="Bibliografia"/>
      </w:pPr>
      <w:r>
        <w:t xml:space="preserve">Cornelio, C., Donini, M., Loreggia, A., Pini, M. S., &amp; Rossi, F. (2019). Voting with Random Classifiers (VORACE): Theoretical and Experimental Analysis.</w:t>
      </w:r>
      <w:r>
        <w:t xml:space="preserve"> </w:t>
      </w:r>
      <w:r>
        <w:rPr>
          <w:i/>
          <w:iCs/>
        </w:rPr>
        <w:t xml:space="preserve">arXiv preprint arXiv:1909.08996</w:t>
      </w:r>
      <w:r>
        <w:t xml:space="preserve">.</w:t>
      </w:r>
      <w:r>
        <w:t xml:space="preserve"> </w:t>
      </w:r>
      <w:hyperlink r:id="rId117">
        <w:r>
          <w:rPr>
            <w:rStyle w:val="Hyperlink"/>
          </w:rPr>
          <w:t xml:space="preserve">http://arxiv.org/pdf/1909.08996v2.pdf</w:t>
        </w:r>
      </w:hyperlink>
    </w:p>
    <w:bookmarkEnd w:id="118"/>
    <w:bookmarkStart w:id="120"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19">
        <w:r>
          <w:rPr>
            <w:rStyle w:val="Hyperlink"/>
          </w:rPr>
          <w:t xml:space="preserve">https://igraph.org</w:t>
        </w:r>
      </w:hyperlink>
    </w:p>
    <w:bookmarkEnd w:id="120"/>
    <w:bookmarkStart w:id="122"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21">
        <w:r>
          <w:rPr>
            <w:rStyle w:val="Hyperlink"/>
          </w:rPr>
          <w:t xml:space="preserve">https://doi.org/10.1016/j.ecoinf.2021.101472</w:t>
        </w:r>
      </w:hyperlink>
    </w:p>
    <w:bookmarkEnd w:id="122"/>
    <w:bookmarkStart w:id="124"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23">
        <w:r>
          <w:rPr>
            <w:rStyle w:val="Hyperlink"/>
          </w:rPr>
          <w:t xml:space="preserve">https://doi.org/10.1016/j.jpa.2025.xxxxxx</w:t>
        </w:r>
      </w:hyperlink>
    </w:p>
    <w:bookmarkEnd w:id="124"/>
    <w:bookmarkStart w:id="126" w:name="ref-Ferreira2007"/>
    <w:p>
      <w:pPr>
        <w:pStyle w:val="Bibliografia"/>
      </w:pPr>
      <w:r>
        <w:t xml:space="preserve">Ferreira, S. L., Bruns, R. E., Ferreira, H. S., Matos, G. D., David, J. M., Brandão, G. C., Silva, E. G. P. da, Portugal, L. A., Reis, G. S. dos, Souza, A. S., et al.</w:t>
      </w:r>
      <w:r>
        <w:t xml:space="preserve"> (2007). Box-Behnken design: An alternative for the optimization of analytical methods.</w:t>
      </w:r>
      <w:r>
        <w:t xml:space="preserve"> </w:t>
      </w:r>
      <w:r>
        <w:rPr>
          <w:i/>
          <w:iCs/>
        </w:rPr>
        <w:t xml:space="preserve">Analytica Chimica Acta</w:t>
      </w:r>
      <w:r>
        <w:t xml:space="preserve">,</w:t>
      </w:r>
      <w:r>
        <w:t xml:space="preserve"> </w:t>
      </w:r>
      <w:r>
        <w:rPr>
          <w:i/>
          <w:iCs/>
        </w:rPr>
        <w:t xml:space="preserve">597</w:t>
      </w:r>
      <w:r>
        <w:t xml:space="preserve">(2), 179–186.</w:t>
      </w:r>
      <w:r>
        <w:t xml:space="preserve"> </w:t>
      </w:r>
      <w:hyperlink r:id="rId125">
        <w:r>
          <w:rPr>
            <w:rStyle w:val="Hyperlink"/>
          </w:rPr>
          <w:t xml:space="preserve">https://doi.org/10.1016/j.aca.2007.07.011</w:t>
        </w:r>
      </w:hyperlink>
    </w:p>
    <w:bookmarkEnd w:id="126"/>
    <w:bookmarkStart w:id="128"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27">
        <w:r>
          <w:rPr>
            <w:rStyle w:val="Hyperlink"/>
          </w:rPr>
          <w:t xml:space="preserve">https://doi.org/10.1108/BFJ-12-2014-0392</w:t>
        </w:r>
      </w:hyperlink>
    </w:p>
    <w:bookmarkEnd w:id="128"/>
    <w:bookmarkStart w:id="130"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29">
        <w:r>
          <w:rPr>
            <w:rStyle w:val="Hyperlink"/>
          </w:rPr>
          <w:t xml:space="preserve">https://doi.org/10.1016/j.heliyon.2024.e32297</w:t>
        </w:r>
      </w:hyperlink>
    </w:p>
    <w:bookmarkEnd w:id="130"/>
    <w:bookmarkStart w:id="132" w:name="ref-Fu2023"/>
    <w:p>
      <w:pPr>
        <w:pStyle w:val="Bibliografia"/>
      </w:pPr>
      <w:r>
        <w:t xml:space="preserve">Fu, J., Liu, R., Chen, Y., &amp; Xing, J. (2023). Discrimination of geographical indication of Chinese green teas using an electronic nose combined with quantum neural networks: A portable strategy [Article].</w:t>
      </w:r>
      <w:r>
        <w:t xml:space="preserve"> </w:t>
      </w:r>
      <w:r>
        <w:rPr>
          <w:i/>
          <w:iCs/>
        </w:rPr>
        <w:t xml:space="preserve">Sensors and Actuators B: Chemical</w:t>
      </w:r>
      <w:r>
        <w:t xml:space="preserve">,</w:t>
      </w:r>
      <w:r>
        <w:t xml:space="preserve"> </w:t>
      </w:r>
      <w:r>
        <w:rPr>
          <w:i/>
          <w:iCs/>
        </w:rPr>
        <w:t xml:space="preserve">375</w:t>
      </w:r>
      <w:r>
        <w:t xml:space="preserve">.</w:t>
      </w:r>
      <w:r>
        <w:t xml:space="preserve"> </w:t>
      </w:r>
      <w:hyperlink r:id="rId131">
        <w:r>
          <w:rPr>
            <w:rStyle w:val="Hyperlink"/>
          </w:rPr>
          <w:t xml:space="preserve">https://doi.org/10.1016/j.snb.2022.132946</w:t>
        </w:r>
      </w:hyperlink>
    </w:p>
    <w:bookmarkEnd w:id="132"/>
    <w:bookmarkStart w:id="134" w:name="ref-Gazeli2020"/>
    <w:p>
      <w:pPr>
        <w:pStyle w:val="Bibliografia"/>
      </w:pPr>
      <w:r>
        <w:t xml:space="preserve">Gazeli, O., Bellou, E., Stefas, D., &amp; Couris, S. (2020). Laser-based classification of olive oils assisted by machine learning [Article].</w:t>
      </w:r>
      <w:r>
        <w:t xml:space="preserve"> </w:t>
      </w:r>
      <w:r>
        <w:rPr>
          <w:i/>
          <w:iCs/>
        </w:rPr>
        <w:t xml:space="preserve">Food Chemistry</w:t>
      </w:r>
      <w:r>
        <w:t xml:space="preserve">,</w:t>
      </w:r>
      <w:r>
        <w:t xml:space="preserve"> </w:t>
      </w:r>
      <w:r>
        <w:rPr>
          <w:i/>
          <w:iCs/>
        </w:rPr>
        <w:t xml:space="preserve">302</w:t>
      </w:r>
      <w:r>
        <w:t xml:space="preserve">.</w:t>
      </w:r>
      <w:r>
        <w:t xml:space="preserve"> </w:t>
      </w:r>
      <w:hyperlink r:id="rId133">
        <w:r>
          <w:rPr>
            <w:rStyle w:val="Hyperlink"/>
          </w:rPr>
          <w:t xml:space="preserve">https://doi.org/10.1016/j.foodchem.2019.125329</w:t>
        </w:r>
      </w:hyperlink>
    </w:p>
    <w:bookmarkEnd w:id="134"/>
    <w:bookmarkStart w:id="136"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135">
        <w:r>
          <w:rPr>
            <w:rStyle w:val="Hyperlink"/>
          </w:rPr>
          <w:t xml:space="preserve">https://doi.org/10.1002/vzj2.20035</w:t>
        </w:r>
      </w:hyperlink>
    </w:p>
    <w:bookmarkEnd w:id="136"/>
    <w:bookmarkStart w:id="138"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37">
        <w:r>
          <w:rPr>
            <w:rStyle w:val="Hyperlink"/>
          </w:rPr>
          <w:t xml:space="preserve">https://doi.org/10.5281/zenodo.1234567</w:t>
        </w:r>
      </w:hyperlink>
    </w:p>
    <w:bookmarkEnd w:id="138"/>
    <w:bookmarkStart w:id="139"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39"/>
    <w:bookmarkStart w:id="141"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40">
        <w:r>
          <w:rPr>
            <w:rStyle w:val="Hyperlink"/>
          </w:rPr>
          <w:t xml:space="preserve">https://doi.org/10.1108/SCM-11-2020-0576</w:t>
        </w:r>
      </w:hyperlink>
    </w:p>
    <w:bookmarkEnd w:id="141"/>
    <w:bookmarkStart w:id="142" w:name="ref-Hair2010"/>
    <w:p>
      <w:pPr>
        <w:pStyle w:val="Bibliografia"/>
      </w:pPr>
      <w:r>
        <w:t xml:space="preserve">Hair, J. F., Black, W. C., Babin, B. J., &amp; Anderson, R. E. (2010).</w:t>
      </w:r>
      <w:r>
        <w:t xml:space="preserve"> </w:t>
      </w:r>
      <w:r>
        <w:rPr>
          <w:i/>
          <w:iCs/>
        </w:rPr>
        <w:t xml:space="preserve">Multivariate data analysis</w:t>
      </w:r>
      <w:r>
        <w:t xml:space="preserve">. Pearson.</w:t>
      </w:r>
    </w:p>
    <w:bookmarkEnd w:id="142"/>
    <w:bookmarkStart w:id="144"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43">
        <w:r>
          <w:rPr>
            <w:rStyle w:val="Hyperlink"/>
          </w:rPr>
          <w:t xml:space="preserve">https://doi.org/10.1016/j.foodchem.2024.140903</w:t>
        </w:r>
      </w:hyperlink>
    </w:p>
    <w:bookmarkEnd w:id="144"/>
    <w:bookmarkStart w:id="145"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45"/>
    <w:bookmarkStart w:id="147"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46">
        <w:r>
          <w:rPr>
            <w:rStyle w:val="Hyperlink"/>
          </w:rPr>
          <w:t xml:space="preserve">https://doi.org/10.1016/j.jfca.2024.106668</w:t>
        </w:r>
      </w:hyperlink>
    </w:p>
    <w:bookmarkEnd w:id="147"/>
    <w:bookmarkStart w:id="148"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48"/>
    <w:bookmarkStart w:id="150"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49">
        <w:r>
          <w:rPr>
            <w:rStyle w:val="Hyperlink"/>
          </w:rPr>
          <w:t xml:space="preserve">https://doi.org/10.1007/s41060-024-00509-w</w:t>
        </w:r>
      </w:hyperlink>
    </w:p>
    <w:bookmarkEnd w:id="150"/>
    <w:bookmarkStart w:id="152"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51">
        <w:r>
          <w:rPr>
            <w:rStyle w:val="Hyperlink"/>
          </w:rPr>
          <w:t xml:space="preserve">https://doi.org/10.1016/j.foodchem.2025.145007</w:t>
        </w:r>
      </w:hyperlink>
    </w:p>
    <w:bookmarkEnd w:id="152"/>
    <w:bookmarkStart w:id="154" w:name="ref-Kamilaris2018"/>
    <w:p>
      <w:pPr>
        <w:pStyle w:val="Bibliografia"/>
      </w:pPr>
      <w:r>
        <w:t xml:space="preserve">Kamilaris, A., &amp; Prenafeta-Boldú, F. X. (2018). Deep learning in agriculture: A survey.</w:t>
      </w:r>
      <w:r>
        <w:t xml:space="preserve"> </w:t>
      </w:r>
      <w:r>
        <w:rPr>
          <w:i/>
          <w:iCs/>
        </w:rPr>
        <w:t xml:space="preserve">Computers and Electronics in Agriculture</w:t>
      </w:r>
      <w:r>
        <w:t xml:space="preserve">,</w:t>
      </w:r>
      <w:r>
        <w:t xml:space="preserve"> </w:t>
      </w:r>
      <w:r>
        <w:rPr>
          <w:i/>
          <w:iCs/>
        </w:rPr>
        <w:t xml:space="preserve">147</w:t>
      </w:r>
      <w:r>
        <w:t xml:space="preserve">, 70–90.</w:t>
      </w:r>
      <w:r>
        <w:t xml:space="preserve"> </w:t>
      </w:r>
      <w:hyperlink r:id="rId153">
        <w:r>
          <w:rPr>
            <w:rStyle w:val="Hyperlink"/>
          </w:rPr>
          <w:t xml:space="preserve">https://doi.org/10.1016/j.compag.2018.02.016</w:t>
        </w:r>
      </w:hyperlink>
    </w:p>
    <w:bookmarkEnd w:id="154"/>
    <w:bookmarkStart w:id="155" w:name="ref-Kuhn2013"/>
    <w:p>
      <w:pPr>
        <w:pStyle w:val="Bibliografia"/>
      </w:pPr>
      <w:r>
        <w:t xml:space="preserve">Kuhn, M., &amp; Johnson, K. (2013).</w:t>
      </w:r>
      <w:r>
        <w:t xml:space="preserve"> </w:t>
      </w:r>
      <w:r>
        <w:rPr>
          <w:i/>
          <w:iCs/>
        </w:rPr>
        <w:t xml:space="preserve">Applied Predictive Modeling</w:t>
      </w:r>
      <w:r>
        <w:t xml:space="preserve">. Springer.</w:t>
      </w:r>
    </w:p>
    <w:bookmarkEnd w:id="155"/>
    <w:bookmarkStart w:id="157" w:name="ref-Lavine2005"/>
    <w:p>
      <w:pPr>
        <w:pStyle w:val="Bibliografia"/>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56">
        <w:r>
          <w:rPr>
            <w:rStyle w:val="Hyperlink"/>
          </w:rPr>
          <w:t xml:space="preserve">https://doi.org/10.1021/bk-2005-0894.ch001</w:t>
        </w:r>
      </w:hyperlink>
    </w:p>
    <w:bookmarkEnd w:id="157"/>
    <w:bookmarkStart w:id="159"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58">
        <w:r>
          <w:rPr>
            <w:rStyle w:val="Hyperlink"/>
          </w:rPr>
          <w:t xml:space="preserve">https://www.jstatsoft.org/v25/i01/</w:t>
        </w:r>
      </w:hyperlink>
    </w:p>
    <w:bookmarkEnd w:id="159"/>
    <w:bookmarkStart w:id="161" w:name="ref-Li2025review"/>
    <w:p>
      <w:pPr>
        <w:pStyle w:val="Bibliografia"/>
      </w:pPr>
      <w:r>
        <w:t xml:space="preserve">Li, J., Qian, J., Chen, J., Ruiz-Garcia, L., Zhang, G., &amp; Yang, X.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hyperlink r:id="rId160">
        <w:r>
          <w:rPr>
            <w:rStyle w:val="Hyperlink"/>
          </w:rPr>
          <w:t xml:space="preserve">https://doi.org/10.1111/1541-4337.70082</w:t>
        </w:r>
      </w:hyperlink>
    </w:p>
    <w:bookmarkEnd w:id="161"/>
    <w:bookmarkStart w:id="163"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62">
        <w:r>
          <w:rPr>
            <w:rStyle w:val="Hyperlink"/>
          </w:rPr>
          <w:t xml:space="preserve">https://doi.org/10.1016/j.foodchem.2024.142088</w:t>
        </w:r>
      </w:hyperlink>
    </w:p>
    <w:bookmarkEnd w:id="163"/>
    <w:bookmarkStart w:id="165"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64">
        <w:r>
          <w:rPr>
            <w:rStyle w:val="Hyperlink"/>
          </w:rPr>
          <w:t xml:space="preserve">https://doi.org/10.3390/s18082674</w:t>
        </w:r>
      </w:hyperlink>
    </w:p>
    <w:bookmarkEnd w:id="165"/>
    <w:bookmarkStart w:id="167"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66">
        <w:r>
          <w:rPr>
            <w:rStyle w:val="Hyperlink"/>
          </w:rPr>
          <w:t xml:space="preserve">https://doi.org/10.1016/j.fochx.2025.102856</w:t>
        </w:r>
      </w:hyperlink>
    </w:p>
    <w:bookmarkEnd w:id="167"/>
    <w:bookmarkStart w:id="168"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68"/>
    <w:bookmarkStart w:id="170"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69">
        <w:r>
          <w:rPr>
            <w:rStyle w:val="Hyperlink"/>
          </w:rPr>
          <w:t xml:space="preserve">https://arxiv.org/abs/2108.02497</w:t>
        </w:r>
      </w:hyperlink>
    </w:p>
    <w:bookmarkEnd w:id="170"/>
    <w:bookmarkStart w:id="172"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71">
        <w:r>
          <w:rPr>
            <w:rStyle w:val="Hyperlink"/>
          </w:rPr>
          <w:t xml:space="preserve">https://doi.org/10.1016/j.foodchem.2021.130016</w:t>
        </w:r>
      </w:hyperlink>
    </w:p>
    <w:bookmarkEnd w:id="172"/>
    <w:bookmarkStart w:id="173"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73"/>
    <w:bookmarkStart w:id="175"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74">
        <w:r>
          <w:rPr>
            <w:rStyle w:val="Hyperlink"/>
          </w:rPr>
          <w:t xml:space="preserve">https://doi.org/10.1002/1520-6297(200022)16:3&lt;309::AID-AGR4&gt;3.0.CO;2-G</w:t>
        </w:r>
      </w:hyperlink>
    </w:p>
    <w:bookmarkEnd w:id="175"/>
    <w:bookmarkStart w:id="177"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76">
        <w:r>
          <w:rPr>
            <w:rStyle w:val="Hyperlink"/>
          </w:rPr>
          <w:t xml:space="preserve">https://doi.org/10.1080/10618600.2022.2069777</w:t>
        </w:r>
      </w:hyperlink>
    </w:p>
    <w:bookmarkEnd w:id="177"/>
    <w:bookmarkStart w:id="179"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78">
        <w:r>
          <w:rPr>
            <w:rStyle w:val="Hyperlink"/>
          </w:rPr>
          <w:t xml:space="preserve">https://doi.org/10.1016/j.tifs.2019.11.006</w:t>
        </w:r>
      </w:hyperlink>
    </w:p>
    <w:bookmarkEnd w:id="179"/>
    <w:bookmarkStart w:id="181"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80">
        <w:r>
          <w:rPr>
            <w:rStyle w:val="Hyperlink"/>
          </w:rPr>
          <w:t xml:space="preserve">https://papers.nips.cc/paper/7062-a-unified-approach-to-interpreting-model-predictions.pdf</w:t>
        </w:r>
      </w:hyperlink>
    </w:p>
    <w:bookmarkEnd w:id="181"/>
    <w:bookmarkStart w:id="182"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82"/>
    <w:bookmarkStart w:id="184"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83">
        <w:r>
          <w:rPr>
            <w:rStyle w:val="Hyperlink"/>
          </w:rPr>
          <w:t xml:space="preserve">https://www.gov.br/agricultura/pt-br/assuntos/sustentabilidade/indicacao-geografica/o-que-e-indicacao-geografica-ig</w:t>
        </w:r>
      </w:hyperlink>
    </w:p>
    <w:bookmarkEnd w:id="184"/>
    <w:bookmarkStart w:id="185"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85"/>
    <w:bookmarkStart w:id="187"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86">
        <w:r>
          <w:rPr>
            <w:rStyle w:val="Hyperlink"/>
          </w:rPr>
          <w:t xml:space="preserve">https://doi.org/10.1007/s12161-024-02625-6</w:t>
        </w:r>
      </w:hyperlink>
    </w:p>
    <w:bookmarkEnd w:id="187"/>
    <w:bookmarkStart w:id="189"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88">
        <w:r>
          <w:rPr>
            <w:rStyle w:val="Hyperlink"/>
          </w:rPr>
          <w:t xml:space="preserve">https://doi.org/10.1016/j.joi.2011.04.001</w:t>
        </w:r>
      </w:hyperlink>
    </w:p>
    <w:bookmarkEnd w:id="189"/>
    <w:bookmarkStart w:id="191"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90">
        <w:r>
          <w:rPr>
            <w:rStyle w:val="Hyperlink"/>
          </w:rPr>
          <w:t xml:space="preserve">https://doi.org/10.1016/j.lwt.2024.115886</w:t>
        </w:r>
      </w:hyperlink>
    </w:p>
    <w:bookmarkEnd w:id="191"/>
    <w:bookmarkStart w:id="192"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192"/>
    <w:bookmarkStart w:id="194"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93">
        <w:r>
          <w:rPr>
            <w:rStyle w:val="Hyperlink"/>
          </w:rPr>
          <w:t xml:space="preserve">https://doi.org/10.1007/s10462-024-10844-w</w:t>
        </w:r>
      </w:hyperlink>
    </w:p>
    <w:bookmarkEnd w:id="194"/>
    <w:bookmarkStart w:id="196" w:name="ref-Oganesyants2024"/>
    <w:p>
      <w:pPr>
        <w:pStyle w:val="Bibliografia"/>
      </w:pPr>
      <w:r>
        <w:t xml:space="preserve">Oganesyants, L. A., Panasyuk, A. L., Sviridov, D. A., Egorova, O. S., Akbulatova, D. R., Ganin, M. Y., Shilkin, A. A., &amp; Il’in, A. A. (2024). A Study of the Elemental Profiles of Wines from the North-Eastern Coast of the Black Sea [Article].</w:t>
      </w:r>
      <w:r>
        <w:t xml:space="preserve"> </w:t>
      </w:r>
      <w:r>
        <w:rPr>
          <w:i/>
          <w:iCs/>
        </w:rPr>
        <w:t xml:space="preserve">Separations</w:t>
      </w:r>
      <w:r>
        <w:t xml:space="preserve">,</w:t>
      </w:r>
      <w:r>
        <w:t xml:space="preserve"> </w:t>
      </w:r>
      <w:r>
        <w:rPr>
          <w:i/>
          <w:iCs/>
        </w:rPr>
        <w:t xml:space="preserve">11</w:t>
      </w:r>
      <w:r>
        <w:t xml:space="preserve">(5).</w:t>
      </w:r>
      <w:r>
        <w:t xml:space="preserve"> </w:t>
      </w:r>
      <w:hyperlink r:id="rId195">
        <w:r>
          <w:rPr>
            <w:rStyle w:val="Hyperlink"/>
          </w:rPr>
          <w:t xml:space="preserve">https://doi.org/10.3390/separations11050148</w:t>
        </w:r>
      </w:hyperlink>
    </w:p>
    <w:bookmarkEnd w:id="196"/>
    <w:bookmarkStart w:id="198"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197">
        <w:r>
          <w:rPr>
            <w:rStyle w:val="Hyperlink"/>
          </w:rPr>
          <w:t xml:space="preserve">https://www.wipo.int/</w:t>
        </w:r>
      </w:hyperlink>
    </w:p>
    <w:bookmarkEnd w:id="198"/>
    <w:bookmarkStart w:id="199" w:name="ref-Ozaki2021"/>
    <w:p>
      <w:pPr>
        <w:pStyle w:val="Bibliografia"/>
      </w:pPr>
      <w:r>
        <w:t xml:space="preserve">Ozaki, Y., McClure, W. F., &amp; Christy, A. A. (2021).</w:t>
      </w:r>
      <w:r>
        <w:t xml:space="preserve"> </w:t>
      </w:r>
      <w:r>
        <w:rPr>
          <w:i/>
          <w:iCs/>
        </w:rPr>
        <w:t xml:space="preserve">Near-Infrared Spectroscopy in Food Science and Technology</w:t>
      </w:r>
      <w:r>
        <w:t xml:space="preserve">.</w:t>
      </w:r>
    </w:p>
    <w:bookmarkEnd w:id="199"/>
    <w:bookmarkStart w:id="201"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00">
        <w:r>
          <w:rPr>
            <w:rStyle w:val="Hyperlink"/>
          </w:rPr>
          <w:t xml:space="preserve">https://doi.org/10.1016/j.fochx.2025.103194</w:t>
        </w:r>
      </w:hyperlink>
    </w:p>
    <w:bookmarkEnd w:id="201"/>
    <w:bookmarkStart w:id="202"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202"/>
    <w:bookmarkStart w:id="204" w:name="ref-Qi2021"/>
    <w:p>
      <w:pPr>
        <w:pStyle w:val="Bibliografia"/>
      </w:pPr>
      <w:r>
        <w:t xml:space="preserve">Qi, J., Li, Y., Zhang, C., Wang, C., Wang, J., Guo, W., &amp; Wang, S. (2021). Geographic origin discrimination of pork from different Chinese regions using mineral elements analysis assisted by machine learning techniques.</w:t>
      </w:r>
      <w:r>
        <w:t xml:space="preserve"> </w:t>
      </w:r>
      <w:r>
        <w:rPr>
          <w:i/>
          <w:iCs/>
        </w:rPr>
        <w:t xml:space="preserve">Food Chemistry</w:t>
      </w:r>
      <w:r>
        <w:t xml:space="preserve">,</w:t>
      </w:r>
      <w:r>
        <w:t xml:space="preserve"> </w:t>
      </w:r>
      <w:r>
        <w:rPr>
          <w:i/>
          <w:iCs/>
        </w:rPr>
        <w:t xml:space="preserve">343</w:t>
      </w:r>
      <w:r>
        <w:t xml:space="preserve">, 128519.</w:t>
      </w:r>
      <w:r>
        <w:t xml:space="preserve"> </w:t>
      </w:r>
      <w:hyperlink r:id="rId203">
        <w:r>
          <w:rPr>
            <w:rStyle w:val="Hyperlink"/>
          </w:rPr>
          <w:t xml:space="preserve">https://doi.org/10.1016/j.foodchem.2020.128519</w:t>
        </w:r>
      </w:hyperlink>
    </w:p>
    <w:bookmarkEnd w:id="204"/>
    <w:bookmarkStart w:id="206"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205">
        <w:r>
          <w:rPr>
            <w:rStyle w:val="Hyperlink"/>
          </w:rPr>
          <w:t xml:space="preserve">https://doi.org/10.1016/j.tifs.2025.105405</w:t>
        </w:r>
      </w:hyperlink>
    </w:p>
    <w:bookmarkEnd w:id="206"/>
    <w:bookmarkStart w:id="208"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207">
        <w:r>
          <w:rPr>
            <w:rStyle w:val="Hyperlink"/>
          </w:rPr>
          <w:t xml:space="preserve">https://doi.org/10.3390/s23094527</w:t>
        </w:r>
      </w:hyperlink>
    </w:p>
    <w:bookmarkEnd w:id="208"/>
    <w:bookmarkStart w:id="210"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209">
        <w:r>
          <w:rPr>
            <w:rStyle w:val="Hyperlink"/>
          </w:rPr>
          <w:t xml:space="preserve">https://doi.org/10.1016/j.foodchem.2025.144078</w:t>
        </w:r>
      </w:hyperlink>
    </w:p>
    <w:bookmarkEnd w:id="210"/>
    <w:bookmarkStart w:id="212"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11">
        <w:r>
          <w:rPr>
            <w:rStyle w:val="Hyperlink"/>
          </w:rPr>
          <w:t xml:space="preserve">https://doi.org/10.2174/1386207324666210309102239</w:t>
        </w:r>
      </w:hyperlink>
    </w:p>
    <w:bookmarkEnd w:id="212"/>
    <w:bookmarkStart w:id="214" w:name="ref-Resce2022"/>
    <w:p>
      <w:pPr>
        <w:pStyle w:val="Bibliografia"/>
      </w:pPr>
      <w:r>
        <w:t xml:space="preserve">Resce, G., &amp; Vaquero-Piñeiro, C. (2022). Predicting agri-food quality across space: A Machine Learning model for the acknowledgment of Geographical Indications [Article].</w:t>
      </w:r>
      <w:r>
        <w:t xml:space="preserve"> </w:t>
      </w:r>
      <w:r>
        <w:rPr>
          <w:i/>
          <w:iCs/>
        </w:rPr>
        <w:t xml:space="preserve">Food Policy</w:t>
      </w:r>
      <w:r>
        <w:t xml:space="preserve">,</w:t>
      </w:r>
      <w:r>
        <w:t xml:space="preserve"> </w:t>
      </w:r>
      <w:r>
        <w:rPr>
          <w:i/>
          <w:iCs/>
        </w:rPr>
        <w:t xml:space="preserve">112</w:t>
      </w:r>
      <w:r>
        <w:t xml:space="preserve">.</w:t>
      </w:r>
      <w:r>
        <w:t xml:space="preserve"> </w:t>
      </w:r>
      <w:hyperlink r:id="rId213">
        <w:r>
          <w:rPr>
            <w:rStyle w:val="Hyperlink"/>
          </w:rPr>
          <w:t xml:space="preserve">https://doi.org/10.1016/j.foodpol.2022.102345</w:t>
        </w:r>
      </w:hyperlink>
    </w:p>
    <w:bookmarkEnd w:id="214"/>
    <w:bookmarkStart w:id="216"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215">
        <w:r>
          <w:rPr>
            <w:rStyle w:val="Hyperlink"/>
          </w:rPr>
          <w:t xml:space="preserve">https://doi.org/10.1016/j.jfoodeng.2022.111378</w:t>
        </w:r>
      </w:hyperlink>
    </w:p>
    <w:bookmarkEnd w:id="216"/>
    <w:bookmarkStart w:id="218" w:name="ref-Rudin2019"/>
    <w:p>
      <w:pPr>
        <w:pStyle w:val="Bibliografia"/>
      </w:pPr>
      <w:r>
        <w:t xml:space="preserve">Rudin, C. (2019). Stop explaining black box machine learning models for high stakes decisions and use interpretable models instead.</w:t>
      </w:r>
      <w:r>
        <w:t xml:space="preserve"> </w:t>
      </w:r>
      <w:r>
        <w:rPr>
          <w:i/>
          <w:iCs/>
        </w:rPr>
        <w:t xml:space="preserve">Proceedings of the 2019 AAAI/ACM Conference on AI, Ethics, and Society</w:t>
      </w:r>
      <w:r>
        <w:t xml:space="preserve">, 1–6.</w:t>
      </w:r>
      <w:r>
        <w:t xml:space="preserve"> </w:t>
      </w:r>
      <w:hyperlink r:id="rId217">
        <w:r>
          <w:rPr>
            <w:rStyle w:val="Hyperlink"/>
          </w:rPr>
          <w:t xml:space="preserve">https://doi.org/10.1145/3306618.3314279</w:t>
        </w:r>
      </w:hyperlink>
    </w:p>
    <w:bookmarkEnd w:id="218"/>
    <w:bookmarkStart w:id="219"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219"/>
    <w:bookmarkStart w:id="220"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20"/>
    <w:bookmarkStart w:id="222"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221">
        <w:r>
          <w:rPr>
            <w:rStyle w:val="Hyperlink"/>
          </w:rPr>
          <w:t xml:space="preserve">https://doi.org/10.1007/s12161-025-02840-9</w:t>
        </w:r>
      </w:hyperlink>
    </w:p>
    <w:bookmarkEnd w:id="222"/>
    <w:bookmarkStart w:id="224"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223">
        <w:r>
          <w:rPr>
            <w:rStyle w:val="Hyperlink"/>
          </w:rPr>
          <w:t xml:space="preserve">http://ainfo.cnptia.embrapa.br/digital/bitstream/item/181677/1/SiBCS-2018-ISBN-9788570358172.epub</w:t>
        </w:r>
      </w:hyperlink>
    </w:p>
    <w:bookmarkEnd w:id="224"/>
    <w:bookmarkStart w:id="226"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225">
        <w:r>
          <w:rPr>
            <w:rStyle w:val="Hyperlink"/>
          </w:rPr>
          <w:t xml:space="preserve">https://doi.org/10.9771/cp.v12i1.27215</w:t>
        </w:r>
      </w:hyperlink>
    </w:p>
    <w:bookmarkEnd w:id="226"/>
    <w:bookmarkStart w:id="228" w:name="ref-Sawicki2023"/>
    <w:p>
      <w:pPr>
        <w:pStyle w:val="Bibliografia"/>
      </w:pPr>
      <w:r>
        <w:t xml:space="preserve">Sawicki, J., Ganzha, M., &amp; Paprzycki, M. (2023). The state of the art of natural language processing—a systematic automated review of NLP literature using NLP techniques.</w:t>
      </w:r>
      <w:r>
        <w:t xml:space="preserve"> </w:t>
      </w:r>
      <w:r>
        <w:rPr>
          <w:i/>
          <w:iCs/>
        </w:rPr>
        <w:t xml:space="preserve">Data Intelligence</w:t>
      </w:r>
      <w:r>
        <w:t xml:space="preserve">,</w:t>
      </w:r>
      <w:r>
        <w:t xml:space="preserve"> </w:t>
      </w:r>
      <w:r>
        <w:rPr>
          <w:i/>
          <w:iCs/>
        </w:rPr>
        <w:t xml:space="preserve">5</w:t>
      </w:r>
      <w:r>
        <w:t xml:space="preserve">(3), 707–734.</w:t>
      </w:r>
      <w:r>
        <w:t xml:space="preserve"> </w:t>
      </w:r>
      <w:hyperlink r:id="rId227">
        <w:r>
          <w:rPr>
            <w:rStyle w:val="Hyperlink"/>
          </w:rPr>
          <w:t xml:space="preserve">https://doi.org/10.1162/dint_a_00213</w:t>
        </w:r>
      </w:hyperlink>
    </w:p>
    <w:bookmarkEnd w:id="228"/>
    <w:bookmarkStart w:id="230"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29">
        <w:r>
          <w:rPr>
            <w:rStyle w:val="Hyperlink"/>
          </w:rPr>
          <w:t xml:space="preserve">https://doi.org/10.21105/joss.02341</w:t>
        </w:r>
      </w:hyperlink>
    </w:p>
    <w:bookmarkEnd w:id="230"/>
    <w:bookmarkStart w:id="232"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31">
        <w:r>
          <w:rPr>
            <w:rStyle w:val="Hyperlink"/>
          </w:rPr>
          <w:t xml:space="preserve">https://doi.org/10.3390/rs11080920</w:t>
        </w:r>
      </w:hyperlink>
    </w:p>
    <w:bookmarkEnd w:id="232"/>
    <w:bookmarkStart w:id="234"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33">
        <w:r>
          <w:rPr>
            <w:rStyle w:val="Hyperlink"/>
          </w:rPr>
          <w:t xml:space="preserve">https://doi.org/10.1037/0033-2909.86.2.420</w:t>
        </w:r>
      </w:hyperlink>
    </w:p>
    <w:bookmarkEnd w:id="234"/>
    <w:bookmarkStart w:id="236" w:name="ref-Shuai2022"/>
    <w:p>
      <w:pPr>
        <w:pStyle w:val="Bibliografia"/>
      </w:pPr>
      <w:r>
        <w:t xml:space="preserve">Shuai, M., Yang, Y., Bai, F., Cao, L., Hou, R., Peng, C., &amp; Cai, H. (2022). Geographical origin of American ginseng (Panax quinquefolius L.) based on chemical composition combined with chemometric [Review].</w:t>
      </w:r>
      <w:r>
        <w:t xml:space="preserve"> </w:t>
      </w:r>
      <w:r>
        <w:rPr>
          <w:i/>
          <w:iCs/>
        </w:rPr>
        <w:t xml:space="preserve">Journal of Chromatography A</w:t>
      </w:r>
      <w:r>
        <w:t xml:space="preserve">,</w:t>
      </w:r>
      <w:r>
        <w:t xml:space="preserve"> </w:t>
      </w:r>
      <w:r>
        <w:rPr>
          <w:i/>
          <w:iCs/>
        </w:rPr>
        <w:t xml:space="preserve">1676</w:t>
      </w:r>
      <w:r>
        <w:t xml:space="preserve">.</w:t>
      </w:r>
      <w:r>
        <w:t xml:space="preserve"> </w:t>
      </w:r>
      <w:hyperlink r:id="rId235">
        <w:r>
          <w:rPr>
            <w:rStyle w:val="Hyperlink"/>
          </w:rPr>
          <w:t xml:space="preserve">https://doi.org/10.1016/j.chroma.2022.463284</w:t>
        </w:r>
      </w:hyperlink>
    </w:p>
    <w:bookmarkEnd w:id="236"/>
    <w:bookmarkStart w:id="238"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37">
        <w:r>
          <w:rPr>
            <w:rStyle w:val="Hyperlink"/>
          </w:rPr>
          <w:t xml:space="preserve">https://doi.org/10.2307/1412159</w:t>
        </w:r>
      </w:hyperlink>
    </w:p>
    <w:bookmarkEnd w:id="238"/>
    <w:bookmarkStart w:id="239"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39"/>
    <w:bookmarkStart w:id="241"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40">
        <w:r>
          <w:rPr>
            <w:rStyle w:val="Hyperlink"/>
          </w:rPr>
          <w:t xml:space="preserve">https://doi.org/10.1111/j.1475-4762.2007.00765.x</w:t>
        </w:r>
      </w:hyperlink>
    </w:p>
    <w:bookmarkEnd w:id="241"/>
    <w:bookmarkStart w:id="242"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42"/>
    <w:bookmarkStart w:id="243"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43"/>
    <w:bookmarkStart w:id="245"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44">
        <w:r>
          <w:rPr>
            <w:rStyle w:val="Hyperlink"/>
          </w:rPr>
          <w:t xml:space="preserve">https://www.R-project.org/</w:t>
        </w:r>
      </w:hyperlink>
    </w:p>
    <w:bookmarkEnd w:id="245"/>
    <w:bookmarkStart w:id="247"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46">
        <w:r>
          <w:rPr>
            <w:rStyle w:val="Hyperlink"/>
          </w:rPr>
          <w:t xml:space="preserve">https://www.rstudio.com/</w:t>
        </w:r>
      </w:hyperlink>
    </w:p>
    <w:bookmarkEnd w:id="247"/>
    <w:bookmarkStart w:id="248" w:name="ref-Todeschini2015"/>
    <w:p>
      <w:pPr>
        <w:pStyle w:val="Bibliografia"/>
      </w:pPr>
      <w:r>
        <w:t xml:space="preserve">Todeschini, R., Ballabio, D., Cassotti, M., &amp; Mauri, A. (2015). Chemometric methods in spectroscopy: Classification and regression.</w:t>
      </w:r>
      <w:r>
        <w:t xml:space="preserve"> </w:t>
      </w:r>
      <w:r>
        <w:rPr>
          <w:i/>
          <w:iCs/>
        </w:rPr>
        <w:t xml:space="preserve">Comprehensive Analytical Chemistry</w:t>
      </w:r>
      <w:r>
        <w:t xml:space="preserve">.</w:t>
      </w:r>
    </w:p>
    <w:bookmarkEnd w:id="248"/>
    <w:bookmarkStart w:id="249"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49"/>
    <w:bookmarkStart w:id="250"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50"/>
    <w:bookmarkStart w:id="252" w:name="ref-Tricco2018"/>
    <w:p>
      <w:pPr>
        <w:pStyle w:val="Bibliografia"/>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51">
        <w:r>
          <w:rPr>
            <w:rStyle w:val="Hyperlink"/>
          </w:rPr>
          <w:t xml:space="preserve">https://doi.org/10.7326/M18-0850</w:t>
        </w:r>
      </w:hyperlink>
    </w:p>
    <w:bookmarkEnd w:id="252"/>
    <w:bookmarkStart w:id="254"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53">
        <w:r>
          <w:rPr>
            <w:rStyle w:val="Hyperlink"/>
          </w:rPr>
          <w:t xml:space="preserve">https://www.interregeurope.eu</w:t>
        </w:r>
      </w:hyperlink>
    </w:p>
    <w:bookmarkEnd w:id="254"/>
    <w:bookmarkStart w:id="256"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55">
        <w:r>
          <w:rPr>
            <w:rStyle w:val="Hyperlink"/>
          </w:rPr>
          <w:t xml:space="preserve">https://doi.org/10.1111/j.1745-4565.2009.00188.x</w:t>
        </w:r>
      </w:hyperlink>
    </w:p>
    <w:bookmarkEnd w:id="256"/>
    <w:bookmarkStart w:id="258" w:name="ref-Wang2013"/>
    <w:p>
      <w:pPr>
        <w:pStyle w:val="Bibliografia"/>
      </w:pPr>
      <w:r>
        <w:t xml:space="preserve">Wang, D., Song, C., &amp; Barabási, A.-L. (2013). Using the past to predict the future: the use of past performance and the length of the time period to predict future citation counts.</w:t>
      </w:r>
      <w:r>
        <w:t xml:space="preserve"> </w:t>
      </w:r>
      <w:r>
        <w:rPr>
          <w:i/>
          <w:iCs/>
        </w:rPr>
        <w:t xml:space="preserve">Journal of Informetrics</w:t>
      </w:r>
      <w:r>
        <w:t xml:space="preserve">,</w:t>
      </w:r>
      <w:r>
        <w:t xml:space="preserve"> </w:t>
      </w:r>
      <w:r>
        <w:rPr>
          <w:i/>
          <w:iCs/>
        </w:rPr>
        <w:t xml:space="preserve">7</w:t>
      </w:r>
      <w:r>
        <w:t xml:space="preserve">(4), 642–653.</w:t>
      </w:r>
      <w:r>
        <w:t xml:space="preserve"> </w:t>
      </w:r>
      <w:hyperlink r:id="rId257">
        <w:r>
          <w:rPr>
            <w:rStyle w:val="Hyperlink"/>
          </w:rPr>
          <w:t xml:space="preserve">https://doi.org/10.1016/j.joi.2013.10.006</w:t>
        </w:r>
      </w:hyperlink>
    </w:p>
    <w:bookmarkEnd w:id="258"/>
    <w:bookmarkStart w:id="260" w:name="ref-Wang20218065"/>
    <w:p>
      <w:pPr>
        <w:pStyle w:val="Bibliografia"/>
      </w:pPr>
      <w:r>
        <w:t xml:space="preserve">Wang, X., Gu, Y., &amp; Liu, H. (2021). A Transfer Learning Method for the Protection of Geographical Indication in China Using an Electronic Nose for the Identification of Xihu Longjing Tea [Article].</w:t>
      </w:r>
      <w:r>
        <w:t xml:space="preserve"> </w:t>
      </w:r>
      <w:r>
        <w:rPr>
          <w:i/>
          <w:iCs/>
        </w:rPr>
        <w:t xml:space="preserve">IEEE Sensors Journal</w:t>
      </w:r>
      <w:r>
        <w:t xml:space="preserve">,</w:t>
      </w:r>
      <w:r>
        <w:t xml:space="preserve"> </w:t>
      </w:r>
      <w:r>
        <w:rPr>
          <w:i/>
          <w:iCs/>
        </w:rPr>
        <w:t xml:space="preserve">21</w:t>
      </w:r>
      <w:r>
        <w:t xml:space="preserve">(6), 8065–8077.</w:t>
      </w:r>
      <w:r>
        <w:t xml:space="preserve"> </w:t>
      </w:r>
      <w:hyperlink r:id="rId259">
        <w:r>
          <w:rPr>
            <w:rStyle w:val="Hyperlink"/>
          </w:rPr>
          <w:t xml:space="preserve">https://doi.org/10.1109/JSEN.2020.3048534</w:t>
        </w:r>
      </w:hyperlink>
    </w:p>
    <w:bookmarkEnd w:id="260"/>
    <w:bookmarkStart w:id="262"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61">
        <w:r>
          <w:rPr>
            <w:rStyle w:val="Hyperlink"/>
          </w:rPr>
          <w:t xml:space="preserve">https://doi.org/10.1016/j.fochx.2025.103069</w:t>
        </w:r>
      </w:hyperlink>
    </w:p>
    <w:bookmarkEnd w:id="262"/>
    <w:bookmarkStart w:id="264"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63">
        <w:r>
          <w:rPr>
            <w:rStyle w:val="Hyperlink"/>
          </w:rPr>
          <w:t xml:space="preserve">https://doi.org/10.1155/2022/3832170</w:t>
        </w:r>
      </w:hyperlink>
    </w:p>
    <w:bookmarkEnd w:id="264"/>
    <w:bookmarkStart w:id="265"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65"/>
    <w:bookmarkStart w:id="266"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66"/>
    <w:bookmarkStart w:id="268"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67">
        <w:r>
          <w:rPr>
            <w:rStyle w:val="Hyperlink"/>
          </w:rPr>
          <w:t xml:space="preserve">https://doi.org/10.1038/s41538-021-00100-8</w:t>
        </w:r>
      </w:hyperlink>
    </w:p>
    <w:bookmarkEnd w:id="268"/>
    <w:bookmarkStart w:id="270"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69">
        <w:r>
          <w:rPr>
            <w:rStyle w:val="Hyperlink"/>
          </w:rPr>
          <w:t xml:space="preserve">https://doi.org/10.3390/s23114958</w:t>
        </w:r>
      </w:hyperlink>
    </w:p>
    <w:bookmarkEnd w:id="270"/>
    <w:bookmarkStart w:id="272"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71">
        <w:r>
          <w:rPr>
            <w:rStyle w:val="Hyperlink"/>
          </w:rPr>
          <w:t xml:space="preserve">https://doi.org/10.1016/j.ijmedinf.2019.08.018</w:t>
        </w:r>
      </w:hyperlink>
    </w:p>
    <w:bookmarkEnd w:id="272"/>
    <w:bookmarkStart w:id="274" w:name="ref-Zhang2024"/>
    <w:p>
      <w:pPr>
        <w:pStyle w:val="Bibliografia"/>
      </w:pPr>
      <w:r>
        <w:t xml:space="preserve">Zhang, M., Zhang, J., Duan, H., Li, S., Wang, X., &amp; Cao, S. (2024). Geographical origin traceability of food: A review on key techniques and their combination strategies.</w:t>
      </w:r>
      <w:r>
        <w:t xml:space="preserve"> </w:t>
      </w:r>
      <w:r>
        <w:rPr>
          <w:i/>
          <w:iCs/>
        </w:rPr>
        <w:t xml:space="preserve">Trends in Food Science &amp; Technology</w:t>
      </w:r>
      <w:r>
        <w:t xml:space="preserve">,</w:t>
      </w:r>
      <w:r>
        <w:t xml:space="preserve"> </w:t>
      </w:r>
      <w:r>
        <w:rPr>
          <w:i/>
          <w:iCs/>
        </w:rPr>
        <w:t xml:space="preserve">146</w:t>
      </w:r>
      <w:r>
        <w:t xml:space="preserve">, 104679.</w:t>
      </w:r>
      <w:r>
        <w:t xml:space="preserve"> </w:t>
      </w:r>
      <w:hyperlink r:id="rId273">
        <w:r>
          <w:rPr>
            <w:rStyle w:val="Hyperlink"/>
          </w:rPr>
          <w:t xml:space="preserve">https://doi.org/10.1016/j.tifs.2024.104679</w:t>
        </w:r>
      </w:hyperlink>
    </w:p>
    <w:bookmarkEnd w:id="274"/>
    <w:bookmarkStart w:id="276"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75">
        <w:r>
          <w:rPr>
            <w:rStyle w:val="Hyperlink"/>
          </w:rPr>
          <w:t xml:space="preserve">https://doi.org/10.1109/TII.2021.3098700</w:t>
        </w:r>
      </w:hyperlink>
    </w:p>
    <w:bookmarkEnd w:id="276"/>
    <w:bookmarkStart w:id="278"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77">
        <w:r>
          <w:rPr>
            <w:rStyle w:val="Hyperlink"/>
          </w:rPr>
          <w:t xml:space="preserve">https://doi.org/10.3390/s22249678</w:t>
        </w:r>
      </w:hyperlink>
    </w:p>
    <w:bookmarkEnd w:id="278"/>
    <w:bookmarkEnd w:id="279"/>
    <w:bookmarkEnd w:id="280"/>
    <w:bookmarkStart w:id="283" w:name="apêndice-a-tabelas-complementares"/>
    <w:p>
      <w:pPr>
        <w:pStyle w:val="Ttulo1"/>
      </w:pPr>
      <w:r>
        <w:t xml:space="preserve">Apêndice A: Tabelas Complementares</w:t>
      </w:r>
    </w:p>
    <w:bookmarkStart w:id="281" w:name="X17cd3a96e3d89c3029a92a832f4d57c13a6b231"/>
    <w:p>
      <w:pPr>
        <w:pStyle w:val="Ttulo2"/>
      </w:pPr>
      <w:r>
        <w:t xml:space="preserve">Tabela A.1: Distribuição de Produtos Agroalimentares com Indicações Geográficas</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PGI, Carne Halal</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Frutas e Hortaliças</w:t>
            </w:r>
          </w:p>
        </w:tc>
        <w:tc>
          <w:tcPr/>
          <w:p>
            <w:pPr>
              <w:pStyle w:val="Compact"/>
            </w:pPr>
            <w:r>
              <w:t xml:space="preserve">Citros, Cebola Tropea, Frutos Vermelhos</w:t>
            </w:r>
          </w:p>
        </w:tc>
        <w:tc>
          <w:tcPr/>
          <w:p>
            <w:pPr>
              <w:pStyle w:val="Compact"/>
            </w:pPr>
            <w:r>
              <w:t xml:space="preserve">Sicília, Calabria (Itália), Regions diversas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w:t>
            </w:r>
          </w:p>
        </w:tc>
        <w:tc>
          <w:tcPr/>
          <w:p>
            <w:pPr>
              <w:pStyle w:val="Compact"/>
            </w:pPr>
            <w:r>
              <w:t xml:space="preserve">Região Mediterrânea, Italia, España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Fonte: Distribuição de produtos agroalimentares com Indicações Geográficas por categoria, regiões geográficas associadas, técnicas de Machine Learning predominantes e frequência relativa de estudos no corpus analisado (N=148).</w:t>
      </w:r>
    </w:p>
    <w:bookmarkEnd w:id="281"/>
    <w:bookmarkStart w:id="282" w:name="Xaa1df298419e95cb50f1a10926e505ffc2219bf"/>
    <w:p>
      <w:pPr>
        <w:pStyle w:val="Ttulo2"/>
      </w:pPr>
      <w:r>
        <w:t xml:space="preserve">Tabela A.2: Artigos Selecionados pelo Princípio de Pareto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Posição</w:t>
            </w:r>
          </w:p>
        </w:tc>
        <w:tc>
          <w:tcPr/>
          <w:p>
            <w:pPr>
              <w:pStyle w:val="Compact"/>
            </w:pPr>
            <w:r>
              <w:rPr>
                <w:b/>
                <w:bCs/>
              </w:rPr>
              <w:t xml:space="preserve">Artigo</w:t>
            </w:r>
          </w:p>
        </w:tc>
        <w:tc>
          <w:tcPr/>
          <w:p>
            <w:pPr>
              <w:pStyle w:val="Compact"/>
            </w:pPr>
            <w:r>
              <w:rPr>
                <w:b/>
                <w:bCs/>
              </w:rPr>
              <w:t xml:space="preserve">Pontuação Combinada</w:t>
            </w:r>
          </w:p>
        </w:tc>
        <w:tc>
          <w:tcPr/>
          <w:p>
            <w:pPr>
              <w:pStyle w:val="Compact"/>
            </w:pPr>
            <w:r>
              <w:rPr>
                <w:b/>
                <w:bCs/>
              </w:rPr>
              <w:t xml:space="preserve">Principais Contribuições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para autenticação de chás chineses</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para rastreabilidade</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Metabolômica untargeted em vinhos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para imagens hiperespectrais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Classificação multi-espectral</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em perfis elementares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em carnes processadas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em azeites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Espectroscopia em vinhos europeus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Redes neurais em plantas medicinais</w:t>
            </w:r>
          </w:p>
        </w:tc>
      </w:tr>
    </w:tbl>
    <w:p>
      <w:pPr>
        <w:pStyle w:val="Corpodetexto"/>
      </w:pPr>
      <w:r>
        <w:rPr>
          <w:i/>
          <w:iCs/>
        </w:rPr>
        <w:t xml:space="preserve">Fonte: 10 artigos selecionados pelo princípio de Pareto (80/20) no corpus de 148 estudos.</w:t>
      </w:r>
    </w:p>
    <w:bookmarkEnd w:id="282"/>
    <w:bookmarkEnd w:id="283"/>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68" Target="media/rId68.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63" Target="media/rId63.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hyperlink" Id="rId223" Target="http://ainfo.cnptia.embrapa.br/digital/bitstream/item/181677/1/SiBCS-2018-ISBN-9788570358172.epub" TargetMode="External" /><Relationship Type="http://schemas.openxmlformats.org/officeDocument/2006/relationships/hyperlink" Id="rId117" Target="http://arxiv.org/pdf/1909.08996v2.pdf" TargetMode="External" /><Relationship Type="http://schemas.openxmlformats.org/officeDocument/2006/relationships/hyperlink" Id="rId99" Target="http://www.planalto.gov.br/ccivil_03/_ato2004-2006/2004/lei/l10.973.htm" TargetMode="External" /><Relationship Type="http://schemas.openxmlformats.org/officeDocument/2006/relationships/hyperlink" Id="rId101" Target="http://www.planalto.gov.br/ccivil_03/_ato2015-2018/2016/lei/l13243.htm" TargetMode="External" /><Relationship Type="http://schemas.openxmlformats.org/officeDocument/2006/relationships/hyperlink" Id="rId103" Target="http://www.planalto.gov.br/ccivil_03/_ato2023-2026/2024/lei/l15068.htm" TargetMode="External" /><Relationship Type="http://schemas.openxmlformats.org/officeDocument/2006/relationships/hyperlink" Id="rId97" Target="http://www.planalto.gov.br/ccivil_03/leis/l9279.htm" TargetMode="External" /><Relationship Type="http://schemas.openxmlformats.org/officeDocument/2006/relationships/hyperlink" Id="rId169" Target="https://arxiv.org/abs/2108.02497" TargetMode="External" /><Relationship Type="http://schemas.openxmlformats.org/officeDocument/2006/relationships/hyperlink" Id="rId174" Target="https://doi.org/10.1002/1520-6297(200022)16:3&lt;309::AID-AGR4&gt;3.0.CO;2-G" TargetMode="External" /><Relationship Type="http://schemas.openxmlformats.org/officeDocument/2006/relationships/hyperlink" Id="rId135" Target="https://doi.org/10.1002/vzj2.20035" TargetMode="External" /><Relationship Type="http://schemas.openxmlformats.org/officeDocument/2006/relationships/hyperlink" Id="rId193" Target="https://doi.org/10.1007/s10462-024-10844-w" TargetMode="External" /><Relationship Type="http://schemas.openxmlformats.org/officeDocument/2006/relationships/hyperlink" Id="rId186" Target="https://doi.org/10.1007/s12161-024-02625-6" TargetMode="External" /><Relationship Type="http://schemas.openxmlformats.org/officeDocument/2006/relationships/hyperlink" Id="rId221" Target="https://doi.org/10.1007/s12161-025-02840-9" TargetMode="External" /><Relationship Type="http://schemas.openxmlformats.org/officeDocument/2006/relationships/hyperlink" Id="rId149" Target="https://doi.org/10.1007/s41060-024-00509-w" TargetMode="External" /><Relationship Type="http://schemas.openxmlformats.org/officeDocument/2006/relationships/hyperlink" Id="rId125" Target="https://doi.org/10.1016/j.aca.2007.07.011" TargetMode="External" /><Relationship Type="http://schemas.openxmlformats.org/officeDocument/2006/relationships/hyperlink" Id="rId235" Target="https://doi.org/10.1016/j.chroma.2022.463284" TargetMode="External" /><Relationship Type="http://schemas.openxmlformats.org/officeDocument/2006/relationships/hyperlink" Id="rId153" Target="https://doi.org/10.1016/j.compag.2018.02.016" TargetMode="External" /><Relationship Type="http://schemas.openxmlformats.org/officeDocument/2006/relationships/hyperlink" Id="rId121" Target="https://doi.org/10.1016/j.ecoinf.2021.101472" TargetMode="External" /><Relationship Type="http://schemas.openxmlformats.org/officeDocument/2006/relationships/hyperlink" Id="rId166" Target="https://doi.org/10.1016/j.fochx.2025.102856" TargetMode="External" /><Relationship Type="http://schemas.openxmlformats.org/officeDocument/2006/relationships/hyperlink" Id="rId261" Target="https://doi.org/10.1016/j.fochx.2025.103069" TargetMode="External" /><Relationship Type="http://schemas.openxmlformats.org/officeDocument/2006/relationships/hyperlink" Id="rId200" Target="https://doi.org/10.1016/j.fochx.2025.103194" TargetMode="External" /><Relationship Type="http://schemas.openxmlformats.org/officeDocument/2006/relationships/hyperlink" Id="rId133" Target="https://doi.org/10.1016/j.foodchem.2019.125329" TargetMode="External" /><Relationship Type="http://schemas.openxmlformats.org/officeDocument/2006/relationships/hyperlink" Id="rId203" Target="https://doi.org/10.1016/j.foodchem.2020.128519" TargetMode="External" /><Relationship Type="http://schemas.openxmlformats.org/officeDocument/2006/relationships/hyperlink" Id="rId171" Target="https://doi.org/10.1016/j.foodchem.2021.130016" TargetMode="External" /><Relationship Type="http://schemas.openxmlformats.org/officeDocument/2006/relationships/hyperlink" Id="rId143" Target="https://doi.org/10.1016/j.foodchem.2024.140903" TargetMode="External" /><Relationship Type="http://schemas.openxmlformats.org/officeDocument/2006/relationships/hyperlink" Id="rId162" Target="https://doi.org/10.1016/j.foodchem.2024.142088" TargetMode="External" /><Relationship Type="http://schemas.openxmlformats.org/officeDocument/2006/relationships/hyperlink" Id="rId209" Target="https://doi.org/10.1016/j.foodchem.2025.144078" TargetMode="External" /><Relationship Type="http://schemas.openxmlformats.org/officeDocument/2006/relationships/hyperlink" Id="rId151" Target="https://doi.org/10.1016/j.foodchem.2025.145007" TargetMode="External" /><Relationship Type="http://schemas.openxmlformats.org/officeDocument/2006/relationships/hyperlink" Id="rId213" Target="https://doi.org/10.1016/j.foodpol.2022.102345" TargetMode="External" /><Relationship Type="http://schemas.openxmlformats.org/officeDocument/2006/relationships/hyperlink" Id="rId129" Target="https://doi.org/10.1016/j.heliyon.2024.e32297" TargetMode="External" /><Relationship Type="http://schemas.openxmlformats.org/officeDocument/2006/relationships/hyperlink" Id="rId271" Target="https://doi.org/10.1016/j.ijmedinf.2019.08.018" TargetMode="External" /><Relationship Type="http://schemas.openxmlformats.org/officeDocument/2006/relationships/hyperlink" Id="rId146" Target="https://doi.org/10.1016/j.jfca.2024.106668" TargetMode="External" /><Relationship Type="http://schemas.openxmlformats.org/officeDocument/2006/relationships/hyperlink" Id="rId215" Target="https://doi.org/10.1016/j.jfoodeng.2022.111378" TargetMode="External" /><Relationship Type="http://schemas.openxmlformats.org/officeDocument/2006/relationships/hyperlink" Id="rId188" Target="https://doi.org/10.1016/j.joi.2011.04.001" TargetMode="External" /><Relationship Type="http://schemas.openxmlformats.org/officeDocument/2006/relationships/hyperlink" Id="rId257" Target="https://doi.org/10.1016/j.joi.2013.10.006" TargetMode="External" /><Relationship Type="http://schemas.openxmlformats.org/officeDocument/2006/relationships/hyperlink" Id="rId123" Target="https://doi.org/10.1016/j.jpa.2025.xxxxxx" TargetMode="External" /><Relationship Type="http://schemas.openxmlformats.org/officeDocument/2006/relationships/hyperlink" Id="rId190" Target="https://doi.org/10.1016/j.lwt.2024.115886" TargetMode="External" /><Relationship Type="http://schemas.openxmlformats.org/officeDocument/2006/relationships/hyperlink" Id="rId131" Target="https://doi.org/10.1016/j.snb.2022.132946" TargetMode="External" /><Relationship Type="http://schemas.openxmlformats.org/officeDocument/2006/relationships/hyperlink" Id="rId178" Target="https://doi.org/10.1016/j.tifs.2019.11.006" TargetMode="External" /><Relationship Type="http://schemas.openxmlformats.org/officeDocument/2006/relationships/hyperlink" Id="rId273" Target="https://doi.org/10.1016/j.tifs.2024.104679" TargetMode="External" /><Relationship Type="http://schemas.openxmlformats.org/officeDocument/2006/relationships/hyperlink" Id="rId205" Target="https://doi.org/10.1016/j.tifs.2025.105405" TargetMode="External" /><Relationship Type="http://schemas.openxmlformats.org/officeDocument/2006/relationships/hyperlink" Id="rId86" Target="https://doi.org/10.1016/j.trac.2020.116140" TargetMode="External" /><Relationship Type="http://schemas.openxmlformats.org/officeDocument/2006/relationships/hyperlink" Id="rId156" Target="https://doi.org/10.1021/bk-2005-0894.ch001" TargetMode="External" /><Relationship Type="http://schemas.openxmlformats.org/officeDocument/2006/relationships/hyperlink" Id="rId233" Target="https://doi.org/10.1037/0033-2909.86.2.420" TargetMode="External" /><Relationship Type="http://schemas.openxmlformats.org/officeDocument/2006/relationships/hyperlink" Id="rId267" Target="https://doi.org/10.1038/s41538-021-00100-8" TargetMode="External" /><Relationship Type="http://schemas.openxmlformats.org/officeDocument/2006/relationships/hyperlink" Id="rId113" Target="https://doi.org/10.1080/01621459.1979.10481038" TargetMode="External" /><Relationship Type="http://schemas.openxmlformats.org/officeDocument/2006/relationships/hyperlink" Id="rId176" Target="https://doi.org/10.1080/10618600.2022.2069777" TargetMode="External" /><Relationship Type="http://schemas.openxmlformats.org/officeDocument/2006/relationships/hyperlink" Id="rId95" Target="https://doi.org/10.1088/1742-5468/2008/10/P10008" TargetMode="External" /><Relationship Type="http://schemas.openxmlformats.org/officeDocument/2006/relationships/hyperlink" Id="rId127" Target="https://doi.org/10.1108/BFJ-12-2014-0392" TargetMode="External" /><Relationship Type="http://schemas.openxmlformats.org/officeDocument/2006/relationships/hyperlink" Id="rId140" Target="https://doi.org/10.1108/SCM-11-2020-0576" TargetMode="External" /><Relationship Type="http://schemas.openxmlformats.org/officeDocument/2006/relationships/hyperlink" Id="rId259" Target="https://doi.org/10.1109/JSEN.2020.3048534" TargetMode="External" /><Relationship Type="http://schemas.openxmlformats.org/officeDocument/2006/relationships/hyperlink" Id="rId275" Target="https://doi.org/10.1109/TII.2021.3098700" TargetMode="External" /><Relationship Type="http://schemas.openxmlformats.org/officeDocument/2006/relationships/hyperlink" Id="rId160" Target="https://doi.org/10.1111/1541-4337.70082" TargetMode="External" /><Relationship Type="http://schemas.openxmlformats.org/officeDocument/2006/relationships/hyperlink" Id="rId240" Target="https://doi.org/10.1111/j.1475-4762.2007.00765.x" TargetMode="External" /><Relationship Type="http://schemas.openxmlformats.org/officeDocument/2006/relationships/hyperlink" Id="rId255" Target="https://doi.org/10.1111/j.1745-4565.2009.00188.x" TargetMode="External" /><Relationship Type="http://schemas.openxmlformats.org/officeDocument/2006/relationships/hyperlink" Id="rId217" Target="https://doi.org/10.1145/3306618.3314279" TargetMode="External" /><Relationship Type="http://schemas.openxmlformats.org/officeDocument/2006/relationships/hyperlink" Id="rId263" Target="https://doi.org/10.1155/2022/3832170" TargetMode="External" /><Relationship Type="http://schemas.openxmlformats.org/officeDocument/2006/relationships/hyperlink" Id="rId227" Target="https://doi.org/10.1162/dint_a_00213" TargetMode="External" /><Relationship Type="http://schemas.openxmlformats.org/officeDocument/2006/relationships/hyperlink" Id="rId93" Target="https://doi.org/10.1177/014920639101700108" TargetMode="External" /><Relationship Type="http://schemas.openxmlformats.org/officeDocument/2006/relationships/hyperlink" Id="rId107" Target="https://doi.org/10.1186/s12911-021-01533-7" TargetMode="External" /><Relationship Type="http://schemas.openxmlformats.org/officeDocument/2006/relationships/hyperlink" Id="rId109" Target="https://doi.org/10.1186/s40537-020-00327-4" TargetMode="External" /><Relationship Type="http://schemas.openxmlformats.org/officeDocument/2006/relationships/hyperlink" Id="rId111"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29" Target="https://doi.org/10.21105/joss.02341" TargetMode="External" /><Relationship Type="http://schemas.openxmlformats.org/officeDocument/2006/relationships/hyperlink" Id="rId211" Target="https://doi.org/10.2174/1386207324666210309102239" TargetMode="External" /><Relationship Type="http://schemas.openxmlformats.org/officeDocument/2006/relationships/hyperlink" Id="rId237" Target="https://doi.org/10.2307/1412159" TargetMode="External" /><Relationship Type="http://schemas.openxmlformats.org/officeDocument/2006/relationships/hyperlink" Id="rId231" Target="https://doi.org/10.3390/rs11080920" TargetMode="External" /><Relationship Type="http://schemas.openxmlformats.org/officeDocument/2006/relationships/hyperlink" Id="rId164" Target="https://doi.org/10.3390/s18082674" TargetMode="External" /><Relationship Type="http://schemas.openxmlformats.org/officeDocument/2006/relationships/hyperlink" Id="rId277" Target="https://doi.org/10.3390/s22249678" TargetMode="External" /><Relationship Type="http://schemas.openxmlformats.org/officeDocument/2006/relationships/hyperlink" Id="rId207" Target="https://doi.org/10.3390/s23094527" TargetMode="External" /><Relationship Type="http://schemas.openxmlformats.org/officeDocument/2006/relationships/hyperlink" Id="rId269" Target="https://doi.org/10.3390/s23114958" TargetMode="External" /><Relationship Type="http://schemas.openxmlformats.org/officeDocument/2006/relationships/hyperlink" Id="rId195" Target="https://doi.org/10.3390/separations11050148" TargetMode="External" /><Relationship Type="http://schemas.openxmlformats.org/officeDocument/2006/relationships/hyperlink" Id="rId90" Target="https://doi.org/10.3390/su14042420" TargetMode="External" /><Relationship Type="http://schemas.openxmlformats.org/officeDocument/2006/relationships/hyperlink" Id="rId137" Target="https://doi.org/10.5281/zenodo.1234567" TargetMode="External" /><Relationship Type="http://schemas.openxmlformats.org/officeDocument/2006/relationships/hyperlink" Id="rId251" Target="https://doi.org/10.7326/M18-0850" TargetMode="External" /><Relationship Type="http://schemas.openxmlformats.org/officeDocument/2006/relationships/hyperlink" Id="rId225" Target="https://doi.org/10.9771/cp.v12i1.27215" TargetMode="External" /><Relationship Type="http://schemas.openxmlformats.org/officeDocument/2006/relationships/hyperlink" Id="rId119" Target="https://igraph.org" TargetMode="External" /><Relationship Type="http://schemas.openxmlformats.org/officeDocument/2006/relationships/hyperlink" Id="rId115" Target="https://legislacao.presidencia.gov.br/atos/?tipo=DEC&amp;numero=75699&amp;ano=1975" TargetMode="External" /><Relationship Type="http://schemas.openxmlformats.org/officeDocument/2006/relationships/hyperlink" Id="rId180" Target="https://papers.nips.cc/paper/7062-a-unified-approach-to-interpreting-model-predictions.pdf" TargetMode="External" /><Relationship Type="http://schemas.openxmlformats.org/officeDocument/2006/relationships/hyperlink" Id="rId244" Target="https://www.R-project.org/" TargetMode="External" /><Relationship Type="http://schemas.openxmlformats.org/officeDocument/2006/relationships/hyperlink" Id="rId105" Target="https://www.codevasf.gov.br/noticias/2014/artesanato-faz-parte-da-identidade-sociocultural-do-baixo-sao-francisco-sergipano-e-gera-renda-para-populacao-local" TargetMode="External" /><Relationship Type="http://schemas.openxmlformats.org/officeDocument/2006/relationships/hyperlink" Id="rId183" Target="https://www.gov.br/agricultura/pt-br/assuntos/sustentabilidade/indicacao-geografica/o-que-e-indicacao-geografica-ig" TargetMode="External" /><Relationship Type="http://schemas.openxmlformats.org/officeDocument/2006/relationships/hyperlink" Id="rId253" Target="https://www.interregeurope.eu" TargetMode="External" /><Relationship Type="http://schemas.openxmlformats.org/officeDocument/2006/relationships/hyperlink" Id="rId158" Target="https://www.jstatsoft.org/v25/i01/" TargetMode="External" /><Relationship Type="http://schemas.openxmlformats.org/officeDocument/2006/relationships/hyperlink" Id="rId246" Target="https://www.rstudio.com/" TargetMode="External" /><Relationship Type="http://schemas.openxmlformats.org/officeDocument/2006/relationships/hyperlink" Id="rId197" Target="https://www.wipo.int/" TargetMode="External" /><Relationship Type="http://schemas.openxmlformats.org/officeDocument/2006/relationships/hyperlink" Id="rId88"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23" Target="http://ainfo.cnptia.embrapa.br/digital/bitstream/item/181677/1/SiBCS-2018-ISBN-9788570358172.epub" TargetMode="External" /><Relationship Type="http://schemas.openxmlformats.org/officeDocument/2006/relationships/hyperlink" Id="rId117" Target="http://arxiv.org/pdf/1909.08996v2.pdf" TargetMode="External" /><Relationship Type="http://schemas.openxmlformats.org/officeDocument/2006/relationships/hyperlink" Id="rId99" Target="http://www.planalto.gov.br/ccivil_03/_ato2004-2006/2004/lei/l10.973.htm" TargetMode="External" /><Relationship Type="http://schemas.openxmlformats.org/officeDocument/2006/relationships/hyperlink" Id="rId101" Target="http://www.planalto.gov.br/ccivil_03/_ato2015-2018/2016/lei/l13243.htm" TargetMode="External" /><Relationship Type="http://schemas.openxmlformats.org/officeDocument/2006/relationships/hyperlink" Id="rId103" Target="http://www.planalto.gov.br/ccivil_03/_ato2023-2026/2024/lei/l15068.htm" TargetMode="External" /><Relationship Type="http://schemas.openxmlformats.org/officeDocument/2006/relationships/hyperlink" Id="rId97" Target="http://www.planalto.gov.br/ccivil_03/leis/l9279.htm" TargetMode="External" /><Relationship Type="http://schemas.openxmlformats.org/officeDocument/2006/relationships/hyperlink" Id="rId169" Target="https://arxiv.org/abs/2108.02497" TargetMode="External" /><Relationship Type="http://schemas.openxmlformats.org/officeDocument/2006/relationships/hyperlink" Id="rId174" Target="https://doi.org/10.1002/1520-6297(200022)16:3&lt;309::AID-AGR4&gt;3.0.CO;2-G" TargetMode="External" /><Relationship Type="http://schemas.openxmlformats.org/officeDocument/2006/relationships/hyperlink" Id="rId135" Target="https://doi.org/10.1002/vzj2.20035" TargetMode="External" /><Relationship Type="http://schemas.openxmlformats.org/officeDocument/2006/relationships/hyperlink" Id="rId193" Target="https://doi.org/10.1007/s10462-024-10844-w" TargetMode="External" /><Relationship Type="http://schemas.openxmlformats.org/officeDocument/2006/relationships/hyperlink" Id="rId186" Target="https://doi.org/10.1007/s12161-024-02625-6" TargetMode="External" /><Relationship Type="http://schemas.openxmlformats.org/officeDocument/2006/relationships/hyperlink" Id="rId221" Target="https://doi.org/10.1007/s12161-025-02840-9" TargetMode="External" /><Relationship Type="http://schemas.openxmlformats.org/officeDocument/2006/relationships/hyperlink" Id="rId149" Target="https://doi.org/10.1007/s41060-024-00509-w" TargetMode="External" /><Relationship Type="http://schemas.openxmlformats.org/officeDocument/2006/relationships/hyperlink" Id="rId125" Target="https://doi.org/10.1016/j.aca.2007.07.011" TargetMode="External" /><Relationship Type="http://schemas.openxmlformats.org/officeDocument/2006/relationships/hyperlink" Id="rId235" Target="https://doi.org/10.1016/j.chroma.2022.463284" TargetMode="External" /><Relationship Type="http://schemas.openxmlformats.org/officeDocument/2006/relationships/hyperlink" Id="rId153" Target="https://doi.org/10.1016/j.compag.2018.02.016" TargetMode="External" /><Relationship Type="http://schemas.openxmlformats.org/officeDocument/2006/relationships/hyperlink" Id="rId121" Target="https://doi.org/10.1016/j.ecoinf.2021.101472" TargetMode="External" /><Relationship Type="http://schemas.openxmlformats.org/officeDocument/2006/relationships/hyperlink" Id="rId166" Target="https://doi.org/10.1016/j.fochx.2025.102856" TargetMode="External" /><Relationship Type="http://schemas.openxmlformats.org/officeDocument/2006/relationships/hyperlink" Id="rId261" Target="https://doi.org/10.1016/j.fochx.2025.103069" TargetMode="External" /><Relationship Type="http://schemas.openxmlformats.org/officeDocument/2006/relationships/hyperlink" Id="rId200" Target="https://doi.org/10.1016/j.fochx.2025.103194" TargetMode="External" /><Relationship Type="http://schemas.openxmlformats.org/officeDocument/2006/relationships/hyperlink" Id="rId133" Target="https://doi.org/10.1016/j.foodchem.2019.125329" TargetMode="External" /><Relationship Type="http://schemas.openxmlformats.org/officeDocument/2006/relationships/hyperlink" Id="rId203" Target="https://doi.org/10.1016/j.foodchem.2020.128519" TargetMode="External" /><Relationship Type="http://schemas.openxmlformats.org/officeDocument/2006/relationships/hyperlink" Id="rId171" Target="https://doi.org/10.1016/j.foodchem.2021.130016" TargetMode="External" /><Relationship Type="http://schemas.openxmlformats.org/officeDocument/2006/relationships/hyperlink" Id="rId143" Target="https://doi.org/10.1016/j.foodchem.2024.140903" TargetMode="External" /><Relationship Type="http://schemas.openxmlformats.org/officeDocument/2006/relationships/hyperlink" Id="rId162" Target="https://doi.org/10.1016/j.foodchem.2024.142088" TargetMode="External" /><Relationship Type="http://schemas.openxmlformats.org/officeDocument/2006/relationships/hyperlink" Id="rId209" Target="https://doi.org/10.1016/j.foodchem.2025.144078" TargetMode="External" /><Relationship Type="http://schemas.openxmlformats.org/officeDocument/2006/relationships/hyperlink" Id="rId151" Target="https://doi.org/10.1016/j.foodchem.2025.145007" TargetMode="External" /><Relationship Type="http://schemas.openxmlformats.org/officeDocument/2006/relationships/hyperlink" Id="rId213" Target="https://doi.org/10.1016/j.foodpol.2022.102345" TargetMode="External" /><Relationship Type="http://schemas.openxmlformats.org/officeDocument/2006/relationships/hyperlink" Id="rId129" Target="https://doi.org/10.1016/j.heliyon.2024.e32297" TargetMode="External" /><Relationship Type="http://schemas.openxmlformats.org/officeDocument/2006/relationships/hyperlink" Id="rId271" Target="https://doi.org/10.1016/j.ijmedinf.2019.08.018" TargetMode="External" /><Relationship Type="http://schemas.openxmlformats.org/officeDocument/2006/relationships/hyperlink" Id="rId146" Target="https://doi.org/10.1016/j.jfca.2024.106668" TargetMode="External" /><Relationship Type="http://schemas.openxmlformats.org/officeDocument/2006/relationships/hyperlink" Id="rId215" Target="https://doi.org/10.1016/j.jfoodeng.2022.111378" TargetMode="External" /><Relationship Type="http://schemas.openxmlformats.org/officeDocument/2006/relationships/hyperlink" Id="rId188" Target="https://doi.org/10.1016/j.joi.2011.04.001" TargetMode="External" /><Relationship Type="http://schemas.openxmlformats.org/officeDocument/2006/relationships/hyperlink" Id="rId257" Target="https://doi.org/10.1016/j.joi.2013.10.006" TargetMode="External" /><Relationship Type="http://schemas.openxmlformats.org/officeDocument/2006/relationships/hyperlink" Id="rId123" Target="https://doi.org/10.1016/j.jpa.2025.xxxxxx" TargetMode="External" /><Relationship Type="http://schemas.openxmlformats.org/officeDocument/2006/relationships/hyperlink" Id="rId190" Target="https://doi.org/10.1016/j.lwt.2024.115886" TargetMode="External" /><Relationship Type="http://schemas.openxmlformats.org/officeDocument/2006/relationships/hyperlink" Id="rId131" Target="https://doi.org/10.1016/j.snb.2022.132946" TargetMode="External" /><Relationship Type="http://schemas.openxmlformats.org/officeDocument/2006/relationships/hyperlink" Id="rId178" Target="https://doi.org/10.1016/j.tifs.2019.11.006" TargetMode="External" /><Relationship Type="http://schemas.openxmlformats.org/officeDocument/2006/relationships/hyperlink" Id="rId273" Target="https://doi.org/10.1016/j.tifs.2024.104679" TargetMode="External" /><Relationship Type="http://schemas.openxmlformats.org/officeDocument/2006/relationships/hyperlink" Id="rId205" Target="https://doi.org/10.1016/j.tifs.2025.105405" TargetMode="External" /><Relationship Type="http://schemas.openxmlformats.org/officeDocument/2006/relationships/hyperlink" Id="rId86" Target="https://doi.org/10.1016/j.trac.2020.116140" TargetMode="External" /><Relationship Type="http://schemas.openxmlformats.org/officeDocument/2006/relationships/hyperlink" Id="rId156" Target="https://doi.org/10.1021/bk-2005-0894.ch001" TargetMode="External" /><Relationship Type="http://schemas.openxmlformats.org/officeDocument/2006/relationships/hyperlink" Id="rId233" Target="https://doi.org/10.1037/0033-2909.86.2.420" TargetMode="External" /><Relationship Type="http://schemas.openxmlformats.org/officeDocument/2006/relationships/hyperlink" Id="rId267" Target="https://doi.org/10.1038/s41538-021-00100-8" TargetMode="External" /><Relationship Type="http://schemas.openxmlformats.org/officeDocument/2006/relationships/hyperlink" Id="rId113" Target="https://doi.org/10.1080/01621459.1979.10481038" TargetMode="External" /><Relationship Type="http://schemas.openxmlformats.org/officeDocument/2006/relationships/hyperlink" Id="rId176" Target="https://doi.org/10.1080/10618600.2022.2069777" TargetMode="External" /><Relationship Type="http://schemas.openxmlformats.org/officeDocument/2006/relationships/hyperlink" Id="rId95" Target="https://doi.org/10.1088/1742-5468/2008/10/P10008" TargetMode="External" /><Relationship Type="http://schemas.openxmlformats.org/officeDocument/2006/relationships/hyperlink" Id="rId127" Target="https://doi.org/10.1108/BFJ-12-2014-0392" TargetMode="External" /><Relationship Type="http://schemas.openxmlformats.org/officeDocument/2006/relationships/hyperlink" Id="rId140" Target="https://doi.org/10.1108/SCM-11-2020-0576" TargetMode="External" /><Relationship Type="http://schemas.openxmlformats.org/officeDocument/2006/relationships/hyperlink" Id="rId259" Target="https://doi.org/10.1109/JSEN.2020.3048534" TargetMode="External" /><Relationship Type="http://schemas.openxmlformats.org/officeDocument/2006/relationships/hyperlink" Id="rId275" Target="https://doi.org/10.1109/TII.2021.3098700" TargetMode="External" /><Relationship Type="http://schemas.openxmlformats.org/officeDocument/2006/relationships/hyperlink" Id="rId160" Target="https://doi.org/10.1111/1541-4337.70082" TargetMode="External" /><Relationship Type="http://schemas.openxmlformats.org/officeDocument/2006/relationships/hyperlink" Id="rId240" Target="https://doi.org/10.1111/j.1475-4762.2007.00765.x" TargetMode="External" /><Relationship Type="http://schemas.openxmlformats.org/officeDocument/2006/relationships/hyperlink" Id="rId255" Target="https://doi.org/10.1111/j.1745-4565.2009.00188.x" TargetMode="External" /><Relationship Type="http://schemas.openxmlformats.org/officeDocument/2006/relationships/hyperlink" Id="rId217" Target="https://doi.org/10.1145/3306618.3314279" TargetMode="External" /><Relationship Type="http://schemas.openxmlformats.org/officeDocument/2006/relationships/hyperlink" Id="rId263" Target="https://doi.org/10.1155/2022/3832170" TargetMode="External" /><Relationship Type="http://schemas.openxmlformats.org/officeDocument/2006/relationships/hyperlink" Id="rId227" Target="https://doi.org/10.1162/dint_a_00213" TargetMode="External" /><Relationship Type="http://schemas.openxmlformats.org/officeDocument/2006/relationships/hyperlink" Id="rId93" Target="https://doi.org/10.1177/014920639101700108" TargetMode="External" /><Relationship Type="http://schemas.openxmlformats.org/officeDocument/2006/relationships/hyperlink" Id="rId107" Target="https://doi.org/10.1186/s12911-021-01533-7" TargetMode="External" /><Relationship Type="http://schemas.openxmlformats.org/officeDocument/2006/relationships/hyperlink" Id="rId109" Target="https://doi.org/10.1186/s40537-020-00327-4" TargetMode="External" /><Relationship Type="http://schemas.openxmlformats.org/officeDocument/2006/relationships/hyperlink" Id="rId111"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29" Target="https://doi.org/10.21105/joss.02341" TargetMode="External" /><Relationship Type="http://schemas.openxmlformats.org/officeDocument/2006/relationships/hyperlink" Id="rId211" Target="https://doi.org/10.2174/1386207324666210309102239" TargetMode="External" /><Relationship Type="http://schemas.openxmlformats.org/officeDocument/2006/relationships/hyperlink" Id="rId237" Target="https://doi.org/10.2307/1412159" TargetMode="External" /><Relationship Type="http://schemas.openxmlformats.org/officeDocument/2006/relationships/hyperlink" Id="rId231" Target="https://doi.org/10.3390/rs11080920" TargetMode="External" /><Relationship Type="http://schemas.openxmlformats.org/officeDocument/2006/relationships/hyperlink" Id="rId164" Target="https://doi.org/10.3390/s18082674" TargetMode="External" /><Relationship Type="http://schemas.openxmlformats.org/officeDocument/2006/relationships/hyperlink" Id="rId277" Target="https://doi.org/10.3390/s22249678" TargetMode="External" /><Relationship Type="http://schemas.openxmlformats.org/officeDocument/2006/relationships/hyperlink" Id="rId207" Target="https://doi.org/10.3390/s23094527" TargetMode="External" /><Relationship Type="http://schemas.openxmlformats.org/officeDocument/2006/relationships/hyperlink" Id="rId269" Target="https://doi.org/10.3390/s23114958" TargetMode="External" /><Relationship Type="http://schemas.openxmlformats.org/officeDocument/2006/relationships/hyperlink" Id="rId195" Target="https://doi.org/10.3390/separations11050148" TargetMode="External" /><Relationship Type="http://schemas.openxmlformats.org/officeDocument/2006/relationships/hyperlink" Id="rId90" Target="https://doi.org/10.3390/su14042420" TargetMode="External" /><Relationship Type="http://schemas.openxmlformats.org/officeDocument/2006/relationships/hyperlink" Id="rId137" Target="https://doi.org/10.5281/zenodo.1234567" TargetMode="External" /><Relationship Type="http://schemas.openxmlformats.org/officeDocument/2006/relationships/hyperlink" Id="rId251" Target="https://doi.org/10.7326/M18-0850" TargetMode="External" /><Relationship Type="http://schemas.openxmlformats.org/officeDocument/2006/relationships/hyperlink" Id="rId225" Target="https://doi.org/10.9771/cp.v12i1.27215" TargetMode="External" /><Relationship Type="http://schemas.openxmlformats.org/officeDocument/2006/relationships/hyperlink" Id="rId119" Target="https://igraph.org" TargetMode="External" /><Relationship Type="http://schemas.openxmlformats.org/officeDocument/2006/relationships/hyperlink" Id="rId115" Target="https://legislacao.presidencia.gov.br/atos/?tipo=DEC&amp;numero=75699&amp;ano=1975" TargetMode="External" /><Relationship Type="http://schemas.openxmlformats.org/officeDocument/2006/relationships/hyperlink" Id="rId180" Target="https://papers.nips.cc/paper/7062-a-unified-approach-to-interpreting-model-predictions.pdf" TargetMode="External" /><Relationship Type="http://schemas.openxmlformats.org/officeDocument/2006/relationships/hyperlink" Id="rId244" Target="https://www.R-project.org/" TargetMode="External" /><Relationship Type="http://schemas.openxmlformats.org/officeDocument/2006/relationships/hyperlink" Id="rId105" Target="https://www.codevasf.gov.br/noticias/2014/artesanato-faz-parte-da-identidade-sociocultural-do-baixo-sao-francisco-sergipano-e-gera-renda-para-populacao-local" TargetMode="External" /><Relationship Type="http://schemas.openxmlformats.org/officeDocument/2006/relationships/hyperlink" Id="rId183" Target="https://www.gov.br/agricultura/pt-br/assuntos/sustentabilidade/indicacao-geografica/o-que-e-indicacao-geografica-ig" TargetMode="External" /><Relationship Type="http://schemas.openxmlformats.org/officeDocument/2006/relationships/hyperlink" Id="rId253" Target="https://www.interregeurope.eu" TargetMode="External" /><Relationship Type="http://schemas.openxmlformats.org/officeDocument/2006/relationships/hyperlink" Id="rId158" Target="https://www.jstatsoft.org/v25/i01/" TargetMode="External" /><Relationship Type="http://schemas.openxmlformats.org/officeDocument/2006/relationships/hyperlink" Id="rId246" Target="https://www.rstudio.com/" TargetMode="External" /><Relationship Type="http://schemas.openxmlformats.org/officeDocument/2006/relationships/hyperlink" Id="rId197" Target="https://www.wipo.int/" TargetMode="External" /><Relationship Type="http://schemas.openxmlformats.org/officeDocument/2006/relationships/hyperlink" Id="rId88"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Scoping Review on Authentication, Certification and Open Data Ecosystems</dc:title>
  <dc:creator>Catuxe Varjão de Santana Oliveira, Paulo Roberto Gagliardi, Luiz Diego Vidal Santos, Gustavo da Silva Quirino, Ana Karla de Souza Abud, Cristiane Toniolo Dias</dc:creator>
  <dc:language>pt-BR</dc:language>
  <cp:keywords/>
  <dcterms:created xsi:type="dcterms:W3CDTF">2025-11-21T14:05:30Z</dcterms:created>
  <dcterms:modified xsi:type="dcterms:W3CDTF">2025-11-21T14:05:30Z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