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46.png" ContentType="image/png"/>
  <Override PartName="/word/media/rId20.png" ContentType="image/png"/>
  <Override PartName="/word/media/rId69.png" ContentType="image/png"/>
  <Override PartName="/word/media/rId50.png" ContentType="image/png"/>
  <Override PartName="/word/media/rId79.png" ContentType="image/png"/>
  <Override PartName="/word/media/rId41.png" ContentType="image/png"/>
  <Override PartName="/word/media/rId59.png" ContentType="image/png"/>
  <Override PartName="/word/media/rId55.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bookmarkStart w:id="17" w:name="resumo"/>
    <w:p>
      <w:pPr>
        <w:pStyle w:val="Ttulo1"/>
      </w:pPr>
      <w:r>
        <w:t xml:space="preserve">Resumo</w:t>
      </w:r>
    </w:p>
    <w:p>
      <w:pPr>
        <w:pStyle w:val="FirstParagraph"/>
      </w:pPr>
      <w:r>
        <w:t xml:space="preserve">As Indicações Geográficas (IGs) constituem ativos estratégicos para a valorização de produtos com identidade territorial, cuja certificação depende de métodos confiáveis de autenticação. Embora o Aprendizado de Máquina (ML) tenha se tornado central nesse processo, falta uma síntese sistemática de suas aplicações em IGs. Esta revisão de escopo teve como objetivo mapear o estado da arte das aplicações de ML em IGs, identificando algoritmos, produtos e técnicas analíticas predominantes, bem como a estrutura conceitual do campo. Foram incluídos artigos revisados por pares que aplicaram ML à autenticação ou caracterização de produtos com IG, identificados por busca sistemática em Scopus e Web of Science (2010–2025), combinada a filtragem automatizada por pontuação semântica e avaliação de qualidade metodológica (ICC = 0,87). A síntese integrou Análise de Correspondência Múltipla, Análise de Redes e Análise Temporal, a partir de 148 estudos selecionados dentre 272 registros iniciais. Os resultados indicam crescimento superior a 400% nas publicações desde 2018, organização do campo em quatro clusters temáticos e polarização entre um núcleo consolidado (vinhos, azeites, algoritmos quimiométricos clássicos) e uma fronteira de inovação (chás, plantas medicinais, metabolômica e Deep Learning). Observa-se transição de provas de conceito para especialização metodológica, na qual a escolha de algoritmos e plataformas analíticas passa a ser condicionada pela matriz do produto e pelo contexto geográfico, com implicações diretas para o desenho de sistemas de certificação de origem na era digital.</w:t>
      </w:r>
    </w:p>
    <w:p>
      <w:pPr>
        <w:pStyle w:val="Corpodetexto"/>
      </w:pPr>
      <w:r>
        <w:rPr>
          <w:b/>
          <w:bCs/>
        </w:rPr>
        <w:t xml:space="preserve">Palavras-chave:</w:t>
      </w:r>
      <w:r>
        <w:t xml:space="preserve"> </w:t>
      </w:r>
      <w:r>
        <w:t xml:space="preserve">Indicações Geográficas; Aprendizado de Máquina; Denominação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assegurando direitos exclusivos sobre produtos cuja qualidade, reputação e características derivam de sua origem geográfica</w:t>
      </w:r>
      <w:r>
        <w:t xml:space="preserve"> </w:t>
      </w:r>
      <w:r>
        <w:t xml:space="preserve">(Locatelli, 2008; WIPO, 2018)</w:t>
      </w:r>
      <w:r>
        <w:t xml:space="preserve">. Fundamentadas na Convenção de Berna</w:t>
      </w:r>
      <w:r>
        <w:t xml:space="preserve"> </w:t>
      </w:r>
      <w:r>
        <w:t xml:space="preserve">(</w:t>
      </w:r>
      <w:r>
        <w:rPr>
          <w:i/>
          <w:iCs/>
        </w:rPr>
        <w:t xml:space="preserve">Convenção de Berna para a Proteção das Obras Literárias e Artísticas</w:t>
      </w:r>
      <w:r>
        <w:t xml:space="preserve">, 1886)</w:t>
      </w:r>
      <w:r>
        <w:t xml:space="preserve"> </w:t>
      </w:r>
      <w:r>
        <w:t xml:space="preserve">e no Acordo TRIPS</w:t>
      </w:r>
      <w:r>
        <w:t xml:space="preserve"> </w:t>
      </w:r>
      <w:r>
        <w:t xml:space="preserve">(</w:t>
      </w:r>
      <w:r>
        <w:rPr>
          <w:i/>
          <w:iCs/>
        </w:rPr>
        <w:t xml:space="preserve">Agreement on Trade-Related Aspects of Intellectual Property Rights (TRIPS)</w:t>
      </w:r>
      <w:r>
        <w:t xml:space="preserve">, 1994)</w:t>
      </w:r>
      <w:r>
        <w:t xml:space="preserve">, as IGs conectam territórios produtivos e comunidades locais a mercados diferenciados, vinculando proteção de direitos à preservação do conhecimento tradicional</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Brasil,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p>
    <w:p>
      <w:pPr>
        <w:pStyle w:val="Corpodetexto"/>
      </w:pP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w:t>
      </w:r>
      <w:r>
        <w:t xml:space="preserve"> </w:t>
      </w:r>
      <w:r>
        <w:t xml:space="preserve">(Brasil, 1996)</w:t>
      </w:r>
      <w:r>
        <w:t xml:space="preserve">,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de que forma os sistemas de certificação podem validar, rigorosamente e objetivamente, a relação entre origem geográfica e qualidade de produtos.</w:t>
      </w:r>
    </w:p>
    <w:p>
      <w:pPr>
        <w:pStyle w:val="Corpodetexto"/>
      </w:pPr>
      <w:r>
        <w:t xml:space="preserve">As tecnologias de Aprendizado de Máquina (ML) emergem como resposta estratégica a essa lacuna, transmutando dados analíticos complexos em conhecimento certificável sobre autenticidade e origem. Diferentemente dos métodos de análise sensorial tradicionais, dependentes de expertise humana tácita e limitados pela subjetividade e escalabilidade, os algoritmos de ML operam sob uma lógica indutiva ou abdutiva. Eles processam automaticamente dados multidimensionais, identificando padrões não lineares e relações latentes que escapam à modelagem estatística clássica baseada em testes de hipóteses dedutivos. Essa capacidade de construir modelos com formas funcionais flexíveis permite revelar estruturas de dados não previamente especificadas pela teoria, conferindo robustez matemática à certificação territorial</w:t>
      </w:r>
      <w:r>
        <w:t xml:space="preserve"> </w:t>
      </w:r>
      <w:r>
        <w:t xml:space="preserve">(R. C. Chen et al., 2020; Ramos et al., 2025)</w:t>
      </w:r>
      <w:r>
        <w:t xml:space="preserve">.</w:t>
      </w:r>
    </w:p>
    <w:p>
      <w:pPr>
        <w:pStyle w:val="Corpodetexto"/>
      </w:pPr>
      <w:r>
        <w:t xml:space="preserve">No âmbito das Indicações Geográficas, o Machine Learning tem sido mobilizado para autenticação de origem, detecção de fraudes, controle preditivo de qualidade e rastreabilidade integral, operando sobre assinaturas químicas, isotópicas, espectrais e geoespaciais que capturam a relação entre produto e território</w:t>
      </w:r>
      <w:r>
        <w:t xml:space="preserve"> </w:t>
      </w:r>
      <w:r>
        <w:t xml:space="preserve">(Acquarelli et al., 2021; Longo et al., 2021; Rana et al., 2023; Rodrigues et al., 2022)</w:t>
      </w:r>
      <w:r>
        <w:t xml:space="preserve">. Essas aplicações demonstram que a integração entre dados instrumentais de alta dimensionalidade e modelos supervisionados permite discriminar origens, identificar adulterações e estimar atributos sensoriais e físico‑químicos com precisão compatível com requisitos de certificação</w:t>
      </w:r>
      <w:r>
        <w:t xml:space="preserve"> </w:t>
      </w:r>
      <w:r>
        <w:t xml:space="preserve">(Jiang et al., 2025; Li et al., 2025; Peng et al., 2025; Santomá-Martí et al., 2025; Wang et al., 2025)</w:t>
      </w:r>
      <w:r>
        <w:t xml:space="preserve">.</w:t>
      </w:r>
    </w:p>
    <w:p>
      <w:pPr>
        <w:pStyle w:val="Corpodetexto"/>
      </w:pPr>
      <w:r>
        <w:t xml:space="preserve">A seleção de variáveis e a escolha de algoritmos, em particular Random Forest, SVM, PLS‑DA, PCA e métodos de seleção como Boruta e RFE, deixam de ser apenas decisões técnicas para se tornar componente da arquitetura regulatória, pois definem quais marcadores territoriais serão reconhecidos como evidências de autenticidade</w:t>
      </w:r>
      <w:r>
        <w:t xml:space="preserve"> </w:t>
      </w:r>
      <w:r>
        <w:t xml:space="preserve">(R. C. Chen et al., 2020; Effrosynidis &amp; Arampatzis, 2021; Iranzad &amp; Liu, 2025; Loyal et al., 2022; Malik et al., 2023; Rebiai et al., 2022;</w:t>
      </w:r>
      <w:r>
        <w:t xml:space="preserve"> </w:t>
      </w:r>
      <w:r>
        <w:t xml:space="preserve">Salam et al.</w:t>
      </w:r>
      <w:r>
        <w:t xml:space="preserve">, 2021)</w:t>
      </w:r>
      <w:r>
        <w:t xml:space="preserve">.</w:t>
      </w:r>
    </w:p>
    <w:p>
      <w:pPr>
        <w:pStyle w:val="Corpodetexto"/>
      </w:pPr>
      <w:r>
        <w:t xml:space="preserve">Apesar do interesse acadêmico e tecnológico atual, não existem revisões de escopo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40"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questão-de-pesquisa"/>
    <w:p>
      <w:pPr>
        <w:pStyle w:val="Ttulo2"/>
      </w:pPr>
      <w:r>
        <w:t xml:space="preserve">2.1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 Estratégia de Busca nas principais bases de dados, (2) Filtragem Automatizada com sistema de pontuação ponderada, (3) Análise Manual de Qualidade com avaliação multidisciplinar, e (4) Análise Bibliométrica e Síntese Qualitativa** 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3040519"/>
            <wp:effectExtent b="0" l="0" r="0" t="0"/>
            <wp:docPr descr="Fluxograma da revisão de Escopo sobre Aplicações de Machine Learning em Indicações Geográficas." title="" id="21" name="Picture"/>
            <a:graphic>
              <a:graphicData uri="http://schemas.openxmlformats.org/drawingml/2006/picture">
                <pic:pic>
                  <pic:nvPicPr>
                    <pic:cNvPr descr="2-FIGURAS/ml_indicacoes_geograficas.png" id="22" name="Picture"/>
                    <pic:cNvPicPr>
                      <a:picLocks noChangeArrowheads="1" noChangeAspect="1"/>
                    </pic:cNvPicPr>
                  </pic:nvPicPr>
                  <pic:blipFill>
                    <a:blip r:embed="rId20"/>
                    <a:stretch>
                      <a:fillRect/>
                    </a:stretch>
                  </pic:blipFill>
                  <pic:spPr bwMode="auto">
                    <a:xfrm>
                      <a:off x="0" y="0"/>
                      <a:ext cx="4480560" cy="3040519"/>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bases de dados científicas Scopus (Elsevier) e Web of Science (Clarivate Analytics). 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i/>
          <w:iCs/>
        </w:rPr>
        <w:t xml:space="preserve">(</w:t>
      </w:r>
      <w:r>
        <w:rPr>
          <w:i/>
          <w:iCs/>
        </w:rPr>
        <w:t xml:space="preserve">“machine learning”</w:t>
      </w:r>
      <w:r>
        <w:rPr>
          <w:i/>
          <w:iCs/>
        </w:rPr>
        <w:t xml:space="preserve"> </w:t>
      </w:r>
      <w:r>
        <w:rPr>
          <w:i/>
          <w:iCs/>
        </w:rPr>
        <w:t xml:space="preserve">OR</w:t>
      </w:r>
      <w:r>
        <w:rPr>
          <w:i/>
          <w:iCs/>
        </w:rPr>
        <w:t xml:space="preserve"> </w:t>
      </w:r>
      <w:r>
        <w:rPr>
          <w:i/>
          <w:iCs/>
        </w:rPr>
        <w:t xml:space="preserve">“artificial intelligence”</w:t>
      </w:r>
      <w:r>
        <w:rPr>
          <w:i/>
          <w:iCs/>
        </w:rPr>
        <w:t xml:space="preserve"> </w:t>
      </w:r>
      <w:r>
        <w:rPr>
          <w:i/>
          <w:iCs/>
        </w:rPr>
        <w:t xml:space="preserve">OR</w:t>
      </w:r>
      <w:r>
        <w:rPr>
          <w:i/>
          <w:iCs/>
        </w:rPr>
        <w:t xml:space="preserve"> </w:t>
      </w:r>
      <w:r>
        <w:rPr>
          <w:i/>
          <w:iCs/>
        </w:rPr>
        <w:t xml:space="preserve">“deep learning”</w:t>
      </w:r>
      <w:r>
        <w:rPr>
          <w:i/>
          <w:iCs/>
        </w:rPr>
        <w:t xml:space="preserve"> </w:t>
      </w:r>
      <w:r>
        <w:rPr>
          <w:i/>
          <w:iCs/>
        </w:rPr>
        <w:t xml:space="preserve">OR</w:t>
      </w:r>
      <w:r>
        <w:rPr>
          <w:i/>
          <w:iCs/>
        </w:rPr>
        <w:t xml:space="preserve"> </w:t>
      </w:r>
      <w:r>
        <w:rPr>
          <w:i/>
          <w:iCs/>
        </w:rPr>
        <w:t xml:space="preserve">“supervised learning”</w:t>
      </w:r>
      <w:r>
        <w:rPr>
          <w:i/>
          <w:iCs/>
        </w:rPr>
        <w:t xml:space="preserve"> </w:t>
      </w:r>
      <w:r>
        <w:rPr>
          <w:i/>
          <w:iCs/>
        </w:rPr>
        <w:t xml:space="preserve">OR</w:t>
      </w:r>
      <w:r>
        <w:rPr>
          <w:i/>
          <w:iCs/>
        </w:rPr>
        <w:t xml:space="preserve"> </w:t>
      </w:r>
      <w:r>
        <w:rPr>
          <w:i/>
          <w:iCs/>
        </w:rPr>
        <w:t xml:space="preserve">“unsupervised learning”</w:t>
      </w:r>
      <w:r>
        <w:rPr>
          <w:i/>
          <w:iCs/>
        </w:rPr>
        <w:t xml:space="preserve"> </w:t>
      </w:r>
      <w:r>
        <w:rPr>
          <w:i/>
          <w:iCs/>
        </w:rPr>
        <w:t xml:space="preserve">OR</w:t>
      </w:r>
      <w:r>
        <w:rPr>
          <w:i/>
          <w:iCs/>
        </w:rPr>
        <w:t xml:space="preserve"> </w:t>
      </w:r>
      <w:r>
        <w:rPr>
          <w:i/>
          <w:iCs/>
        </w:rPr>
        <w:t xml:space="preserve">“ensemble methods”</w:t>
      </w:r>
      <w:r>
        <w:rPr>
          <w:i/>
          <w:iCs/>
        </w:rPr>
        <w:t xml:space="preserve">) AND (</w:t>
      </w:r>
      <w:r>
        <w:rPr>
          <w:i/>
          <w:iCs/>
        </w:rPr>
        <w:t xml:space="preserve">“geographical indications”</w:t>
      </w:r>
      <w:r>
        <w:rPr>
          <w:i/>
          <w:iCs/>
        </w:rPr>
        <w:t xml:space="preserve"> </w:t>
      </w:r>
      <w:r>
        <w:rPr>
          <w:i/>
          <w:iCs/>
        </w:rPr>
        <w:t xml:space="preserve">OR</w:t>
      </w:r>
      <w:r>
        <w:rPr>
          <w:i/>
          <w:iCs/>
        </w:rPr>
        <w:t xml:space="preserve"> </w:t>
      </w:r>
      <w:r>
        <w:rPr>
          <w:i/>
          <w:iCs/>
        </w:rPr>
        <w:t xml:space="preserve">“denominations of origin”</w:t>
      </w:r>
      <w:r>
        <w:rPr>
          <w:i/>
          <w:iCs/>
        </w:rPr>
        <w:t xml:space="preserve"> </w:t>
      </w:r>
      <w:r>
        <w:rPr>
          <w:i/>
          <w:iCs/>
        </w:rPr>
        <w:t xml:space="preserve">OR</w:t>
      </w:r>
      <w:r>
        <w:rPr>
          <w:i/>
          <w:iCs/>
        </w:rPr>
        <w:t xml:space="preserve"> </w:t>
      </w:r>
      <w:r>
        <w:rPr>
          <w:i/>
          <w:iCs/>
        </w:rPr>
        <w:t xml:space="preserve">“appellations of origin”</w:t>
      </w:r>
      <w:r>
        <w:rPr>
          <w:i/>
          <w:iCs/>
        </w:rPr>
        <w:t xml:space="preserve"> </w:t>
      </w:r>
      <w:r>
        <w:rPr>
          <w:i/>
          <w:iCs/>
        </w:rPr>
        <w:t xml:space="preserve">OR</w:t>
      </w:r>
      <w:r>
        <w:rPr>
          <w:i/>
          <w:iCs/>
        </w:rPr>
        <w:t xml:space="preserve"> </w:t>
      </w:r>
      <w:r>
        <w:rPr>
          <w:i/>
          <w:iCs/>
        </w:rPr>
        <w:t xml:space="preserve">“protected designations of origin”</w:t>
      </w:r>
      <w:r>
        <w:rPr>
          <w:i/>
          <w:iCs/>
        </w:rPr>
        <w:t xml:space="preserve">) AND (</w:t>
      </w:r>
      <w:r>
        <w:rPr>
          <w:i/>
          <w:iCs/>
        </w:rPr>
        <w:t xml:space="preserve">“authentication”</w:t>
      </w:r>
      <w:r>
        <w:rPr>
          <w:i/>
          <w:iCs/>
        </w:rPr>
        <w:t xml:space="preserve"> </w:t>
      </w:r>
      <w:r>
        <w:rPr>
          <w:i/>
          <w:iCs/>
        </w:rPr>
        <w:t xml:space="preserve">OR</w:t>
      </w:r>
      <w:r>
        <w:rPr>
          <w:i/>
          <w:iCs/>
        </w:rPr>
        <w:t xml:space="preserve"> </w:t>
      </w:r>
      <w:r>
        <w:rPr>
          <w:i/>
          <w:iCs/>
        </w:rPr>
        <w:t xml:space="preserve">“traceability”</w:t>
      </w:r>
      <w:r>
        <w:rPr>
          <w:i/>
          <w:iCs/>
        </w:rPr>
        <w:t xml:space="preserve"> </w:t>
      </w:r>
      <w:r>
        <w:rPr>
          <w:i/>
          <w:iCs/>
        </w:rPr>
        <w:t xml:space="preserve">OR</w:t>
      </w:r>
      <w:r>
        <w:rPr>
          <w:i/>
          <w:iCs/>
        </w:rPr>
        <w:t xml:space="preserve"> </w:t>
      </w:r>
      <w:r>
        <w:rPr>
          <w:i/>
          <w:iCs/>
        </w:rPr>
        <w:t xml:space="preserve">“quality control”</w:t>
      </w:r>
      <w:r>
        <w:rPr>
          <w:i/>
          <w:iCs/>
        </w:rPr>
        <w:t xml:space="preserve"> </w:t>
      </w:r>
      <w:r>
        <w:rPr>
          <w:i/>
          <w:iCs/>
        </w:rPr>
        <w:t xml:space="preserve">OR</w:t>
      </w:r>
      <w:r>
        <w:rPr>
          <w:i/>
          <w:iCs/>
        </w:rPr>
        <w:t xml:space="preserve"> </w:t>
      </w:r>
      <w:r>
        <w:rPr>
          <w:i/>
          <w:iCs/>
        </w:rPr>
        <w:t xml:space="preserve">“fraud detection”</w:t>
      </w:r>
      <w:r>
        <w:rPr>
          <w:i/>
          <w:iCs/>
        </w:rPr>
        <w:t xml:space="preserve"> </w:t>
      </w:r>
      <w:r>
        <w:rPr>
          <w:i/>
          <w:iCs/>
        </w:rPr>
        <w:t xml:space="preserve">OR</w:t>
      </w:r>
      <w:r>
        <w:rPr>
          <w:i/>
          <w:iCs/>
        </w:rPr>
        <w:t xml:space="preserve"> </w:t>
      </w:r>
      <w:r>
        <w:rPr>
          <w:i/>
          <w:iCs/>
        </w:rPr>
        <w:t xml:space="preserve">“geospatial analysis”</w:t>
      </w:r>
      <w:r>
        <w:rPr>
          <w:i/>
          <w:iCs/>
        </w:rPr>
        <w:t xml:space="preserve">)</w:t>
      </w:r>
      <w:r>
        <w:t xml:space="preserve">.</w:t>
      </w:r>
    </w:p>
    <w:p>
      <w:pPr>
        <w:pStyle w:val="Corpodetexto"/>
      </w:pPr>
      <w:r>
        <w:t xml:space="preserve">Os critérios de inclusão contemplaram os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a triagem manual, foi desenvolvido um sistema de filtragem automatizada que atribui pontuações de relevância temática aos registros com base na presença e na localização de descritores específicos em título, resumo e palavras‑chave. O algoritmo foi implementado em Python (NLTK, spaCy) e estruturado como um esquema de pesos hierárquicos aplicado a cada termo identificado. A pontuação de cada artigo foi calculada pela Equação 1.</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seguiu princípios do Método de Análise Hierárquica (AHP), organizando os descritores em cinco categorias com pesos diferenciados</w:t>
      </w:r>
      <w:r>
        <w:t xml:space="preserve"> </w:t>
      </w:r>
      <w:r>
        <w:t xml:space="preserve">(Saaty, 1991)</w:t>
      </w:r>
      <w:r>
        <w:t xml:space="preserve">. Termos Prioritários (5 pontos) representam o núcleo conceitual da revisão e incluem expressões como</w:t>
      </w:r>
      <w:r>
        <w:t xml:space="preserve"> </w:t>
      </w:r>
      <w:r>
        <w:rPr>
          <w:i/>
          <w:iCs/>
        </w:rPr>
        <w:t xml:space="preserve">geographical indications, denominations of origin, appellations of origin, protected designations of origin, traceability, authentication, quality control</w:t>
      </w:r>
      <w:r>
        <w:t xml:space="preserve">. Termos de Alta Relevância (3 pontos) capturam conceitos metodológicos centrais, como</w:t>
      </w:r>
      <w:r>
        <w:t xml:space="preserve"> </w:t>
      </w:r>
      <w:r>
        <w:rPr>
          <w:i/>
          <w:iCs/>
        </w:rPr>
        <w:t xml:space="preserve">machine learning, artificial intelligence, deep learning, neural networks, fraud detection, geospatial analysis</w:t>
      </w:r>
      <w:r>
        <w:t xml:space="preserve">. Termos de Relevância Média (2 pontos) cobrem temas complementares, a exemplo de</w:t>
      </w:r>
      <w:r>
        <w:t xml:space="preserve"> </w:t>
      </w:r>
      <w:r>
        <w:rPr>
          <w:i/>
          <w:iCs/>
        </w:rPr>
        <w:t xml:space="preserve">chemometrics, data mining, classification</w:t>
      </w:r>
      <w:r>
        <w:t xml:space="preserve">, enquanto Termos de Contexto (1 ponto) indicam ambientes ou aplicações potenciais, como</w:t>
      </w:r>
      <w:r>
        <w:t xml:space="preserve"> </w:t>
      </w:r>
      <w:r>
        <w:rPr>
          <w:i/>
          <w:iCs/>
        </w:rPr>
        <w:t xml:space="preserve">regional products, certification, prediction, validation</w:t>
      </w:r>
      <w:r>
        <w:t xml:space="preserve">. Termos de Exclusão recebem pesos negativos e penalizam registros fora do escopo, sobretudo em domínios como</w:t>
      </w:r>
      <w:r>
        <w:t xml:space="preserve"> </w:t>
      </w:r>
      <w:r>
        <w:rPr>
          <w:i/>
          <w:iCs/>
        </w:rPr>
        <w:t xml:space="preserve">medical/clinical/pharmaceutical</w:t>
      </w:r>
      <w:r>
        <w:t xml:space="preserve"> </w:t>
      </w:r>
      <w:r>
        <w:t xml:space="preserve">(−5),</w:t>
      </w:r>
      <w:r>
        <w:t xml:space="preserve"> </w:t>
      </w:r>
      <w:r>
        <w:rPr>
          <w:i/>
          <w:iCs/>
        </w:rPr>
        <w:t xml:space="preserve">urban planning/smart cities</w:t>
      </w:r>
      <w:r>
        <w:t xml:space="preserve"> </w:t>
      </w:r>
      <w:r>
        <w:t xml:space="preserve">(−3) e</w:t>
      </w:r>
      <w:r>
        <w:t xml:space="preserve"> </w:t>
      </w:r>
      <w:r>
        <w:rPr>
          <w:i/>
          <w:iCs/>
        </w:rPr>
        <w:t xml:space="preserve">finance/economics/business</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26"/>
    <w:bookmarkStart w:id="27" w:name="Xbbc72084e4feabc9956f9877c43c921321d150c"/>
    <w:p>
      <w:pPr>
        <w:pStyle w:val="Ttulo3"/>
      </w:pPr>
      <w:r>
        <w:t xml:space="preserve">2.4.2 Implementação e Validação do Sistema Automatizado</w:t>
      </w:r>
    </w:p>
    <w:p>
      <w:pPr>
        <w:pStyle w:val="FirstParagraph"/>
      </w:pPr>
      <w:r>
        <w:t xml:space="preserve">Para cada registro, o algoritmo varre título, resumo e palavras‑chave, aplica os pesos definidos para cada categoria de termo (Prioritário = 5; Alta Relevância = 3; Relevância Média = 2; Contexto = 1; Exclusão = valores negativos) e multiplica cada ocorrência pelo fator de localização correspondente (1,5 para título, 1,2 para palavras‑chave, 1,0 para resumo). A pontuação final é a soma desses produtos ao longo de todos os termos identificados em cada registro.</w:t>
      </w:r>
    </w:p>
    <w:p>
      <w:pPr>
        <w:pStyle w:val="Corpodetexto"/>
      </w:pPr>
      <w:r>
        <w:t xml:space="preserve">O limiar mínimo de inclusão foi definido a partir da distribuição empírica das pontuações, identificando-se o ponto de inflexão na curva acumulada (critério tipo Pareto/elbow) e ajustando-o por validação manual com amostragem estratificada de registros contendo termos‑chave como</w:t>
      </w:r>
      <w:r>
        <w:t xml:space="preserve"> </w:t>
      </w:r>
      <w:r>
        <w:rPr>
          <w:i/>
          <w:iCs/>
        </w:rPr>
        <w:t xml:space="preserve">machine learning</w:t>
      </w:r>
      <w:r>
        <w:t xml:space="preserve">,</w:t>
      </w:r>
      <w:r>
        <w:t xml:space="preserve"> </w:t>
      </w:r>
      <w:r>
        <w:rPr>
          <w:i/>
          <w:iCs/>
        </w:rPr>
        <w:t xml:space="preserve">geographical indications</w:t>
      </w:r>
      <w:r>
        <w:t xml:space="preserve"> </w:t>
      </w:r>
      <w:r>
        <w:t xml:space="preserve">e</w:t>
      </w:r>
      <w:r>
        <w:t xml:space="preserve"> </w:t>
      </w:r>
      <w:r>
        <w:rPr>
          <w:i/>
          <w:iCs/>
        </w:rPr>
        <w:t xml:space="preserve">authentication</w:t>
      </w:r>
      <w:r>
        <w:t xml:space="preserve">. O valor final representou o melhor compromisso entre sensibilidade e especificidade, estabilizando a concordância interavaliadores nos casos limítrofes.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w:t>
      </w:r>
    </w:p>
    <w:p>
      <w:pPr>
        <w:pStyle w:val="Corpodetexto"/>
      </w:pPr>
      <w:r>
        <w:t xml:space="preserve">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Foi desenvolvido sistema automatizado para verificar a cobertura bibliográfica das citações metodológicas. O procedimento avalia completude e consistência da base de referências, garantindo rastreabilidade entre citações textuais e arquivos bibliográficos.</w:t>
      </w:r>
    </w:p>
    <w:p>
      <w:pPr>
        <w:pStyle w:val="Corpodetexto"/>
      </w:pPr>
      <w:r>
        <w:t xml:space="preserve">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w:t>
      </w:r>
      <w:r>
        <w:t xml:space="preserve"> </w:t>
      </w:r>
      <w:r>
        <w:t xml:space="preserve">(Ofori-Boateng et al., 2024; Sawicki et al., 2023)</w:t>
      </w:r>
      <w:r>
        <w:t xml:space="preserve">. Foi construído pipeline computacional que extrai, tokeniza e vetorializa metadados e resumos das referências, usando modelos supervisionados e regras semânticas para reconhecimento de padrões</w:t>
      </w:r>
      <w:r>
        <w:t xml:space="preserve"> </w:t>
      </w:r>
      <w:r>
        <w:t xml:space="preserve">(Casey et al., 2021; Young et al., 2019)</w:t>
      </w:r>
      <w:r>
        <w:t xml:space="preserve">. As referências foram classificadas em categorias metodológicas previamente definidas, abrangendo áreas como técnicas de aprendizado de máquina e sistemas de indicações geográficas.</w:t>
      </w:r>
    </w:p>
    <w:p>
      <w:pPr>
        <w:pStyle w:val="Corpodetexto"/>
      </w:pPr>
      <w:r>
        <w:t xml:space="preserve">Para quantificação da cobertura bibliográfica e adequação dos estudos selecionados, foram aplicadas duas métricas complementares</w:t>
      </w:r>
      <w:r>
        <w:t xml:space="preserve"> </w:t>
      </w:r>
      <w:r>
        <w:t xml:space="preserve">(Tranfield et al., 2003; Webster &amp; Watson, 2002)</w:t>
      </w:r>
      <w:r>
        <w:t xml:space="preserve">. A primeira, de cobertura de citações, foi calculada pela Equação 2.</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2"/>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2"/>
        </w:numPr>
      </w:pPr>
      <m:oMath>
        <m:sSub>
          <m:e>
            <m:r>
              <m:t>C</m:t>
            </m:r>
          </m:e>
          <m:sub>
            <m:r>
              <m:t>t</m:t>
            </m:r>
            <m:r>
              <m:t>o</m:t>
            </m:r>
            <m:r>
              <m:t>t</m:t>
            </m:r>
            <m:r>
              <m:t>a</m:t>
            </m:r>
            <m:r>
              <m:t>i</m:t>
            </m:r>
            <m:r>
              <m:t>s</m:t>
            </m:r>
          </m:sub>
        </m:sSub>
      </m:oMath>
      <w:r>
        <w:t xml:space="preserve"> </w:t>
      </w:r>
      <w:r>
        <w:t xml:space="preserve">= número total de citações únicas no manuscrito</w:t>
      </w:r>
    </w:p>
    <w:p>
      <w:pPr>
        <w:pStyle w:val="FirstParagraph"/>
      </w:pPr>
      <w:r>
        <w:t xml:space="preserve">A segunda métrica, de taxa de uso do corpus bibliográfico, foi estruturada conforme a Equação 3.</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3"/>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3"/>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partir dessas métricas é possivel avaliar quantitativamente a utilização efetiva da base de referências e garantir que os estudos selecionados reflitam adequadamente o escopo temático da revisão.</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Na segunda fase, três revisores independentes avaliaram manualmente a qualidade metodológica dos estudos selecionados, assegurando análise multidisciplinar e reduzindo vieses interpretativos. Adaptamos a escala MMAT</w:t>
      </w:r>
      <w:r>
        <w:t xml:space="preserve"> </w:t>
      </w:r>
      <w:r>
        <w:t xml:space="preserve">(</w:t>
      </w:r>
      <w:r>
        <w:t xml:space="preserve">Hong et al.</w:t>
      </w:r>
      <w:r>
        <w:t xml:space="preserve">, 2018; Pluye et al., 2009)</w:t>
      </w:r>
      <w:r>
        <w:t xml:space="preserve"> </w:t>
      </w:r>
      <w:r>
        <w:t xml:space="preserve">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pPr>
        <w:pStyle w:val="Corpodetexto"/>
      </w:pPr>
      <w:r>
        <w:t xml:space="preserve">Cada indicador recebeu pontuação de 0 a 2, sendo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w:t>
      </w:r>
      <w:r>
        <w:t xml:space="preserve"> </w:t>
      </w:r>
      <w:r>
        <w:t xml:space="preserve">(Surname &amp; Surname, 2025)</w:t>
      </w:r>
      <w:r>
        <w:t xml:space="preserve">.</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pela Equação 4</w:t>
      </w:r>
      <w:r>
        <w:t xml:space="preserve"> </w:t>
      </w:r>
      <w:r>
        <w:t xml:space="preserve">(Shrout &amp; Fleiss, 1979)</w:t>
      </w:r>
      <w:r>
        <w:t xml:space="preserve">.</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4"/>
        </w:numPr>
      </w:pPr>
      <m:oMath>
        <m:r>
          <m:t>B</m:t>
        </m:r>
        <m:r>
          <m:t>M</m:t>
        </m:r>
        <m:r>
          <m:t>S</m:t>
        </m:r>
      </m:oMath>
      <w:r>
        <w:t xml:space="preserve"> </w:t>
      </w:r>
      <w:r>
        <w:t xml:space="preserve">= quadrado médio entre avaliadores</w:t>
      </w:r>
    </w:p>
    <w:p>
      <w:pPr>
        <w:pStyle w:val="Compact"/>
        <w:numPr>
          <w:ilvl w:val="0"/>
          <w:numId w:val="1004"/>
        </w:numPr>
      </w:pPr>
      <m:oMath>
        <m:r>
          <m:t>E</m:t>
        </m:r>
        <m:r>
          <m:t>M</m:t>
        </m:r>
        <m:r>
          <m:t>S</m:t>
        </m:r>
      </m:oMath>
      <w:r>
        <w:t xml:space="preserve"> </w:t>
      </w:r>
      <w:r>
        <w:t xml:space="preserve">= quadrado médio de erro</w:t>
      </w:r>
    </w:p>
    <w:p>
      <w:pPr>
        <w:pStyle w:val="Compact"/>
        <w:numPr>
          <w:ilvl w:val="0"/>
          <w:numId w:val="1004"/>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examinam a coerência na integração entre métodos quantitativos e qualitativos territoriais, a validação dos resultados em múltiplos contextos geográficos, o grau de transparência algorítmica (documentação de código, dados e procedimentos), a aderência a protocolos éticos específicos para comunidades produtivas e a aplicabilidade prática dos achados para certificação e valorização territorial em sistemas de Indicações Geográficas.</w:t>
      </w:r>
    </w:p>
    <w:p>
      <w:pPr>
        <w:pStyle w:val="Corpodetexto"/>
      </w:pPr>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Na terceira fase, foi analisada a produtividade científica através da Lei de Lotka</w:t>
      </w:r>
      <w:r>
        <w:t xml:space="preserve"> </w:t>
      </w:r>
      <w:r>
        <w:t xml:space="preserve">(Lotka, 1926)</w:t>
      </w:r>
      <w:r>
        <w:t xml:space="preserve">, que examina a distribuição de autores segundo o número de publicações. A Lei de Lotka descreve a distribuição não-linear de produtividade entre autores, identificando se a produção científica segue padrão concentrado ou disperso.</w:t>
      </w:r>
    </w:p>
    <w:p>
      <w:pPr>
        <w:pStyle w:val="Corpodetexto"/>
      </w:pPr>
      <w:r>
        <w:t xml:space="preserve">A Lei de Lotka foi aplicada conforme a Equação 5.</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5"/>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5"/>
        </w:numPr>
      </w:pPr>
      <m:oMath>
        <m:r>
          <m:t>K</m:t>
        </m:r>
      </m:oMath>
      <w:r>
        <w:t xml:space="preserve"> </w:t>
      </w:r>
      <w:r>
        <w:t xml:space="preserve">= constante de proporcionalidade</w:t>
      </w:r>
    </w:p>
    <w:p>
      <w:pPr>
        <w:pStyle w:val="Compact"/>
        <w:numPr>
          <w:ilvl w:val="0"/>
          <w:numId w:val="1005"/>
        </w:numPr>
      </w:pPr>
      <m:oMath>
        <m:r>
          <m:t>a</m:t>
        </m:r>
      </m:oMath>
      <w:r>
        <w:t xml:space="preserve"> </w:t>
      </w:r>
      <w:r>
        <w:t xml:space="preserve">= número de artigos publicados por um autor</w:t>
      </w:r>
    </w:p>
    <w:p>
      <w:pPr>
        <w:pStyle w:val="Compact"/>
        <w:numPr>
          <w:ilvl w:val="0"/>
          <w:numId w:val="1005"/>
        </w:numPr>
      </w:pPr>
      <m:oMath>
        <m:r>
          <m:t>n</m:t>
        </m:r>
      </m:oMath>
      <w:r>
        <w:t xml:space="preserve"> </w:t>
      </w:r>
      <w:r>
        <w:t xml:space="preserve">= expoente (tipicamente aproximado a 2 para ciências)</w:t>
      </w:r>
    </w:p>
    <w:p>
      <w:pPr>
        <w:pStyle w:val="FirstParagraph"/>
      </w:pPr>
      <w:r>
        <w:t xml:space="preserve">A análise de cocitação e acoplamento bibliográfico não foram realizadas devido à ausência de campos de referências citadas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Na quarta fase, foram integrados sistematicamente os achados das fases anteriores com análise documental de marcos regulatórios, fundamentando as recomendações metodológicas da revisão.</w:t>
      </w:r>
    </w:p>
    <w:p>
      <w:pPr>
        <w:pStyle w:val="Corpodetexto"/>
      </w:pPr>
      <w:r>
        <w:t xml:space="preserve">A síntese final combinou análise qualitativa temática com seleção baseada no princípio de Pareto (80/20), priorizando os 20% dos artigos com maior pontuação combinada (40% qualidade metodológica, 35% relevância temática, 25% impacto bibliométrico).</w:t>
      </w:r>
    </w:p>
    <w:p>
      <w:pPr>
        <w:pStyle w:val="Corpodetexto"/>
      </w:pPr>
      <w:r>
        <w:t xml:space="preserve">A pontuação combinada final foi calculada pela Equação 6.</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6"/>
        </w:numPr>
      </w:pPr>
      <m:oMath>
        <m:sSub>
          <m:e>
            <m:r>
              <m:t>P</m:t>
            </m:r>
          </m:e>
          <m:sub>
            <m:r>
              <m:t>f</m:t>
            </m:r>
            <m:r>
              <m:t>i</m:t>
            </m:r>
            <m:r>
              <m:t>n</m:t>
            </m:r>
            <m:r>
              <m:t>a</m:t>
            </m:r>
            <m:r>
              <m:t>l</m:t>
            </m:r>
          </m:sub>
        </m:sSub>
      </m:oMath>
      <w:r>
        <w:t xml:space="preserve"> </w:t>
      </w:r>
      <w:r>
        <w:t xml:space="preserve">= pontuação final de seleção</w:t>
      </w:r>
    </w:p>
    <w:p>
      <w:pPr>
        <w:pStyle w:val="Compact"/>
        <w:numPr>
          <w:ilvl w:val="0"/>
          <w:numId w:val="1006"/>
        </w:numPr>
      </w:pPr>
      <m:oMath>
        <m:sSub>
          <m:e>
            <m:r>
              <m:t>Q</m:t>
            </m:r>
          </m:e>
          <m:sub>
            <m:r>
              <m:t>m</m:t>
            </m:r>
            <m:r>
              <m:t>e</m:t>
            </m:r>
            <m:r>
              <m:t>t</m:t>
            </m:r>
          </m:sub>
        </m:sSub>
      </m:oMath>
      <w:r>
        <w:t xml:space="preserve"> </w:t>
      </w:r>
      <w:r>
        <w:t xml:space="preserve">= qualidade metodológica normalizada (0-1)</w:t>
      </w:r>
    </w:p>
    <w:p>
      <w:pPr>
        <w:pStyle w:val="Compact"/>
        <w:numPr>
          <w:ilvl w:val="0"/>
          <w:numId w:val="1006"/>
        </w:numPr>
      </w:pPr>
      <m:oMath>
        <m:sSub>
          <m:e>
            <m:r>
              <m:t>Q</m:t>
            </m:r>
          </m:e>
          <m:sub>
            <m:r>
              <m:t>t</m:t>
            </m:r>
            <m:r>
              <m:t>e</m:t>
            </m:r>
            <m:r>
              <m:t>m</m:t>
            </m:r>
          </m:sub>
        </m:sSub>
      </m:oMath>
      <w:r>
        <w:t xml:space="preserve"> </w:t>
      </w:r>
      <w:r>
        <w:t xml:space="preserve">= relevância temática normalizada (0-1)</w:t>
      </w:r>
    </w:p>
    <w:p>
      <w:pPr>
        <w:pStyle w:val="Compact"/>
        <w:numPr>
          <w:ilvl w:val="0"/>
          <w:numId w:val="1006"/>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Para caracterizar sistematicamente o corpus bibliográfico e identificar padrões emergentes, as análises estatísticas foram implementadas no ambiente R</w:t>
      </w:r>
      <w:r>
        <w:t xml:space="preserve"> </w:t>
      </w:r>
      <w:r>
        <w:t xml:space="preserve">(R. C. Team, 2024)</w:t>
      </w:r>
      <w:r>
        <w:t xml:space="preserve"> </w:t>
      </w:r>
      <w:r>
        <w:t xml:space="preserve">utilizando o RStudio</w:t>
      </w:r>
      <w:r>
        <w:t xml:space="preserve"> </w:t>
      </w:r>
      <w:r>
        <w:t xml:space="preserve">(Rs. Team, 2023)</w:t>
      </w:r>
      <w:r>
        <w:t xml:space="preserve"> </w:t>
      </w:r>
      <w:r>
        <w:t xml:space="preserve">e pacotes específicos.</w:t>
      </w:r>
    </w:p>
    <w:bookmarkStart w:id="36" w:name="análise-de-correspondência-múltipla-mca"/>
    <w:p>
      <w:pPr>
        <w:pStyle w:val="Ttulo3"/>
      </w:pPr>
      <w:r>
        <w:t xml:space="preserve">2.8.1 Análise de Correspondência Múltipla (MCA)</w:t>
      </w:r>
    </w:p>
    <w:p>
      <w:pPr>
        <w:pStyle w:val="FirstParagraph"/>
      </w:pPr>
      <w:r>
        <w:t xml:space="preserve">A Análise de Correspondência Múltipla (MCA) foi adotada para investigar associações entre as variáveis categóricas (algoritmos, produtos, regiões, etc.), conforme metodologia consolidada por</w:t>
      </w:r>
      <w:r>
        <w:t xml:space="preserve"> </w:t>
      </w:r>
      <w:r>
        <w:t xml:space="preserve">Lê et al. (2008)</w:t>
      </w:r>
      <w:r>
        <w:t xml:space="preserve"> </w:t>
      </w:r>
      <w:r>
        <w:t xml:space="preserve">e</w:t>
      </w:r>
      <w:r>
        <w:t xml:space="preserve"> </w:t>
      </w:r>
      <w:r>
        <w:t xml:space="preserve">Greenacre (2017)</w:t>
      </w:r>
      <w:r>
        <w:t xml:space="preserve">. A análise, conduzida com o pacote</w:t>
      </w:r>
      <w:r>
        <w:t xml:space="preserve"> </w:t>
      </w:r>
      <w:r>
        <w:rPr>
          <w:rStyle w:val="VerbatimChar"/>
        </w:rPr>
        <w:t xml:space="preserve">FactoMineR</w:t>
      </w:r>
      <w:r>
        <w:t xml:space="preserve"> </w:t>
      </w:r>
      <w:r>
        <w:t xml:space="preserve">para a interpretação das relações conceituais da área.</w:t>
      </w:r>
    </w:p>
    <w:bookmarkEnd w:id="36"/>
    <w:bookmarkStart w:id="37" w:name="análise-de-redes-network-analysis"/>
    <w:p>
      <w:pPr>
        <w:pStyle w:val="Ttulo3"/>
      </w:pPr>
      <w:r>
        <w:t xml:space="preserve">2.8.2 Análise de Redes (Network Analysis)</w:t>
      </w:r>
    </w:p>
    <w:p>
      <w:pPr>
        <w:pStyle w:val="FirstParagraph"/>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um grafo não-direcionado, e a detecção de comunidades foi realizada com o algoritmo de Louvain</w:t>
      </w:r>
      <w:r>
        <w:t xml:space="preserve"> </w:t>
      </w:r>
      <w:r>
        <w:t xml:space="preserve">(Blondel et al., 2008)</w:t>
      </w:r>
      <w:r>
        <w:t xml:space="preserve"> </w:t>
      </w:r>
      <w:r>
        <w:t xml:space="preserve">para identificar módulos temáticos.</w:t>
      </w:r>
    </w:p>
    <w:bookmarkEnd w:id="37"/>
    <w:bookmarkStart w:id="38" w:name="análise-temporal"/>
    <w:p>
      <w:pPr>
        <w:pStyle w:val="Ttulo3"/>
      </w:pPr>
      <w:r>
        <w:t xml:space="preserve">2.8.3 Análise Temporal</w:t>
      </w:r>
    </w:p>
    <w:p>
      <w:pPr>
        <w:pStyle w:val="FirstParagraph"/>
      </w:pPr>
      <w:r>
        <w:t xml:space="preserve">A evolução temporal das publicações (2010–2025) foi analisada por meio de séries temporais, empregando o teste de correlação de Spearman</w:t>
      </w:r>
      <w:r>
        <w:t xml:space="preserve"> </w:t>
      </w:r>
      <w:r>
        <w:t xml:space="preserve">(Spearman, 1904)</w:t>
      </w:r>
      <w:r>
        <w:t xml:space="preserve"> </w:t>
      </w:r>
      <w:r>
        <w:t xml:space="preserve">para detectar tendências significativas.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adoção de diferentes tecnologias.</w:t>
      </w:r>
    </w:p>
    <w:bookmarkEnd w:id="38"/>
    <w:bookmarkEnd w:id="39"/>
    <w:bookmarkEnd w:id="40"/>
    <w:bookmarkStart w:id="258" w:name="resultados-e-discussão"/>
    <w:p>
      <w:pPr>
        <w:pStyle w:val="Ttulo1"/>
      </w:pPr>
      <w:r>
        <w:t xml:space="preserve">3. Resultados e Discussão</w:t>
      </w:r>
    </w:p>
    <w:bookmarkStart w:id="45" w:name="síntese-executiva-da-revisão-de-escopo"/>
    <w:p>
      <w:pPr>
        <w:pStyle w:val="Ttulo2"/>
      </w:pPr>
      <w:r>
        <w:t xml:space="preserve">3.1 Síntese Executiva da Revisão de Escopo</w:t>
      </w:r>
    </w:p>
    <w:p>
      <w:pPr>
        <w:pStyle w:val="FirstParagraph"/>
      </w:pPr>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w:t>
      </w:r>
      <w:r>
        <w:t xml:space="preserve"> </w:t>
      </w:r>
      <w:r>
        <w:t xml:space="preserve">(Hu et al., 2024)</w:t>
      </w:r>
      <w:r>
        <w:t xml:space="preserve">.</w:t>
      </w:r>
    </w:p>
    <w:bookmarkStart w:id="44" w:name="fig:prisma2020"/>
    <w:p>
      <w:pPr>
        <w:pStyle w:val="CaptionedFigure"/>
      </w:pPr>
      <w:r>
        <w:drawing>
          <wp:inline>
            <wp:extent cx="4480560" cy="2541782"/>
            <wp:effectExtent b="0" l="0" r="0" t="0"/>
            <wp:docPr descr="Fluxograma da revisão de Escopo sobre Aplicações de Machine Learning em Indicações Geográficas." title="" id="42" name="Picture"/>
            <a:graphic>
              <a:graphicData uri="http://schemas.openxmlformats.org/drawingml/2006/picture">
                <pic:pic>
                  <pic:nvPicPr>
                    <pic:cNvPr descr="2-FIGURAS/prisma_flowdiagram.png" id="43" name="Picture"/>
                    <pic:cNvPicPr>
                      <a:picLocks noChangeArrowheads="1" noChangeAspect="1"/>
                    </pic:cNvPicPr>
                  </pic:nvPicPr>
                  <pic:blipFill>
                    <a:blip r:embed="rId41"/>
                    <a:stretch>
                      <a:fillRect/>
                    </a:stretch>
                  </pic:blipFill>
                  <pic:spPr bwMode="auto">
                    <a:xfrm>
                      <a:off x="0" y="0"/>
                      <a:ext cx="4480560" cy="2541782"/>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4"/>
    <w:p>
      <w:pPr>
        <w:pStyle w:val="Corpodetexto"/>
      </w:pPr>
      <w:r>
        <w:t xml:space="preserve">A filtragem automatizada por análise semântica e pontuação, tal como definida pela Equação 1, alcançou precisão temática de 94,2%, superando o limiar de 85% estabelecido. A abordagem de triagem computacional mostrou-se adequada para revisões com grandes volumes bibliográficos, indicando que sistemas automatizados calibrados contribuem para reduzir vieses de seleção e aumentar a reprodutibilidade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avaliação manual de qualidade metodológica alcançou coeficiente de correlação intraclasse (ICC), calculado conforme a Equação 4, de 0,87 (intervalo de confiança de 95%: 0,84–0,91), confirmando boa concordância entre avaliadores e legitimando os critérios de inclusão utilizados</w:t>
      </w:r>
      <w:r>
        <w:t xml:space="preserve"> </w:t>
      </w:r>
      <w:r>
        <w:t xml:space="preserve">(Streiner &amp; Norman, 2008)</w:t>
      </w:r>
      <w:r>
        <w:t xml:space="preserve">. Esta validação assegura que os estudos selecionados para análise sintética atendem a requisitos adequados de rigor metodológico.</w:t>
      </w:r>
    </w:p>
    <w:bookmarkEnd w:id="45"/>
    <w:bookmarkStart w:id="64" w:name="X436b3ae93799519be02fd9051a8c628a7b063c7"/>
    <w:p>
      <w:pPr>
        <w:pStyle w:val="Ttulo2"/>
      </w:pPr>
      <w:r>
        <w:t xml:space="preserve">3.2 Análise Estrutural e Temporal do Corpus Científico</w:t>
      </w:r>
    </w:p>
    <w:p>
      <w:pPr>
        <w:pStyle w:val="FirstParagraph"/>
      </w:pPr>
      <w:r>
        <w:t xml:space="preserve">A Análise de Correspondência Múltipla (MCA) foi aplicada para mapear a evolução temporal das aplicações de Machine Learning em Indicações Geográficas, focando na relação entre abordagens metodológicas (algoritmos, instrumentos e aplicações), produtos investigados e períodos de publicação. As duas primeiras dimensões da MCA explicaram 9.59% da inércia total (Dim1: 4.82%, Dim2: 4.77%), valor coerente com a alta dimensionalidade do corpus analisado (148 estudos, 33 variáveis categóricas binárias), indicando uma estrutura conceitual diversificada no campo (Figura 3).</w:t>
      </w:r>
    </w:p>
    <w:bookmarkStart w:id="49" w:name="fig:mca_temporal"/>
    <w:p>
      <w:pPr>
        <w:pStyle w:val="CaptionedFigure"/>
      </w:pPr>
      <w:r>
        <w:drawing>
          <wp:inline>
            <wp:extent cx="4480560" cy="3200206"/>
            <wp:effectExtent b="0" l="0" r="0" t="0"/>
            <wp:docPr descr="Biplot de Análise de Correspondência Múltipla (ACM) mostrando a evolução temporal das aplicações de aprendizado de máquina para autenticação de indicações geográficas (2010-2025)." title="" id="47" name="Picture"/>
            <a:graphic>
              <a:graphicData uri="http://schemas.openxmlformats.org/drawingml/2006/picture">
                <pic:pic>
                  <pic:nvPicPr>
                    <pic:cNvPr descr="2-FIGURAS/mca_biplot.png" id="48" name="Picture"/>
                    <pic:cNvPicPr>
                      <a:picLocks noChangeArrowheads="1" noChangeAspect="1"/>
                    </pic:cNvPicPr>
                  </pic:nvPicPr>
                  <pic:blipFill>
                    <a:blip r:embed="rId46"/>
                    <a:stretch>
                      <a:fillRect/>
                    </a:stretch>
                  </pic:blipFill>
                  <pic:spPr bwMode="auto">
                    <a:xfrm>
                      <a:off x="0" y="0"/>
                      <a:ext cx="4480560" cy="3200206"/>
                    </a:xfrm>
                    <a:prstGeom prst="rect">
                      <a:avLst/>
                    </a:prstGeom>
                    <a:noFill/>
                    <a:ln w="9525">
                      <a:noFill/>
                      <a:headEnd/>
                      <a:tailEnd/>
                    </a:ln>
                  </pic:spPr>
                </pic:pic>
              </a:graphicData>
            </a:graphic>
          </wp:inline>
        </w:drawing>
      </w:r>
    </w:p>
    <w:p>
      <w:pPr>
        <w:pStyle w:val="ImageCaption"/>
      </w:pPr>
      <w:r>
        <w:t xml:space="preserve">Biplot de Análise de Correspondência Múltipla (ACM) mostrando a evolução temporal das aplicações de aprendizado de máquina para autenticação de indicações geográficas (2010-2025).</w:t>
      </w:r>
    </w:p>
    <w:bookmarkEnd w:id="49"/>
    <w:p>
      <w:pPr>
        <w:pStyle w:val="Corpodetexto"/>
      </w:pPr>
      <w:r>
        <w:rPr>
          <w:i/>
          <w:iCs/>
        </w:rPr>
        <w:t xml:space="preserve">Nota: As elipses coloridas (intervalos de confiança de 95%) representam três períodos temporais: 2010-2018 (verde, n=26), 2019-2021 (laranja, n=27) e 2022-2025 (roxo, n=95). Cada ponto representa um estudo individual, com formas indicando a abordagem metodológica principal: círculos representam estudos focados em algoritmos, quadrados representam estudos focados em instrumentos/técnicas analíticas, e triângulos representam estudos focados em aplicações. Rótulos de produtos (Wine, Honey, Olive, Coffee) são exibidos sobre os pontos correspondentes. As dimensões 1 e 2 explicam 4,82% e 4,77% da variância total, respectivamente.</w:t>
      </w:r>
    </w:p>
    <w:p>
      <w:pPr>
        <w:pStyle w:val="Corpodetexto"/>
      </w:pPr>
      <w:r>
        <w:t xml:space="preserve">O padrão temporal revela três fases. Entre 2010 e 2018, predomina uma fase de consolidação metodológica, concentrada em produtos tradicionais europeus (especialmente vinhos) e em técnicas espectroscópicas consolidadas (NIR, FTIR) combinadas a algoritmos clássicos como PLS-DA e SVM, com relativa homogeneidade de abordagens</w:t>
      </w:r>
      <w:r>
        <w:t xml:space="preserve"> </w:t>
      </w:r>
      <w:r>
        <w:t xml:space="preserve">(Mohammadi et al., 2024; Rebiai et al., 2022)</w:t>
      </w:r>
      <w:r>
        <w:t xml:space="preserve">. O período intermediário (2019–2021) marca uma transição, na qual a democratização de ferramentas de ML e o acesso ampliado a técnicas analíticas avançadas favorecem a diversificação de produtos (incluindo chás e plantas medicinais asiáticos) e a adoção gradual de algoritmos como Random Forest e redes neurais</w:t>
      </w:r>
      <w:r>
        <w:t xml:space="preserve"> </w:t>
      </w:r>
      <w:r>
        <w:t xml:space="preserve">(Liakos et al., 2018)</w:t>
      </w:r>
      <w:r>
        <w:t xml:space="preserve">. A fase recente (2022–2025), que concentra 64% do corpus, corresponde a uma expansão rápida e heterogênea, com crescimento das aplicações de Deep Learning, metabolômica</w:t>
      </w:r>
      <w:r>
        <w:t xml:space="preserve"> </w:t>
      </w:r>
      <w:r>
        <w:rPr>
          <w:i/>
          <w:iCs/>
        </w:rPr>
        <w:t xml:space="preserve">untargeted</w:t>
      </w:r>
      <w:r>
        <w:t xml:space="preserve">, abordagens multimodais e estratégias de transfer learning</w:t>
      </w:r>
      <w:r>
        <w:t xml:space="preserve"> </w:t>
      </w:r>
      <w:r>
        <w:t xml:space="preserve">(</w:t>
      </w:r>
      <w:r>
        <w:t xml:space="preserve">Feng et al.</w:t>
      </w:r>
      <w:r>
        <w:t xml:space="preserve">, 2025; He et al., 2024; Liu et al., 2025; Peng et al., 2025; Wang et al., 2021)</w:t>
      </w:r>
      <w:r>
        <w:t xml:space="preserve">.</w:t>
      </w:r>
    </w:p>
    <w:p>
      <w:pPr>
        <w:pStyle w:val="Corpodetexto"/>
      </w:pPr>
      <w:r>
        <w:t xml:space="preserve">A distribuição por produto demonstra que vinhos servem como referência metodológica ao longo de todo o período. Mel e azeites concentram-se no intervalo intermediário, devido à maturidade de técnicas espectrais aplicadas a essas matrizes. Café evidencia crescimento recente, associado à adoção de técnicas de alta resolução e modelagem profunda. A categoria</w:t>
      </w:r>
      <w:r>
        <w:t xml:space="preserve"> </w:t>
      </w:r>
      <w:r>
        <w:t xml:space="preserve">“Other”</w:t>
      </w:r>
      <w:r>
        <w:t xml:space="preserve"> </w:t>
      </w:r>
      <w:r>
        <w:t xml:space="preserve">agrupa matrizes diversas (carnes, chás, frutas, plantas medicinais), indicando ampliação do escopo de ML em Indicações Geográficas e fragmentação amostral.</w:t>
      </w:r>
    </w:p>
    <w:bookmarkStart w:id="54" w:name="análise-de-redes"/>
    <w:p>
      <w:pPr>
        <w:pStyle w:val="Ttulo3"/>
      </w:pPr>
      <w:r>
        <w:t xml:space="preserve">Análise de Redes</w:t>
      </w:r>
    </w:p>
    <w:p>
      <w:pPr>
        <w:pStyle w:val="FirstParagraph"/>
      </w:pPr>
      <w:r>
        <w:t xml:space="preserve">A análise de redes de co-ocorrência foi implementada para mapear a estrutura conceitual do campo, revelando as conexões entre algoritmos, produtos e técnicas analíticas (Figura 4). A rede completa, composta por 87 nós e 215 arestas, demonstra uma organização modular clara, onde a aplicação do algoritmo de Louvain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pPr>
        <w:pStyle w:val="Corpodetexto"/>
      </w:pPr>
      <w:bookmarkStart w:id="53" w:name="fig:network_analysiss"/>
      <w:r>
        <w:drawing>
          <wp:inline>
            <wp:extent cx="5600700" cy="2115405"/>
            <wp:effectExtent b="0" l="0" r="0" t="0"/>
            <wp:docPr descr="Análise de Redes de Co-ocorrência. (a) Rede completa mostrando as comunidades temáticas entre algoritmos, produtos e técnicas. (b) Rede focada na co-ocorrência entre algoritmos de ML e produtos." title="" id="51" name="Picture"/>
            <a:graphic>
              <a:graphicData uri="http://schemas.openxmlformats.org/drawingml/2006/picture">
                <pic:pic>
                  <pic:nvPicPr>
                    <pic:cNvPr descr="2-FIGURAS/network_ab.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r>
        <w:t xml:space="preserve"> </w:t>
      </w:r>
      <w:r>
        <w:t xml:space="preserve">{#fig:network_analysis_B}</w:t>
      </w:r>
    </w:p>
    <w:p>
      <w:pPr>
        <w:pStyle w:val="Corpodetexto"/>
      </w:pPr>
      <w:r>
        <w:t xml:space="preserve">O primeiro módulo representa o paradigma mais consolidado na literatura, enquanto um segundo módulo, situado na fronteira da pesquisa, agrupa Chás e Plantas Medicinais com algoritmos de Deep Learning (CNNs) e técnicas de Metabolômica (LC-MS), focando na caracterização de produtos asiáticos emergentes. Dois módulos menores, porém distintos, destacam nichos de pesquisa focados em Carnes associadas à Análise Elementar (ICP-MS) e em Azeites combinados com Random Forest. A alta centralidade de</w:t>
      </w:r>
      <w:r>
        <w:t xml:space="preserve"> </w:t>
      </w:r>
      <w:r>
        <w:t xml:space="preserve">“Vinhos”</w:t>
      </w:r>
      <w:r>
        <w:t xml:space="preserve"> </w:t>
      </w:r>
      <w:r>
        <w:t xml:space="preserve">e</w:t>
      </w:r>
      <w:r>
        <w:t xml:space="preserve"> </w:t>
      </w:r>
      <w:r>
        <w:t xml:space="preserve">“Espectroscopia”</w:t>
      </w:r>
      <w:r>
        <w:t xml:space="preserve"> </w:t>
      </w:r>
      <w:r>
        <w:t xml:space="preserve">os posiciona como pontes conceituais, enquanto a visualização focada na co-ocorrência entre algoritmos e produtos (Figura 4b) esclarece as duplas de produto-algoritmo que definem as principais linhas de investigação atuais.</w:t>
      </w:r>
    </w:p>
    <w:bookmarkEnd w:id="54"/>
    <w:bookmarkStart w:id="63" w:name="X8475e794fd14284359f037eb4f0ee0a72f177fe"/>
    <w:p>
      <w:pPr>
        <w:pStyle w:val="Ttulo3"/>
      </w:pPr>
      <w:r>
        <w:t xml:space="preserve">Evolução da Produção Científica (Análise Temporal)</w:t>
      </w:r>
    </w:p>
    <w:p>
      <w:pPr>
        <w:pStyle w:val="FirstParagraph"/>
      </w:pPr>
      <w:r>
        <w:t xml:space="preserve">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catalisaram a transição de métodos puramente laboratoriais para abordagens computacionais integradas na autenticação de produtos</w:t>
      </w:r>
      <w:r>
        <w:t xml:space="preserve"> </w:t>
      </w:r>
      <w:r>
        <w:t xml:space="preserve">(Liakos et al., 2018)</w:t>
      </w:r>
      <w:r>
        <w:t xml:space="preserve">.</w:t>
      </w:r>
    </w:p>
    <w:bookmarkStart w:id="58" w:name="fig:temporal_publicacoes"/>
    <w:p>
      <w:pPr>
        <w:pStyle w:val="CaptionedFigure"/>
      </w:pPr>
      <w:r>
        <w:drawing>
          <wp:inline>
            <wp:extent cx="4480560" cy="2613660"/>
            <wp:effectExtent b="0" l="0" r="0" t="0"/>
            <wp:docPr descr="Evolução temporal do número de publicações sobre ML em IGs (2010-2025) e a adoção relativa dos principais algoritmos." title="" id="56" name="Picture"/>
            <a:graphic>
              <a:graphicData uri="http://schemas.openxmlformats.org/drawingml/2006/picture">
                <pic:pic>
                  <pic:nvPicPr>
                    <pic:cNvPr descr="2-FIGURAS/temporal_publicacoes.png" id="57" name="Picture"/>
                    <pic:cNvPicPr>
                      <a:picLocks noChangeArrowheads="1" noChangeAspect="1"/>
                    </pic:cNvPicPr>
                  </pic:nvPicPr>
                  <pic:blipFill>
                    <a:blip r:embed="rId55"/>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Evolução temporal do número de publicações sobre ML em IGs (2010-2025) e a adoção relativa dos principais algoritmos.</w:t>
      </w:r>
    </w:p>
    <w:bookmarkEnd w:id="58"/>
    <w:p>
      <w:pPr>
        <w:pStyle w:val="Corpodetexto"/>
      </w:pPr>
      <w:r>
        <w:t xml:space="preserve">Essa evolução quantitativa é acompanhada por uma clara transição qualitativa nos paradigmas algorítmicos empregados (Figura 6). Até aproximadamente 2018, o campo era dominado por métodos quimiométricos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metabolômicos</w:t>
      </w:r>
      <w:r>
        <w:t xml:space="preserve"> </w:t>
      </w:r>
      <w:r>
        <w:t xml:space="preserve">(Lavine &amp; Workman, 2005; Shah et al., 2019)</w:t>
      </w:r>
      <w:r>
        <w:t xml:space="preserve">.</w:t>
      </w:r>
    </w:p>
    <w:bookmarkStart w:id="62" w:name="fig:temporal_algoritmos"/>
    <w:p>
      <w:pPr>
        <w:pStyle w:val="CaptionedFigure"/>
      </w:pPr>
      <w:r>
        <w:drawing>
          <wp:inline>
            <wp:extent cx="4480560" cy="2560320"/>
            <wp:effectExtent b="0" l="0" r="0" t="0"/>
            <wp:docPr descr="Evolução temporal da adoção dos principais algoritmos de Machine Learning em estudos de IGs." title="" id="60" name="Picture"/>
            <a:graphic>
              <a:graphicData uri="http://schemas.openxmlformats.org/drawingml/2006/picture">
                <pic:pic>
                  <pic:nvPicPr>
                    <pic:cNvPr descr="2-FIGURAS/temporal_algoritmos.png" id="61" name="Picture"/>
                    <pic:cNvPicPr>
                      <a:picLocks noChangeArrowheads="1" noChangeAspect="1"/>
                    </pic:cNvPicPr>
                  </pic:nvPicPr>
                  <pic:blipFill>
                    <a:blip r:embed="rId59"/>
                    <a:stretch>
                      <a:fillRect/>
                    </a:stretch>
                  </pic:blipFill>
                  <pic:spPr bwMode="auto">
                    <a:xfrm>
                      <a:off x="0" y="0"/>
                      <a:ext cx="4480560" cy="2560320"/>
                    </a:xfrm>
                    <a:prstGeom prst="rect">
                      <a:avLst/>
                    </a:prstGeom>
                    <a:noFill/>
                    <a:ln w="9525">
                      <a:noFill/>
                      <a:headEnd/>
                      <a:tailEnd/>
                    </a:ln>
                  </pic:spPr>
                </pic:pic>
              </a:graphicData>
            </a:graphic>
          </wp:inline>
        </w:drawing>
      </w:r>
    </w:p>
    <w:p>
      <w:pPr>
        <w:pStyle w:val="ImageCaption"/>
      </w:pPr>
      <w:r>
        <w:t xml:space="preserve">Evolução temporal da adoção dos principais algoritmos de Machine Learning em estudos de IGs.</w:t>
      </w:r>
    </w:p>
    <w:bookmarkEnd w:id="62"/>
    <w:p>
      <w:pPr>
        <w:pStyle w:val="Corpodetexto"/>
      </w:pPr>
      <w:r>
        <w:t xml:space="preserve">Mais recentemente, o crescimento exponencial na adoção de Redes Neurais e Deep Learning a partir de 2022 sinaliza a emergência de uma nova fronteira tecnológica, focada em extrair padrões de dados não estruturados ou de complexidade superior, como imagens hiperespectrais. A coexistência dessas abordagens, com o uso esporádico de algoritmos como KNN e Decision Tree para nichos específicos, ilustra um ecossistema computacional em maturação, onde a seleção do algoritmo é cada vez mais orientada pela natureza do problema e pela estrutura dos dados.</w:t>
      </w:r>
    </w:p>
    <w:bookmarkEnd w:id="63"/>
    <w:bookmarkEnd w:id="64"/>
    <w:bookmarkStart w:id="66" w:name="X5c2d1980a76d19469d70002b9df752d0e93c628"/>
    <w:p>
      <w:pPr>
        <w:pStyle w:val="Ttulo2"/>
      </w:pPr>
      <w:r>
        <w:t xml:space="preserve">3.3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com ênfase em bebidas alcoólicas, carnes processadas e produtos agrícolas especializados (Tabela 3). Essa distribuição reflete a convergência entre mercados de elevada remuneração, incidência significativa de fraude e adulteração e ampla disponibilidade de métodos analíticos capazes de gerar grandes volumes de dados multivariados adequados ao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(N=148).</w:t>
      </w:r>
    </w:p>
    <w:p>
      <w:pPr>
        <w:pStyle w:val="Corpodetexto"/>
      </w:pPr>
      <w:r>
        <w:t xml:space="preserve">Vinhos de origem protegida, como os das denominações Douro, Rioja e Bordeaux, e chás com indicação geográfica, como o Wuyi Rock Tea, constituem a principal frente de aplicação. Nesses estudos, a discriminação de origem é construída a partir de</w:t>
      </w:r>
      <w:r>
        <w:t xml:space="preserve"> </w:t>
      </w:r>
      <w:r>
        <w:rPr>
          <w:i/>
          <w:iCs/>
        </w:rPr>
        <w:t xml:space="preserve">fingerprinting</w:t>
      </w:r>
      <w:r>
        <w:t xml:space="preserve"> </w:t>
      </w:r>
      <w:r>
        <w:t xml:space="preserve">metabolômico e análise de traços elementares, demonstrando que o perfil químico dessas bebidas está intimamente associado às condições geográficas de produção e a fatores ambientais do terroir</w:t>
      </w:r>
      <w:r>
        <w:t xml:space="preserve"> </w:t>
      </w:r>
      <w:r>
        <w:t xml:space="preserve">(Ramos et al., 2025; Xu et al., 2021)</w:t>
      </w:r>
      <w:r>
        <w:t xml:space="preserve">. Carnes e produtos cárneos (por exemplo, cordeiro de regiões específicas e presunto de Jinhua) configuram um segundo bloco relevante, no qual a discriminação de origem se baseia sobretudo em assinaturas elementares e isotópicas processadas por algoritmos como Random Forest e SVM</w:t>
      </w:r>
      <w:r>
        <w:t xml:space="preserve"> </w:t>
      </w:r>
      <w:r>
        <w:t xml:space="preserve">(R. C. Chen et al., 2020)</w:t>
      </w:r>
      <w:r>
        <w:t xml:space="preserve">.</w:t>
      </w:r>
    </w:p>
    <w:p>
      <w:pPr>
        <w:pStyle w:val="Corpodetexto"/>
      </w:pPr>
      <w:r>
        <w:t xml:space="preserve">Segmentos como frutas, hortaliças e plantas medicinais expandem esse quadro para uma diversidade maior de matrizes. Em frutas e hortaliças, o ML é empregado para rastrear origem a partir de</w:t>
      </w:r>
      <w:r>
        <w:t xml:space="preserve"> </w:t>
      </w:r>
      <w:r>
        <w:rPr>
          <w:i/>
          <w:iCs/>
        </w:rPr>
        <w:t xml:space="preserve">fingerprints</w:t>
      </w:r>
      <w:r>
        <w:t xml:space="preserve"> </w:t>
      </w:r>
      <w:r>
        <w:t xml:space="preserve">metabólicos e perfis nutricionais, explorando a hipótese de que a assinatura bioquímica dos produtos reflete condições edafoclimáticas específicas</w:t>
      </w:r>
      <w:r>
        <w:t xml:space="preserve"> </w:t>
      </w:r>
      <w:r>
        <w:t xml:space="preserve">(Luan et al., 2020; Peng et al., 2025)</w:t>
      </w:r>
      <w:r>
        <w:t xml:space="preserve">. No caso de plantas medicinais como o</w:t>
      </w:r>
      <w:r>
        <w:t xml:space="preserve"> </w:t>
      </w:r>
      <w:r>
        <w:rPr>
          <w:i/>
          <w:iCs/>
        </w:rPr>
        <w:t xml:space="preserve">Panax notoginseng</w:t>
      </w:r>
      <w:r>
        <w:t xml:space="preserve">, a certificação de origem relaciona-se também à potência farmacológica, reforçando o vínculo entre localização geográfica, composição bioativa e valor agregado</w:t>
      </w:r>
      <w:r>
        <w:t xml:space="preserve"> </w:t>
      </w:r>
      <w:r>
        <w:t xml:space="preserve">(</w:t>
      </w:r>
      <w:r>
        <w:t xml:space="preserve">Feng et al.</w:t>
      </w:r>
      <w:r>
        <w:t xml:space="preserve">, 2025)</w:t>
      </w:r>
      <w:r>
        <w:t xml:space="preserve">.</w:t>
      </w:r>
    </w:p>
    <w:p>
      <w:pPr>
        <w:pStyle w:val="Corpodetexto"/>
      </w:pPr>
      <w:r>
        <w:t xml:space="preserve">Do ponto de vista geográfico, observa-se predominância de estudos conduzidos em instituições da Ásia, particularmente na China, seguida pela Europa. Brasil e outras economias emergentes aparecem em proporção menor, o que reflete, por um lado, os investimentos recentes chineses em tecnologias de rastreabilidade</w:t>
      </w:r>
      <w:r>
        <w:t xml:space="preserve"> </w:t>
      </w:r>
      <w:r>
        <w:t xml:space="preserve">(Wang et al., 2025)</w:t>
      </w:r>
      <w:r>
        <w:t xml:space="preserve"> </w:t>
      </w:r>
      <w:r>
        <w:t xml:space="preserve">e, por outro, a consolidação de infraestrutura analítica em contextos europeus. Para o Brasil, essa assimetria evidencia uma lacuna e, simultaneamente, uma oportunidade estratégica para desenvolver aplicações de ML voltadas à proteção e valorização de IGs nacionais.</w:t>
      </w:r>
    </w:p>
    <w:bookmarkStart w:id="65" w:name="análise-bibliométrica"/>
    <w:p>
      <w:pPr>
        <w:pStyle w:val="Ttulo3"/>
      </w:pPr>
      <w:r>
        <w:t xml:space="preserve">3.3.1 Análise Bibliométrica</w:t>
      </w:r>
    </w:p>
    <w:p>
      <w:pPr>
        <w:pStyle w:val="FirstParagraph"/>
      </w:pPr>
      <w:r>
        <w:t xml:space="preserve">A Lei de Lotka, modelada conforme a Equação 5, foi aplicada ao corpus de 148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pPr>
        <w:pStyle w:val="Corpodetexto"/>
      </w:pPr>
      <w:r>
        <w:t xml:space="preserve">A aplicação do princípio de Pareto (80/20) resultou na seleção dos 20% dos artigos com maior pontuação combinada, calculada pela Equação 6 (40% qualidade metodológica, 35% relevância temática, 25% impacto bibliométrico). A Tabela 4 apresenta os 10 artigos selecionados com maior pontuação.</w:t>
      </w:r>
    </w:p>
    <w:tbl>
      <w:tblPr>
        <w:tblStyle w:val="Table"/>
        <w:tblW w:type="pct" w:w="5000"/>
        <w:tblLayout w:type="fixed"/>
        <w:tblLook w:firstRow="1" w:lastRow="0" w:firstColumn="0" w:lastColumn="0" w:noHBand="0" w:noVBand="0" w:val="0020"/>
      </w:tblPr>
      <w:tblGrid>
        <w:gridCol w:w="1213"/>
        <w:gridCol w:w="1469"/>
        <w:gridCol w:w="1980"/>
        <w:gridCol w:w="3257"/>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chás chineses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Tabela 4: 10 artigos selecionados pelo princípio de Pareto (80/20) no corpus de 148 estudos.</w:t>
      </w:r>
    </w:p>
    <w:bookmarkEnd w:id="65"/>
    <w:bookmarkEnd w:id="66"/>
    <w:bookmarkStart w:id="67" w:name="técnicas-de-machine-learning-empregadas"/>
    <w:p>
      <w:pPr>
        <w:pStyle w:val="Ttulo2"/>
      </w:pPr>
      <w:r>
        <w:t xml:space="preserve">3.4 Técnicas de Machine Learning Empregadas</w:t>
      </w:r>
    </w:p>
    <w:bookmarkEnd w:id="67"/>
    <w:bookmarkStart w:id="68" w:name="X4964c4b002a6bcd9bc0fc69dad95c4397d6031b"/>
    <w:p>
      <w:pPr>
        <w:pStyle w:val="Ttulo2"/>
      </w:pPr>
      <w:r>
        <w:t xml:space="preserve">3.5 O Ecossistema Algorítmico na Autenticação de IGs</w:t>
      </w:r>
    </w:p>
    <w:p>
      <w:pPr>
        <w:pStyle w:val="FirstParagraph"/>
      </w:pPr>
      <w:r>
        <w:t xml:space="preserve">A análise do corpus bibliográfico revela um ecossistema algorítmico diversificado, mas estruturado em torno de poucos núcleos tecnológicos. Longe de indicar fragmentação, essa variedade reflete que diferentes matrizes, tamanhos amostrais e contextos regulatórios exigem soluções computacionais ajustadas. Predominam algoritmos de classificação supervisionada, com Random Forest e Support Vector Machines (SVM) respondendo, em conjunto, por cerca de dois terços das aplicações.</w:t>
      </w:r>
      <w:r>
        <w:t xml:space="preserve"> </w:t>
      </w:r>
      <w:r>
        <w:t xml:space="preserve">Xu et al. (2021)</w:t>
      </w:r>
      <w:r>
        <w:t xml:space="preserve"> </w:t>
      </w:r>
      <w:r>
        <w:t xml:space="preserve">empregaram Random Forest para discriminar a origem de vinhos a partir de perfis elementares, alcançando acurácia superior a 95%, enquanto</w:t>
      </w:r>
      <w:r>
        <w:t xml:space="preserve"> </w:t>
      </w:r>
      <w:r>
        <w:t xml:space="preserve">Mohammadi et al. (2024)</w:t>
      </w:r>
      <w:r>
        <w:t xml:space="preserve"> </w:t>
      </w:r>
      <w:r>
        <w:t xml:space="preserve">integraram SVM com kernel RBF para autenticar azeites a partir de espectroscopia NIR em um cenário de alta dimensionalidade.</w:t>
      </w:r>
    </w:p>
    <w:p>
      <w:pPr>
        <w:pStyle w:val="Corpodetexto"/>
      </w:pPr>
      <w:r>
        <w:t xml:space="preserve">Do ponto de vista funcional, esses modelos podem ser entendidos como dispositivos que transformam vetores de características</w:t>
      </w:r>
      <w:r>
        <w:t xml:space="preserve"> </w:t>
      </w:r>
      <m:oMath>
        <m:r>
          <m:t>x</m:t>
        </m:r>
      </m:oMath>
      <w:r>
        <w:t xml:space="preserve">, compostos por intensidades espectrais, concentrações elementares ou abundâncias de metabolitos em decisões sobre origem geográfica. Nos estudos com PLS-DA e SVM, essa transformação assume, em sua forma mais simples, a estrutura de uma função de decisão linear</w:t>
      </w:r>
      <w:r>
        <w:t xml:space="preserve"> </w:t>
      </w:r>
      <m:oMath>
        <m:r>
          <m:t>f</m:t>
        </m:r>
        <m:r>
          <m:rPr>
            <m:sty m:val="p"/>
          </m:rPr>
          <m:t>(</m:t>
        </m:r>
        <m:r>
          <m:t>x</m:t>
        </m:r>
        <m:r>
          <m:rPr>
            <m:sty m:val="p"/>
          </m:rPr>
          <m:t>)</m:t>
        </m:r>
        <m:r>
          <m:rPr>
            <m:sty m:val="p"/>
          </m:rPr>
          <m:t>=</m:t>
        </m:r>
        <m:sSup>
          <m:e>
            <m:r>
              <m:t>w</m:t>
            </m:r>
          </m:e>
          <m:sup>
            <m:r>
              <m:rPr>
                <m:sty m:val="p"/>
              </m:rPr>
              <m:t>⊤</m:t>
            </m:r>
          </m:sup>
        </m:sSup>
        <m:r>
          <m:t>x</m:t>
        </m:r>
        <m:r>
          <m:rPr>
            <m:sty m:val="p"/>
          </m:rPr>
          <m:t>+</m:t>
        </m:r>
        <m:r>
          <m:t>b</m:t>
        </m:r>
      </m:oMath>
      <w:r>
        <w:t xml:space="preserve">, na qual a combinação ponderada das variáveis (</w:t>
      </w:r>
      <m:oMath>
        <m:r>
          <m:t>w</m:t>
        </m:r>
      </m:oMath>
      <w:r>
        <w:t xml:space="preserve">) sintetiza um “hiperplano territorial” que separa amostras de diferentes regiões. A formulação em espaços de alta dimensionalidade, sobretudo no caso de SVM com kernels não lineares, permite que essa fronteira de decisão capture relações complexas entre marcadores químicos e território, mantendo, ao mesmo tempo, a possibilidade de interpretar</w:t>
      </w:r>
      <w:r>
        <w:t xml:space="preserve"> </w:t>
      </w:r>
      <m:oMath>
        <m:r>
          <m:t>w</m:t>
        </m:r>
      </m:oMath>
      <w:r>
        <w:t xml:space="preserve"> </w:t>
      </w:r>
      <w:r>
        <w:t xml:space="preserve">como vetor que concentra os pesos das evidências analíticas em favor de cada origem.</w:t>
      </w:r>
    </w:p>
    <w:p>
      <w:pPr>
        <w:pStyle w:val="Corpodetexto"/>
      </w:pPr>
      <w:r>
        <w:t xml:space="preserve">O uso amplo do Random Forest decorre de sua capacidade de modelar interações não lineares em dados multivariados, lidar com classes desbalanceadas e, sobretudo, fornecer medidas de importância de variáveis (VIM) que permitem identificar marcadores territoriais com valor regulatório. Em termos formais, esses modelos operam como comitês de classificadores</w:t>
      </w:r>
      <w:r>
        <w:t xml:space="preserve"> </w:t>
      </w:r>
      <m:oMath>
        <m:sSub>
          <m:e>
            <m:r>
              <m:t>h</m:t>
            </m:r>
          </m:e>
          <m:sub>
            <m:r>
              <m:t>m</m:t>
            </m:r>
          </m:sub>
        </m:sSub>
        <m:r>
          <m:rPr>
            <m:sty m:val="p"/>
          </m:rPr>
          <m:t>(</m:t>
        </m:r>
        <m:r>
          <m:t>x</m:t>
        </m:r>
        <m:r>
          <m:rPr>
            <m:sty m:val="p"/>
          </m:rPr>
          <m:t>)</m:t>
        </m:r>
      </m:oMath>
      <w:r>
        <w:t xml:space="preserve">, agregados em uma decisão final</w:t>
      </w:r>
      <w:r>
        <w:t xml:space="preserve"> </w:t>
      </w:r>
      <m:oMath>
        <m:acc>
          <m:accPr>
            <m:chr m:val="̂"/>
          </m:accPr>
          <m:e>
            <m:r>
              <m:t>y</m:t>
            </m:r>
          </m:e>
        </m:acc>
        <m:r>
          <m:rPr>
            <m:sty m:val="p"/>
          </m:rPr>
          <m:t>=</m:t>
        </m:r>
        <m:r>
          <m:rPr>
            <m:sty m:val="p"/>
          </m:rPr>
          <m:t>a</m:t>
        </m:r>
        <m:r>
          <m:rPr>
            <m:sty m:val="p"/>
          </m:rPr>
          <m:t>g</m:t>
        </m:r>
        <m:r>
          <m:rPr>
            <m:sty m:val="p"/>
          </m:rPr>
          <m:t>g</m:t>
        </m:r>
        <m:r>
          <m:rPr>
            <m:sty m:val="p"/>
          </m:rPr>
          <m:t>(</m:t>
        </m:r>
        <m:sSub>
          <m:e>
            <m:r>
              <m:t>h</m:t>
            </m:r>
          </m:e>
          <m:sub>
            <m:r>
              <m:t>1</m:t>
            </m:r>
          </m:sub>
        </m:sSub>
        <m:r>
          <m:rPr>
            <m:sty m:val="p"/>
          </m:rPr>
          <m:t>(</m:t>
        </m:r>
        <m:r>
          <m:t>x</m:t>
        </m:r>
        <m:r>
          <m:rPr>
            <m:sty m:val="p"/>
          </m:rPr>
          <m:t>)</m:t>
        </m:r>
        <m:r>
          <m:rPr>
            <m:sty m:val="p"/>
          </m:rPr>
          <m:t>,</m:t>
        </m:r>
        <m:r>
          <m:rPr>
            <m:sty m:val="p"/>
          </m:rPr>
          <m:t>…</m:t>
        </m:r>
        <m:r>
          <m:rPr>
            <m:sty m:val="p"/>
          </m:rPr>
          <m:t>,</m:t>
        </m:r>
        <m:sSub>
          <m:e>
            <m:r>
              <m:t>h</m:t>
            </m:r>
          </m:e>
          <m:sub>
            <m:r>
              <m:t>M</m:t>
            </m:r>
          </m:sub>
        </m:sSub>
        <m:r>
          <m:rPr>
            <m:sty m:val="p"/>
          </m:rPr>
          <m:t>(</m:t>
        </m:r>
        <m:r>
          <m:t>x</m:t>
        </m:r>
        <m:r>
          <m:rPr>
            <m:sty m:val="p"/>
          </m:rPr>
          <m:t>)</m:t>
        </m:r>
        <m:r>
          <m:rPr>
            <m:sty m:val="p"/>
          </m:rPr>
          <m:t>)</m:t>
        </m:r>
      </m:oMath>
      <w:r>
        <w:t xml:space="preserve">, usualmente por maioria de votos ou média de probabilidades. Em estudos como</w:t>
      </w:r>
      <w:r>
        <w:t xml:space="preserve"> </w:t>
      </w:r>
      <w:r>
        <w:t xml:space="preserve">Li et al. (2025)</w:t>
      </w:r>
      <w:r>
        <w:t xml:space="preserve">, essa arquitetura de comitê foi explorada para isolar subconjuntos de variáveis químicas e elementares que sustentam, de forma transparente, alegações de autenticidade geográfica, uma vez que as VIM indicam quais componentes de</w:t>
      </w:r>
      <w:r>
        <w:t xml:space="preserve"> </w:t>
      </w:r>
      <m:oMath>
        <m:r>
          <m:t>x</m:t>
        </m:r>
      </m:oMath>
      <w:r>
        <w:t xml:space="preserve"> </w:t>
      </w:r>
      <w:r>
        <w:t xml:space="preserve">mais contribuem para alterar</w:t>
      </w:r>
      <w:r>
        <w:t xml:space="preserve"> </w:t>
      </w:r>
      <m:oMath>
        <m:acc>
          <m:accPr>
            <m:chr m:val="̂"/>
          </m:accPr>
          <m:e>
            <m:r>
              <m:t>y</m:t>
            </m:r>
          </m:e>
        </m:acc>
      </m:oMath>
      <w:r>
        <w:t xml:space="preserve"> </w:t>
      </w:r>
      <w:r>
        <w:t xml:space="preserve">de uma denominação para outra.</w:t>
      </w:r>
    </w:p>
    <w:p>
      <w:pPr>
        <w:pStyle w:val="Corpodetexto"/>
      </w:pPr>
      <w:r>
        <w:t xml:space="preserve">Em domínios com dados de imagem ou sinais hiperespectrais, modelos de Deep Learning, especialmente Redes Neurais Convolucionais (CNNs), constituem o padrão emergente.</w:t>
      </w:r>
      <w:r>
        <w:t xml:space="preserve"> </w:t>
      </w:r>
      <w:r>
        <w:t xml:space="preserve">Peng et al. (2025)</w:t>
      </w:r>
      <w:r>
        <w:t xml:space="preserve"> </w:t>
      </w:r>
      <w:r>
        <w:t xml:space="preserve">utilizaram CNNs para classificar chás com IG a partir de imagens hiperespectrais, obtendo discriminação precisa entre diferentes regiões produtoras;</w:t>
      </w:r>
      <w:r>
        <w:t xml:space="preserve"> </w:t>
      </w:r>
      <w:r>
        <w:t xml:space="preserve">Feng et al.</w:t>
      </w:r>
      <w:r>
        <w:t xml:space="preserve"> </w:t>
      </w:r>
      <w:r>
        <w:t xml:space="preserve">(2025)</w:t>
      </w:r>
      <w:r>
        <w:t xml:space="preserve"> </w:t>
      </w:r>
      <w:r>
        <w:t xml:space="preserve">aplicaram arquiteturas profundas para autenticar visualmente plantas medicinais. Nesses modelos, a operação central de convolução pode ser descrita como</w:t>
      </w:r>
      <w:r>
        <w:t xml:space="preserve"> </w:t>
      </w:r>
      <m:oMath>
        <m:r>
          <m:rPr>
            <m:sty m:val="p"/>
          </m:rPr>
          <m:t>(</m:t>
        </m:r>
        <m:r>
          <m:t>K</m:t>
        </m:r>
        <m:r>
          <m:rPr>
            <m:sty m:val="p"/>
          </m:rPr>
          <m:t>*</m:t>
        </m:r>
        <m:r>
          <m:t>X</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u</m:t>
            </m:r>
            <m:r>
              <m:rPr>
                <m:sty m:val="p"/>
              </m:rPr>
              <m:t>,</m:t>
            </m:r>
            <m:r>
              <m:t>v</m:t>
            </m:r>
          </m:sub>
          <m:sup>
            <m:r>
              <m:t>​</m:t>
            </m:r>
          </m:sup>
          <m:e>
            <m:r>
              <m:t>K</m:t>
            </m:r>
          </m:e>
        </m:nary>
        <m:r>
          <m:rPr>
            <m:sty m:val="p"/>
          </m:rPr>
          <m:t>(</m:t>
        </m:r>
        <m:r>
          <m:t>u</m:t>
        </m:r>
        <m:r>
          <m:rPr>
            <m:sty m:val="p"/>
          </m:rPr>
          <m:t>,</m:t>
        </m:r>
        <m:r>
          <m:t>v</m:t>
        </m:r>
        <m:r>
          <m:rPr>
            <m:sty m:val="p"/>
          </m:rPr>
          <m:t>)</m:t>
        </m:r>
        <m:r>
          <m:rPr>
            <m:sty m:val="p"/>
          </m:rPr>
          <m:t>⋅</m:t>
        </m:r>
        <m:r>
          <m:t>X</m:t>
        </m:r>
        <m:r>
          <m:rPr>
            <m:sty m:val="p"/>
          </m:rPr>
          <m:t>(</m:t>
        </m:r>
        <m:r>
          <m:t>i</m:t>
        </m:r>
        <m:r>
          <m:rPr>
            <m:sty m:val="p"/>
          </m:rPr>
          <m:t>−</m:t>
        </m:r>
        <m:r>
          <m:t>u</m:t>
        </m:r>
        <m:r>
          <m:rPr>
            <m:sty m:val="p"/>
          </m:rPr>
          <m:t>,</m:t>
        </m:r>
        <m:r>
          <m:t>j</m:t>
        </m:r>
        <m:r>
          <m:rPr>
            <m:sty m:val="p"/>
          </m:rPr>
          <m:t>−</m:t>
        </m:r>
        <m:r>
          <m:t>v</m:t>
        </m:r>
        <m:r>
          <m:rPr>
            <m:sty m:val="p"/>
          </m:rPr>
          <m:t>)</m:t>
        </m:r>
      </m:oMath>
      <w:r>
        <w:t xml:space="preserve">, em que um filtro</w:t>
      </w:r>
      <w:r>
        <w:t xml:space="preserve"> </w:t>
      </w:r>
      <m:oMath>
        <m:r>
          <m:t>K</m:t>
        </m:r>
      </m:oMath>
      <w:r>
        <w:t xml:space="preserve"> </w:t>
      </w:r>
      <w:r>
        <w:t xml:space="preserve">varre a matriz de entrada</w:t>
      </w:r>
      <w:r>
        <w:t xml:space="preserve"> </w:t>
      </w:r>
      <m:oMath>
        <m:r>
          <m:t>X</m:t>
        </m:r>
      </m:oMath>
      <w:r>
        <w:t xml:space="preserve"> </w:t>
      </w:r>
      <w:r>
        <w:t xml:space="preserve">(imagem ou “cubo” espectral) para extrair padrões locais característicos. Essa formalização reforça que a autenticação não se apoia apenas em valores pontuais de intensidade, mas em estruturas espaciais ou espectrais recorrentes que codificam o terroir de forma distribuída.</w:t>
      </w:r>
    </w:p>
    <w:p>
      <w:pPr>
        <w:pStyle w:val="Corpodetexto"/>
      </w:pPr>
      <w:r>
        <w:t xml:space="preserve">Para dados espectrais e quimiométricos, a Análise Discriminante por Mínimos Quadrados Parciais (PLS-DA) permanece central em quase metade dos estudos, consolidando um paradigma bem estabelecido em quimiometria.</w:t>
      </w:r>
      <w:r>
        <w:t xml:space="preserve"> </w:t>
      </w:r>
      <w:r>
        <w:t xml:space="preserve">Rebiai et al. (2022)</w:t>
      </w:r>
      <w:r>
        <w:t xml:space="preserve"> </w:t>
      </w:r>
      <w:r>
        <w:t xml:space="preserve">demonstraram que PLS-DA, acoplada a espectroscopia NIR, discrimina azeites de múltiplas denominações com elevada acurácia, explorando sua robustez frente à multicolinearidade e ao regime</w:t>
      </w:r>
      <w:r>
        <w:t xml:space="preserve"> </w:t>
      </w:r>
      <m:oMath>
        <m:r>
          <m:t>n</m:t>
        </m:r>
        <m:r>
          <m:rPr>
            <m:sty m:val="p"/>
          </m:rPr>
          <m:t>&lt;</m:t>
        </m:r>
        <m:r>
          <m:t>p</m:t>
        </m:r>
      </m:oMath>
      <w:r>
        <w:t xml:space="preserve">. Diferentemente da Análise de Componentes Principais (PCA), que busca representar a variância total dos dados, a PLS-DA otimiza explicitamente a separação entre classes, o que a torna particularmente adequada para problemas de autenticação de origem.</w:t>
      </w:r>
    </w:p>
    <w:p>
      <w:pPr>
        <w:pStyle w:val="Corpodetexto"/>
      </w:pPr>
      <w:r>
        <w:t xml:space="preserve">O manejo da alta dimensionalidade aparece como eixo transversal. A PCA é utilizada em mais da metade dos estudos como etapa de pré-processamento para redução de dimensionalidade, diminuição de ruído e visualização exploratória, frequentemente antes da aplicação de classificadores supervisionados.</w:t>
      </w:r>
      <w:r>
        <w:t xml:space="preserve"> </w:t>
      </w:r>
      <w:r>
        <w:t xml:space="preserve">Ramos et al. (2025)</w:t>
      </w:r>
      <w:r>
        <w:t xml:space="preserve">, por exemplo, aplicaram PCA para condensar milhares de variáveis metabolômicas de vinhos em poucos componentes principais interpretáveis, que em seguida alimentaram um modelo de Random Forest. Em paralelo, métodos de seleção de</w:t>
      </w:r>
      <w:r>
        <w:t xml:space="preserve"> </w:t>
      </w:r>
      <w:r>
        <w:rPr>
          <w:i/>
          <w:iCs/>
        </w:rPr>
        <w:t xml:space="preserve">features</w:t>
      </w:r>
      <w:r>
        <w:t xml:space="preserve"> </w:t>
      </w:r>
      <w:r>
        <w:t xml:space="preserve">como RF-RFE e Boruta, presentes em cerca de um terço dos trabalhos, são empregados para identificar subconjuntos de variáveis com maior poder discriminante.</w:t>
      </w:r>
      <w:r>
        <w:t xml:space="preserve"> </w:t>
      </w:r>
      <w:r>
        <w:t xml:space="preserve">Salam et al.</w:t>
      </w:r>
      <w:r>
        <w:t xml:space="preserve"> </w:t>
      </w:r>
      <w:r>
        <w:t xml:space="preserve">(2021)</w:t>
      </w:r>
      <w:r>
        <w:t xml:space="preserve"> </w:t>
      </w:r>
      <w:r>
        <w:t xml:space="preserve">mostraram que o uso de Boruta permitiu reduzir de 80 para 15 elementos traço em estudos com carnes, sem perdas significativas de desempenho. Essa combinação entre redução/seleção de variáveis e classificadores robustos é central não apenas para controlar o risco de sobreajuste e reduzir custos computacionais, mas também para chegar a conjuntos compactos de marcadores territoriais com potencial de serem incorporados em protocolos oficiais de certificação.</w:t>
      </w:r>
    </w:p>
    <w:p>
      <w:pPr>
        <w:pStyle w:val="Corpodetexto"/>
      </w:pPr>
      <w:r>
        <w:t xml:space="preserve">Neste sentido, o ecossistema algorítmico observado neste corpus indica que a escolha de modelos em IGs não segue uma lógica meramente incremental (substituir um algoritmo por outro “mais moderno”), mas é condicionada pela natureza da matriz, pela estrutura dos dados e pelo grau de exigência regulatória. Random Forest, SVM, PLS-DA e CNNs ocupam posições complementares em uma paisagem metodológica em que desempenho preditivo, interpretabilidade e adequação ao tipo de dado precisam ser negociados caso a caso.</w:t>
      </w:r>
    </w:p>
    <w:bookmarkEnd w:id="68"/>
    <w:bookmarkStart w:id="73" w:name="desempenho-preditivo-dos-modelos"/>
    <w:p>
      <w:pPr>
        <w:pStyle w:val="Ttulo2"/>
      </w:pPr>
      <w:r>
        <w:t xml:space="preserve">3.7 Desempenho Preditivo dos Modelos</w:t>
      </w:r>
    </w:p>
    <w:p>
      <w:pPr>
        <w:pStyle w:val="FirstParagraph"/>
      </w:pPr>
      <w:r>
        <w:t xml:space="preserve">A análise do corpus revela que os modelos de Machine Learning alcançam um desempenho preditivo substancial, com acurácias frequentemente situadas entre 80% e 100%, o que sugere que a assinatura geográfica dos produtos é computacionalmente detectável. Em termos formais, esses modelos podem ser representados como funções</w:t>
      </w:r>
      <w:r>
        <w:t xml:space="preserve"> </w:t>
      </w:r>
      <m:oMath>
        <m:acc>
          <m:accPr>
            <m:chr m:val="̂"/>
          </m:accPr>
          <m:e>
            <m:r>
              <m:t>y</m:t>
            </m:r>
          </m:e>
        </m:acc>
        <m:r>
          <m:rPr>
            <m:sty m:val="p"/>
          </m:rPr>
          <m:t>=</m:t>
        </m:r>
        <m:r>
          <m:t>f</m:t>
        </m:r>
        <m:r>
          <m:rPr>
            <m:sty m:val="p"/>
          </m:rPr>
          <m:t>(</m:t>
        </m:r>
        <m:r>
          <m:t>x</m:t>
        </m:r>
        <m:r>
          <m:rPr>
            <m:sty m:val="p"/>
          </m:rPr>
          <m:t>)</m:t>
        </m:r>
      </m:oMath>
      <w:r>
        <w:t xml:space="preserve"> </w:t>
      </w:r>
      <w:r>
        <w:t xml:space="preserve">que mapeiam vetores de entrada</w:t>
      </w:r>
      <w:r>
        <w:t xml:space="preserve"> </w:t>
      </w:r>
      <m:oMath>
        <m:r>
          <m:t>x</m:t>
        </m:r>
      </m:oMath>
      <w:r>
        <w:t xml:space="preserve"> </w:t>
      </w:r>
      <w:r>
        <w:t xml:space="preserve">(perfís espectrais, vetores elementares, painéis metabolômicos) para saídas categóricas (origem, presença de fraude) ou contínuas (parâmetros de qualidade). Quando o objetivo é regressão de atributos como acidez, teor de fenóis ou intensidade aromática, a qualidade do ajuste passa a ser expressa pela discrepância entre valores observados</w:t>
      </w:r>
      <w:r>
        <w:t xml:space="preserve"> </w:t>
      </w:r>
      <m:oMath>
        <m:r>
          <m:t>y</m:t>
        </m:r>
      </m:oMath>
      <w:r>
        <w:t xml:space="preserve"> </w:t>
      </w:r>
      <w:r>
        <w:t xml:space="preserve">e preditos</w:t>
      </w:r>
      <w:r>
        <w:t xml:space="preserve"> </w:t>
      </w:r>
      <m:oMath>
        <m:acc>
          <m:accPr>
            <m:chr m:val="̂"/>
          </m:accPr>
          <m:e>
            <m:r>
              <m:t>y</m:t>
            </m:r>
          </m:e>
        </m:acc>
      </m:oMath>
      <w:r>
        <w:t xml:space="preserve">, usualmente medida por métricas como erro absoluto médio (MAE) e raiz do erro quadrático médio (RMSE), que sintetizam, em escalas distintas, a magnitude típica de</w:t>
      </w:r>
      <w:r>
        <w:t xml:space="preserve"> </w:t>
      </w:r>
      <m:oMath>
        <m:r>
          <m:rPr>
            <m:sty m:val="p"/>
          </m:rPr>
          <m:t>|</m:t>
        </m:r>
        <m:r>
          <m:t>y</m:t>
        </m:r>
        <m:r>
          <m:rPr>
            <m:sty m:val="p"/>
          </m:rPr>
          <m:t>−</m:t>
        </m:r>
        <m:acc>
          <m:accPr>
            <m:chr m:val="̂"/>
          </m:accPr>
          <m:e>
            <m:r>
              <m:t>y</m:t>
            </m:r>
          </m:e>
        </m:acc>
        <m:r>
          <m:rPr>
            <m:sty m:val="p"/>
          </m:rPr>
          <m:t>|</m:t>
        </m:r>
      </m:oMath>
      <w:r>
        <w:t xml:space="preserve"> </w:t>
      </w:r>
      <w:r>
        <w:t xml:space="preserve">no espaço de decisão.</w:t>
      </w:r>
    </w:p>
    <w:p>
      <w:pPr>
        <w:pStyle w:val="Corpodetexto"/>
      </w:pPr>
      <w:r>
        <w:t xml:space="preserve">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w:t>
      </w:r>
      <w:r>
        <w:t xml:space="preserve"> </w:t>
      </w:r>
      <w:r>
        <w:t xml:space="preserve">(R. C. Chen et al., 2020; Effrosynidis &amp; Arampatzis, 2021)</w:t>
      </w:r>
      <w:r>
        <w:t xml:space="preserve">. Esse cenário corresponde empiricamente a situações em que o risco observado, calculado a partir da média de uma função de perda</w:t>
      </w:r>
      <w:r>
        <w:t xml:space="preserve"> </w:t>
      </w:r>
      <m:oMath>
        <m:r>
          <m:t>L</m:t>
        </m:r>
        <m:r>
          <m:rPr>
            <m:sty m:val="p"/>
          </m:rPr>
          <m:t>(</m:t>
        </m:r>
        <m:r>
          <m:t>y</m:t>
        </m:r>
        <m:r>
          <m:rPr>
            <m:sty m:val="p"/>
          </m:rPr>
          <m:t>,</m:t>
        </m:r>
        <m:acc>
          <m:accPr>
            <m:chr m:val="̂"/>
          </m:accPr>
          <m:e>
            <m:r>
              <m:t>y</m:t>
            </m:r>
          </m:e>
        </m:acc>
        <m:r>
          <m:rPr>
            <m:sty m:val="p"/>
          </m:rPr>
          <m:t>)</m:t>
        </m:r>
      </m:oMath>
      <w:r>
        <w:t xml:space="preserve"> </w:t>
      </w:r>
      <w:r>
        <w:t xml:space="preserve">sobre o conjunto de treinamento, tende a zero. O ceticismo em relação a tais resultados é justificado, pois raramente são acompanhados de validação externa robusta que permita estimar o risco verdadeiro, isto é, o desempenho esperado quando o modelo é exposto a novas amostras distribuídas segundo o mesmo processo gerador, mas não utilizadas no ajuste dos parâmetros de</w:t>
      </w:r>
      <w:r>
        <w:t xml:space="preserve"> </w:t>
      </w:r>
      <m:oMath>
        <m:r>
          <m:t>f</m:t>
        </m:r>
      </m:oMath>
      <w:r>
        <w:t xml:space="preserve">.</w:t>
      </w:r>
    </w:p>
    <w:p>
      <w:pPr>
        <w:pStyle w:val="Corpodetexto"/>
      </w:pPr>
      <w:r>
        <w:t xml:space="preserve">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w:t>
      </w:r>
      <w:r>
        <w:t xml:space="preserve"> </w:t>
      </w:r>
      <w:r>
        <w:t xml:space="preserve">(Meena et al., 2024; Mohammadi et al., 2024)</w:t>
      </w:r>
      <w:r>
        <w:t xml:space="preserve">.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confrontados com distribuições levemente deslocadas em relação àquelas usadas para estimar</w:t>
      </w:r>
      <w:r>
        <w:t xml:space="preserve"> </w:t>
      </w:r>
      <m:oMath>
        <m:r>
          <m:t>f</m:t>
        </m:r>
        <m:r>
          <m:rPr>
            <m:sty m:val="p"/>
          </m:rPr>
          <m:t>(</m:t>
        </m:r>
        <m:r>
          <m:t>x</m:t>
        </m:r>
        <m:r>
          <m:rPr>
            <m:sty m:val="p"/>
          </m:rPr>
          <m:t>)</m:t>
        </m:r>
      </m:oMath>
      <w:r>
        <w:t xml:space="preserve"> </w:t>
      </w:r>
      <w:r>
        <w:t xml:space="preserve">(Kuhn &amp; Johnson, 2013)</w:t>
      </w:r>
      <w:r>
        <w:t xml:space="preserve">. Em termos de risco, essa discrepância entre o erro empírico (medido no conjunto de treinamento ou em validações internas) e o risco verdadeiro (associado ao uso do modelo em certificação real) revela que muitos sistemas operam, de fato, em condições de otimismo estatístico não controlado. Esta observação possui uma implicação direta para a prática da certificação pois, para que um modelo de ML seja juridicamente defensável e cientificamente robusto, ele deve ser obrigatoriamente testado em amostras que desafiem sua capacidade de generalização para além das condições vistas durante o treinamento, incluindo safras, regiões e lotes distintos.</w:t>
      </w:r>
    </w:p>
    <w:p>
      <w:pPr>
        <w:pStyle w:val="Corpodetexto"/>
      </w:pPr>
      <w:r>
        <w:t xml:space="preserve">Complementarmente, foi conduzida uma análise de modelagem preditiva global para avaliar em que medida os padrões estatísticos capturados pelas variáveis do corpus permitem antecipar um índice contínuo de pontuação dos estudos e uma classificação dicotômica entre trabalhos de</w:t>
      </w:r>
      <w:r>
        <w:t xml:space="preserve"> </w:t>
      </w:r>
      <w:r>
        <w:t xml:space="preserve">“alto score”</w:t>
      </w:r>
      <w:r>
        <w:t xml:space="preserve"> </w:t>
      </w:r>
      <w:r>
        <w:t xml:space="preserve">e demais artigos. Na tarefa de regressão, comparando modelos lineares e não lineares, a performance foi modesta: o erro médio quadrático (RMSE) variou entre 11,8 e 12,5 e o coeficiente de determinação</w:t>
      </w:r>
      <w:r>
        <w:t xml:space="preserve"> </w:t>
      </w:r>
      <m:oMath>
        <m:sSup>
          <m:e>
            <m:r>
              <m:t>R</m:t>
            </m:r>
          </m:e>
          <m:sup>
            <m:r>
              <m:t>2</m:t>
            </m:r>
          </m:sup>
        </m:sSup>
      </m:oMath>
      <w:r>
        <w:t xml:space="preserve"> </w:t>
      </w:r>
      <w:r>
        <w:t xml:space="preserve">permaneceu baixo (0,11–0,14) mesmo para os melhores modelos (Ridge e Random Forest). Esse resultado indica que, embora os modelos de ML sejam altamente eficazes para discriminar a origem geográfica de produtos, a predição de um índice sintético de qualidade/impacto dos estudos a partir de variáveis bibliométricas e metodológicas agregadas é substancialmente mais difícil, reforçando o papel insubstituível do julgamento humano na avaliação qualitativa dos artigos. Na tarefa de classificação (alto score vs. demais), o modelo de Regressão Logística apresentou desempenho superior ao Random Forest (acurácia de 0,69 e F1-score de 0,70, contra 0,53 de acurácia para Random Forest), sugerindo que o padrão que distingue os estudos mais bem avaliados é relativamente simples e pode ser capturado adequadamente por fronteiras de decisão aproximadamente lineares. Em conjunto, esses achados apontam para uma assimetria importante: os mesmos algoritmos que atingem acurácias próximas de 100% em autenticação de produtos mostram desempenho apenas moderado quando aplicados à avaliação global da qualidade dos estudos, o que tem implicações diretas para o uso responsável de ML em metaciência e sínteses de evidência.</w:t>
      </w:r>
    </w:p>
    <w:p>
      <w:pPr>
        <w:pStyle w:val="Corpodetexto"/>
      </w:pPr>
      <w:r>
        <w:t xml:space="preserve">A Figura 7 sintetiza a comparação entre os modelos de regressão e classificação avaliados, destacando que abordagens lineares simples apresentam desempenho semelhante ou superior a algoritmos mais complexos na predição do score e da categoria de alto score.</w:t>
      </w:r>
    </w:p>
    <w:bookmarkStart w:id="72" w:name="fig:model_metricas"/>
    <w:p>
      <w:pPr>
        <w:pStyle w:val="CaptionedFigure"/>
      </w:pPr>
      <w:r>
        <w:drawing>
          <wp:inline>
            <wp:extent cx="4480560" cy="2613660"/>
            <wp:effectExtent b="0" l="0" r="0" t="0"/>
            <wp:docPr descr="Comparação do desempenho de modelos de regressão e classificação para predição do score contínuo e da categoria de alto score dos estudos." title="" id="70" name="Picture"/>
            <a:graphic>
              <a:graphicData uri="http://schemas.openxmlformats.org/drawingml/2006/picture">
                <pic:pic>
                  <pic:nvPicPr>
                    <pic:cNvPr descr="2-FIGURAS/model_metricas_comparacao.png" id="71" name="Picture"/>
                    <pic:cNvPicPr>
                      <a:picLocks noChangeArrowheads="1" noChangeAspect="1"/>
                    </pic:cNvPicPr>
                  </pic:nvPicPr>
                  <pic:blipFill>
                    <a:blip r:embed="rId69"/>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Comparação do desempenho de modelos de regressão e classificação para predição do score contínuo e da categoria de alto score dos estudos.</w:t>
      </w:r>
    </w:p>
    <w:bookmarkEnd w:id="72"/>
    <w:bookmarkEnd w:id="73"/>
    <w:bookmarkStart w:id="78" w:name="aplicações-temáticas-identificadas"/>
    <w:p>
      <w:pPr>
        <w:pStyle w:val="Ttulo2"/>
      </w:pPr>
      <w:r>
        <w:t xml:space="preserve">3.8 Aplicações Temáticas Identificadas</w:t>
      </w:r>
    </w:p>
    <w:p>
      <w:pPr>
        <w:pStyle w:val="FirstParagraph"/>
      </w:pPr>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w:t>
      </w:r>
    </w:p>
    <w:p>
      <w:pPr>
        <w:pStyle w:val="Corpodetexto"/>
      </w:pPr>
      <w:r>
        <w:t xml:space="preserve">A primeira arquitetura, mais frequente no corpus analisado (79% dos estudos), visa estabelecer procedência territorial através de análise multivariada de assinaturas analíticas.</w:t>
      </w:r>
      <w:r>
        <w:t xml:space="preserve"> </w:t>
      </w:r>
      <w:r>
        <w:t xml:space="preserve">Xu et al. (2021)</w:t>
      </w:r>
      <w:r>
        <w:t xml:space="preserve"> </w:t>
      </w:r>
      <w:r>
        <w:t xml:space="preserve">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 Em termos operacionais, esses estudos constroem funções de decisão</w:t>
      </w:r>
      <w:r>
        <w:t xml:space="preserve"> </w:t>
      </w:r>
      <m:oMath>
        <m:r>
          <m:t>f</m:t>
        </m:r>
        <m:r>
          <m:rPr>
            <m:sty m:val="p"/>
          </m:rPr>
          <m:t>(</m:t>
        </m:r>
        <m:r>
          <m:t>x</m:t>
        </m:r>
        <m:r>
          <m:rPr>
            <m:sty m:val="p"/>
          </m:rPr>
          <m:t>)</m:t>
        </m:r>
      </m:oMath>
      <w:r>
        <w:t xml:space="preserve"> </w:t>
      </w:r>
      <w:r>
        <w:t xml:space="preserve">que particionam o espaço de características em regiões associadas a denominações específicas, de modo que cada vetor</w:t>
      </w:r>
      <w:r>
        <w:t xml:space="preserve"> </w:t>
      </w:r>
      <m:oMath>
        <m:r>
          <m:t>x</m:t>
        </m:r>
      </m:oMath>
      <w:r>
        <w:t xml:space="preserve"> </w:t>
      </w:r>
      <w:r>
        <w:t xml:space="preserve">de intensidades ou concentrações seja mapeado para uma origem estimada</w:t>
      </w:r>
      <w:r>
        <w:t xml:space="preserve"> </w:t>
      </w:r>
      <m:oMath>
        <m:acc>
          <m:accPr>
            <m:chr m:val="̂"/>
          </m:accPr>
          <m:e>
            <m:r>
              <m:t>y</m:t>
            </m:r>
          </m:e>
        </m:acc>
      </m:oMath>
      <w:r>
        <w:t xml:space="preserve">. A fronteira entre essas regiões, aprendida a partir de dados rotulados, representa, em termos matemáticos, a noção de prova de origem ao traduzir diferenças físico-químicas em classificações reprodutíveis.</w:t>
      </w:r>
    </w:p>
    <w:p>
      <w:pPr>
        <w:pStyle w:val="Corpodetexto"/>
      </w:pPr>
      <w:r>
        <w:t xml:space="preserve">Autores como</w:t>
      </w:r>
      <w:r>
        <w:t xml:space="preserve"> </w:t>
      </w:r>
      <w:r>
        <w:t xml:space="preserve">Li et al. (2025)</w:t>
      </w:r>
      <w:r>
        <w:t xml:space="preserve"> </w:t>
      </w:r>
      <w:r>
        <w:t xml:space="preserve">e</w:t>
      </w:r>
      <w:r>
        <w:t xml:space="preserve"> </w:t>
      </w:r>
      <w:r>
        <w:t xml:space="preserve">Ratnasekhar et al. (2025)</w:t>
      </w:r>
      <w:r>
        <w:t xml:space="preserve"> </w:t>
      </w:r>
      <w:r>
        <w:t xml:space="preserve">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pPr>
        <w:pStyle w:val="Corpodetexto"/>
      </w:pP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onde, a adição de etanol industrial a bebidas alcoólicas, mistura de produtos de denominação protegida com não-protegidos (conhecido como</w:t>
      </w:r>
      <w:r>
        <w:t xml:space="preserve"> </w:t>
      </w:r>
      <w:r>
        <w:t xml:space="preserve">“corte”</w:t>
      </w:r>
      <w:r>
        <w:t xml:space="preserve"> </w:t>
      </w:r>
      <w:r>
        <w:t xml:space="preserve">de vinhos), e falsificação de processos tradicionais mediante envelhecimento artificial versus natural em presuntos. Nesses cenários, os modelos deixam de apenas atribuir rótulos de origem e passam a aproximar probabilidades</w:t>
      </w:r>
      <w:r>
        <w:t xml:space="preserve"> </w:t>
      </w:r>
      <m:oMath>
        <m:acc>
          <m:accPr>
            <m:chr m:val="̂"/>
          </m:accPr>
          <m:e>
            <m:r>
              <m:t>p</m:t>
            </m:r>
          </m:e>
        </m:acc>
        <m:r>
          <m:rPr>
            <m:sty m:val="p"/>
          </m:rPr>
          <m:t>(</m:t>
        </m:r>
        <m:r>
          <m:t>y</m:t>
        </m:r>
        <m:r>
          <m:rPr>
            <m:sty m:val="p"/>
          </m:rPr>
          <m:t>=</m:t>
        </m:r>
        <m:r>
          <m:rPr>
            <m:nor/>
            <m:sty m:val="p"/>
          </m:rPr>
          <m:t>fraude</m:t>
        </m:r>
        <m:r>
          <m:rPr>
            <m:sty m:val="p"/>
          </m:rPr>
          <m:t>∣</m:t>
        </m:r>
        <m:r>
          <m:t>x</m:t>
        </m:r>
        <m:r>
          <m:rPr>
            <m:sty m:val="p"/>
          </m:rPr>
          <m:t>)</m:t>
        </m:r>
      </m:oMath>
      <w:r>
        <w:t xml:space="preserve">, a partir das quais se estabelece um limiar de decisão</w:t>
      </w:r>
      <w:r>
        <w:t xml:space="preserve"> </w:t>
      </w:r>
      <m:oMath>
        <m:r>
          <m:t>t</m:t>
        </m:r>
      </m:oMath>
      <w:r>
        <w:t xml:space="preserve"> </w:t>
      </w:r>
      <w:r>
        <w:t xml:space="preserve">tal que amostras com</w:t>
      </w:r>
      <w:r>
        <w:t xml:space="preserve"> </w:t>
      </w:r>
      <m:oMath>
        <m:acc>
          <m:accPr>
            <m:chr m:val="̂"/>
          </m:accPr>
          <m:e>
            <m:r>
              <m:t>p</m:t>
            </m:r>
          </m:e>
        </m:acc>
        <m:r>
          <m:rPr>
            <m:sty m:val="p"/>
          </m:rPr>
          <m:t>≥</m:t>
        </m:r>
        <m:r>
          <m:t>t</m:t>
        </m:r>
      </m:oMath>
      <w:r>
        <w:t xml:space="preserve"> </w:t>
      </w:r>
      <w:r>
        <w:t xml:space="preserve">são classificadas como suspeitas. A escolha de</w:t>
      </w:r>
      <w:r>
        <w:t xml:space="preserve"> </w:t>
      </w:r>
      <m:oMath>
        <m:r>
          <m:t>t</m:t>
        </m:r>
      </m:oMath>
      <w:r>
        <w:t xml:space="preserve">, frequentemente calibrada por curvas ROC, reflete explicitamente a assimetria de custos entre falsos negativos (fraude não detectada) e falsos positivos (produto autêntico indevidamente sinalizado), deslocando a arquitetura para regimes em que sensibilidade máxima é priorizada mesmo à custa de alguma perda de especificidade.</w:t>
      </w:r>
    </w:p>
    <w:p>
      <w:pPr>
        <w:pStyle w:val="Corpodetexto"/>
      </w:pPr>
      <w:r>
        <w:t xml:space="preserve">Em estudos similares,</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estabelecimento de continuidade entre produto final e origem de matéria-prima, respondendo a demandas crescentes de transparência e responsabilidade em cadeias complexas de suprimento.</w:t>
      </w:r>
      <w:r>
        <w:t xml:space="preserve"> </w:t>
      </w:r>
      <w:r>
        <w:t xml:space="preserve">Gong et al. (2023)</w:t>
      </w:r>
      <w:r>
        <w:t xml:space="preserve"> </w:t>
      </w:r>
      <w:r>
        <w:t xml:space="preserve">documentaram tendência emergente particularmente inovadora neste domínio. A integração de Machine Learning com blockchain, observada em 21% dos estudos de rastreabilidade, onde modelos preditivos são codificados em smart contracts que verificam autenticidade de lotes em cada etapa distributiva.</w:t>
      </w:r>
      <w:r>
        <w:t xml:space="preserve"> </w:t>
      </w:r>
      <w:r>
        <w:t xml:space="preserve">Autores como</w:t>
      </w:r>
      <w:r>
        <w:t xml:space="preserve"> </w:t>
      </w:r>
      <w:r>
        <w:t xml:space="preserve">Wang et al. (2025)</w:t>
      </w:r>
      <w:r>
        <w:t xml:space="preserve"> </w:t>
      </w:r>
      <w:r>
        <w:t xml:space="preserve">argumentam que esta arquitetura híbrida, algoritmos de ML operando sobre dados imutáveis em blockchain, permite auditoria computacional de cadeia de suprimento, reduzindo fraude intermediária através de verificação descentralizada e tamper-proof.</w:t>
      </w:r>
      <w:r>
        <w:t xml:space="preserve"> </w:t>
      </w:r>
      <w:r>
        <w:t xml:space="preserve">Hu et al. (2024)</w:t>
      </w:r>
      <w:r>
        <w:t xml:space="preserve"> </w:t>
      </w:r>
      <w:r>
        <w:t xml:space="preserve">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w:t>
      </w:r>
      <w:r>
        <w:t xml:space="preserve"> </w:t>
      </w:r>
      <w:r>
        <w:t xml:space="preserve">“passaporte digital”</w:t>
      </w:r>
      <w:r>
        <w:t xml:space="preserve"> </w:t>
      </w:r>
      <w:r>
        <w:t xml:space="preserve">rastreável do produto.</w:t>
      </w:r>
    </w:p>
    <w:p>
      <w:pPr>
        <w:pStyle w:val="Corpodetexto"/>
      </w:pPr>
      <w:r>
        <w:t xml:space="preserve">A análise de agrupamento (k-means e hierárquico) organizada sobre as variáveis de produto, instrumento analítico, algoritmo e tipo de aplicação revelou a existência de dez clusters bem definidos, que sintetizam</w:t>
      </w:r>
      <w:r>
        <w:t xml:space="preserve"> </w:t>
      </w:r>
      <w:r>
        <w:t xml:space="preserve">“famílias tecnológicas”</w:t>
      </w:r>
      <w:r>
        <w:t xml:space="preserve"> </w:t>
      </w:r>
      <w:r>
        <w:t xml:space="preserve">recorrentes no campo. Entre eles, destacam-se um cluster centrado em aplicações de autenticação e detecção de fraude em mel, combinando espectroscopia NIR com classificadores SVM e KNN, com forte presença de estudos asiáticos; um cluster dominado por queijos europeus, nos quais redes neurais e espectroscopia NIR são mobilizadas para discriminação de origem; e um conjunto de estudos que integra LC-MS e GC-MS em matrizes como mel e carnes, associadas a SVM, Random Forest e métodos baseados em árvores decisórias. Outro cluster relevante reúne aplicações com ICP-MS em carnes e produtos cárneos, nas quais a análise de traços elementares é combinada a algoritmos de classificação para autenticação territorial. Esses agrupamentos mostram que a adoção de técnicas de ML não é aleatória: produtos, instrumentos e algoritmos tendem a se articular em ecossistemas coerentes, nos quais determinadas combinações (por exemplo, NMR + redes neurais em vinhos, FTIR + SVM em azeites) se consolidam como</w:t>
      </w:r>
      <w:r>
        <w:t xml:space="preserve"> </w:t>
      </w:r>
      <w:r>
        <w:t xml:space="preserve">“arquiteturas de referência”</w:t>
      </w:r>
      <w:r>
        <w:t xml:space="preserve"> </w:t>
      </w:r>
      <w:r>
        <w:t xml:space="preserve">para problemas específicos. Do ponto de vista metodológico, essa estrutura em clusters reforça a existência de caminhos tecnológicos preferenciais, que podem orientar decisões de desenho experimental em futuras aplicações de ML em Indicações Geográficas.</w:t>
      </w:r>
    </w:p>
    <w:p>
      <w:pPr>
        <w:pStyle w:val="Corpodetexto"/>
      </w:pPr>
      <w:r>
        <w:t xml:space="preserve">A Figura 8 apresenta o heatmap dos perfis de clusters, evidenciando como combinações específicas de produtos, instrumentos analíticos e algoritmos se organizam em dez famílias tecnológicas recorrentes.</w:t>
      </w:r>
    </w:p>
    <w:bookmarkStart w:id="77" w:name="fig:cluster_heatmap"/>
    <w:p>
      <w:pPr>
        <w:pStyle w:val="CaptionedFigure"/>
      </w:pPr>
      <w:r>
        <w:drawing>
          <wp:inline>
            <wp:extent cx="4480560" cy="5600700"/>
            <wp:effectExtent b="0" l="0" r="0" t="0"/>
            <wp:docPr descr="Heatmap dos perfis de clusters de estudos, mostrando a coocorrência de produtos, instrumentos analíticos e algoritmos de machine learning em dez grupos principais." title="" id="75" name="Picture"/>
            <a:graphic>
              <a:graphicData uri="http://schemas.openxmlformats.org/drawingml/2006/picture">
                <pic:pic>
                  <pic:nvPicPr>
                    <pic:cNvPr descr="2-FIGURAS/cluster_heatmap_profiles.png" id="76" name="Picture"/>
                    <pic:cNvPicPr>
                      <a:picLocks noChangeArrowheads="1" noChangeAspect="1"/>
                    </pic:cNvPicPr>
                  </pic:nvPicPr>
                  <pic:blipFill>
                    <a:blip r:embed="rId74"/>
                    <a:stretch>
                      <a:fillRect/>
                    </a:stretch>
                  </pic:blipFill>
                  <pic:spPr bwMode="auto">
                    <a:xfrm>
                      <a:off x="0" y="0"/>
                      <a:ext cx="4480560" cy="5600700"/>
                    </a:xfrm>
                    <a:prstGeom prst="rect">
                      <a:avLst/>
                    </a:prstGeom>
                    <a:noFill/>
                    <a:ln w="9525">
                      <a:noFill/>
                      <a:headEnd/>
                      <a:tailEnd/>
                    </a:ln>
                  </pic:spPr>
                </pic:pic>
              </a:graphicData>
            </a:graphic>
          </wp:inline>
        </w:drawing>
      </w:r>
    </w:p>
    <w:p>
      <w:pPr>
        <w:pStyle w:val="ImageCaption"/>
      </w:pPr>
      <w:r>
        <w:t xml:space="preserve">Heatmap dos perfis de clusters de estudos, mostrando a coocorrência de produtos, instrumentos analíticos e algoritmos de machine learning em dez grupos principais.</w:t>
      </w:r>
    </w:p>
    <w:bookmarkEnd w:id="77"/>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Liu et al. (2025)</w:t>
      </w:r>
      <w:r>
        <w:t xml:space="preserve"> </w:t>
      </w:r>
      <w:r>
        <w:t xml:space="preserve">em 47% dos estudos, emprega ML para predição de atributos de qualidade, acidez, índice de fenóis totais, capacidade antioxidante, textura, perfil sensorial, com base em dados analíticos rapidamente obtidos.</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Ao invés de responder, que determinado produto é de origem X, o método busca-se determinar qual qualidade espera-se desta amostra. Nesses casos, a função</w:t>
      </w:r>
      <w:r>
        <w:t xml:space="preserve"> </w:t>
      </w:r>
      <m:oMath>
        <m:r>
          <m:t>f</m:t>
        </m:r>
        <m:r>
          <m:rPr>
            <m:sty m:val="p"/>
          </m:rPr>
          <m:t>(</m:t>
        </m:r>
        <m:r>
          <m:t>x</m:t>
        </m:r>
        <m:r>
          <m:rPr>
            <m:sty m:val="p"/>
          </m:rPr>
          <m:t>)</m:t>
        </m:r>
      </m:oMath>
      <w:r>
        <w:t xml:space="preserve"> </w:t>
      </w:r>
      <w:r>
        <w:t xml:space="preserve">é estimada para aproximar, com erro mínimo, as variáveis contínuas de interesse, e o desempenho é quantificado por coeficientes de determinação (R²), MAE e RMSE que refletem o desvio médio entre</w:t>
      </w:r>
      <w:r>
        <w:t xml:space="preserve"> </w:t>
      </w:r>
      <m:oMath>
        <m:r>
          <m:t>y</m:t>
        </m:r>
      </m:oMath>
      <w:r>
        <w:t xml:space="preserve"> </w:t>
      </w:r>
      <w:r>
        <w:t xml:space="preserve">e</w:t>
      </w:r>
      <w:r>
        <w:t xml:space="preserve"> </w:t>
      </w:r>
      <m:oMath>
        <m:acc>
          <m:accPr>
            <m:chr m:val="̂"/>
          </m:accPr>
          <m:e>
            <m:r>
              <m:t>y</m:t>
            </m:r>
          </m:e>
        </m:acc>
      </m:oMath>
      <w:r>
        <w:t xml:space="preserve"> </w:t>
      </w:r>
      <w:r>
        <w:t xml:space="preserve">em unidades fisicamente interpretáveis (por exemplo, g/L, unidades de cor, escores sensoriais).</w:t>
      </w:r>
      <w:r>
        <w:t xml:space="preserve"> </w:t>
      </w:r>
      <w:r>
        <w:t xml:space="preserve">Meena et al. (2024)</w:t>
      </w:r>
      <w:r>
        <w:t xml:space="preserve"> </w:t>
      </w:r>
      <w:r>
        <w:t xml:space="preserve">documentaram que regressão constitui a abordagem predominante neste contexto (ao invés de classificação), com avaliação de desempenho através de R², MAE e RMSE, refletindo natureza contínua das variáveis de qualidade.</w:t>
      </w:r>
    </w:p>
    <w:p>
      <w:pPr>
        <w:pStyle w:val="Corpodetexto"/>
      </w:pPr>
      <w:r>
        <w:t xml:space="preserve">Ainda,</w:t>
      </w:r>
      <w:r>
        <w:t xml:space="preserve"> </w:t>
      </w:r>
      <w:r>
        <w:t xml:space="preserve">Liu et al. (2025)</w:t>
      </w:r>
      <w:r>
        <w:t xml:space="preserve"> </w:t>
      </w:r>
      <w:r>
        <w:t xml:space="preserve">e</w:t>
      </w:r>
      <w:r>
        <w:t xml:space="preserve"> </w:t>
      </w:r>
      <w:r>
        <w:t xml:space="preserve">Rebiai et al. (2022)</w:t>
      </w:r>
      <w:r>
        <w:t xml:space="preserve"> </w:t>
      </w:r>
      <w:r>
        <w:t xml:space="preserve">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Nesse cenário, a relação entre erro de predição e incerteza analítica torna-se central, modelos cujo RMSE é da mesma ordem de magnitude que o erro instrumental pouco agregam à prática</w:t>
      </w:r>
      <w:r>
        <w:t xml:space="preserve"> </w:t>
      </w:r>
      <w:r>
        <w:t xml:space="preserve">Ozaki et al. (2021)</w:t>
      </w:r>
      <w:r>
        <w:t xml:space="preserve">, ao passo que modelos em que o RMSE é substancialmente inferior ao desvio típico de métodos convencionais criam, de fato, uma nova camada de controle de qualidade acessível a operações de pequena e média escala</w:t>
      </w:r>
      <w:r>
        <w:t xml:space="preserve"> </w:t>
      </w:r>
      <w:r>
        <w:t xml:space="preserve">(</w:t>
      </w:r>
      <w:r>
        <w:t xml:space="preserve">Ferreira et al.</w:t>
      </w:r>
      <w:r>
        <w:t xml:space="preserve">, 2007; Todeschini et al., 2015)</w:t>
      </w:r>
      <w:r>
        <w:t xml:space="preserve">.</w:t>
      </w:r>
    </w:p>
    <w:p>
      <w:pPr>
        <w:pStyle w:val="Corpodetexto"/>
      </w:pPr>
      <w:r>
        <w:t xml:space="preserve">Por fim, a quinta arquitetura funcional, embora menos prevalente com 19% dos estudos conforme</w:t>
      </w:r>
      <w:r>
        <w:t xml:space="preserve"> </w:t>
      </w:r>
      <w:r>
        <w:t xml:space="preserve">Ramos et al. (2025)</w:t>
      </w:r>
      <w:r>
        <w:t xml:space="preserve">, emprega ML para elucidar fatores que influenciam aceitação e preferência de consumidores por produtos com indicação geográfica, abordando dimensão mercadológica relevante para a sustentabilidade econômica destes sistemas.</w:t>
      </w:r>
      <w:r>
        <w:t xml:space="preserve"> </w:t>
      </w:r>
      <w:r>
        <w:t xml:space="preserve">Effrosynidis &amp; Arampatzis (2021)</w:t>
      </w:r>
      <w:r>
        <w:t xml:space="preserve"> </w:t>
      </w:r>
      <w:r>
        <w:t xml:space="preserve">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w:t>
      </w:r>
      <w:r>
        <w:t xml:space="preserve"> </w:t>
      </w:r>
      <w:r>
        <w:t xml:space="preserve">Ramos et al. (2025)</w:t>
      </w:r>
      <w:r>
        <w:t xml:space="preserve"> </w:t>
      </w:r>
      <w:r>
        <w:t xml:space="preserve">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bookmarkEnd w:id="78"/>
    <w:bookmarkStart w:id="83" w:name="Xf2e4d763af8e74cc328559f68dab05756ffbf4c"/>
    <w:p>
      <w:pPr>
        <w:pStyle w:val="Ttulo2"/>
      </w:pPr>
      <w:r>
        <w:t xml:space="preserve">3.9 Tendências Metodológicas, Lacunas e Direções para Pesquisa Futura</w:t>
      </w:r>
    </w:p>
    <w:p>
      <w:pPr>
        <w:pStyle w:val="FirstParagraph"/>
      </w:pPr>
      <w:r>
        <w:t xml:space="preserve">As tendências metodológicas identificadas refletem avanços tecnológicos e demandas regulatórias crescentes no domínio de autenticação de IGs mediante Machine Learning. As métricas de centralidade da rede de coocorrência entre produtos, instrumentos e algoritmos reforçam a leitura de que esse ecossistema é estruturado em torno de alguns núcleos algorítmicos com alta conectividade. A rede apresenta 20 nós e 58 arestas, com densidade moderada (0,30) e coeficiente de clustering elevado (0,59), indicando um sistema relativamente coeso, no qual subgrupos densamente conectados são interligados por alguns nós com papel de ponte. As maiores centralidades de grau e autovetor concentram-se em</w:t>
      </w:r>
      <w:r>
        <w:t xml:space="preserve"> </w:t>
      </w:r>
      <w:r>
        <w:rPr>
          <w:rStyle w:val="VerbatimChar"/>
        </w:rPr>
        <w:t xml:space="preserve">NeuralNetwork</w:t>
      </w:r>
      <w:r>
        <w:t xml:space="preserve">,</w:t>
      </w:r>
      <w:r>
        <w:t xml:space="preserve"> </w:t>
      </w:r>
      <w:r>
        <w:rPr>
          <w:rStyle w:val="VerbatimChar"/>
        </w:rPr>
        <w:t xml:space="preserve">SVM</w:t>
      </w:r>
      <w:r>
        <w:t xml:space="preserve"> </w:t>
      </w:r>
      <w:r>
        <w:t xml:space="preserve">e</w:t>
      </w:r>
      <w:r>
        <w:t xml:space="preserve"> </w:t>
      </w:r>
      <w:r>
        <w:rPr>
          <w:rStyle w:val="VerbatimChar"/>
        </w:rPr>
        <w:t xml:space="preserve">RandomForest</w:t>
      </w:r>
      <w:r>
        <w:t xml:space="preserve">, que formam o núcleo algorítmico do campo, fortemente conectado a produtos como chás e mel e a técnicas espectroscópicas (NIR, FTIR). Por outro lado, nós como</w:t>
      </w:r>
      <w:r>
        <w:t xml:space="preserve"> </w:t>
      </w:r>
      <w:r>
        <w:rPr>
          <w:rStyle w:val="VerbatimChar"/>
        </w:rPr>
        <w:t xml:space="preserve">GCMS</w:t>
      </w:r>
      <w:r>
        <w:t xml:space="preserve">,</w:t>
      </w:r>
      <w:r>
        <w:t xml:space="preserve"> </w:t>
      </w:r>
      <w:r>
        <w:rPr>
          <w:rStyle w:val="VerbatimChar"/>
        </w:rPr>
        <w:t xml:space="preserve">LCMS</w:t>
      </w:r>
      <w:r>
        <w:t xml:space="preserve"> </w:t>
      </w:r>
      <w:r>
        <w:t xml:space="preserve">e</w:t>
      </w:r>
      <w:r>
        <w:t xml:space="preserve"> </w:t>
      </w:r>
      <w:r>
        <w:rPr>
          <w:rStyle w:val="VerbatimChar"/>
        </w:rPr>
        <w:t xml:space="preserve">Honey</w:t>
      </w:r>
      <w:r>
        <w:t xml:space="preserve"> </w:t>
      </w:r>
      <w:r>
        <w:t xml:space="preserve">apresentam alta betweenness centrality, funcionando como corredores que conectam módulos distintos da rede, especialmente entre estudos asiáticos com carnes e mel e aplicações europeias em azeites, vinhos e queijos. A detecção de comunidades pelo algoritmo de Louvain identificou três blocos principais: (i) um módulo de árvores de decisão (Random Forest, Decision Tree, Gradient Boosting) associado a vinhos, mel e estudos em África; (ii) um módulo SVM/KNN acoplado a GC-MS/LC-MS e carnes, com predominância de aplicações asiáticas; e (iii) um módulo de redes neurais ligado a NIR, FTIR, sensores e produtos como azeites, queijos e chás em contextos europeus. Essa estrutura modular confirma empiricamente a existência de subcampos especializados, nos quais combinações específicas de instrumentos e algoritmos funcionam como plataformas tecnológicas integradas para autenticação de produtos com Indicações Geográficas.</w:t>
      </w:r>
    </w:p>
    <w:p>
      <w:pPr>
        <w:pStyle w:val="Corpodetexto"/>
      </w:pPr>
      <w:r>
        <w:t xml:space="preserve">A Figura 9 mostra a rede de coocorrência entre produtos, técnicas analíticas e algoritmos, com tamanhos e cores de nós proporcionais às métricas de centralidade, o que torna visíveis os núcleos algorítmicos e as pontes entre módulos temáticos.</w:t>
      </w:r>
    </w:p>
    <w:bookmarkStart w:id="82" w:name="fig:network_centrality"/>
    <w:p>
      <w:pPr>
        <w:pStyle w:val="CaptionedFigure"/>
      </w:pPr>
      <w:r>
        <w:drawing>
          <wp:inline>
            <wp:extent cx="4480560" cy="3200400"/>
            <wp:effectExtent b="0" l="0" r="0" t="0"/>
            <wp:docPr descr="Rede de coocorrência entre produtos, técnicas analíticas e algoritmos de machine learning, com tamanhos e cores de nós proporcionais às métricas de centralidade." title="" id="80" name="Picture"/>
            <a:graphic>
              <a:graphicData uri="http://schemas.openxmlformats.org/drawingml/2006/picture">
                <pic:pic>
                  <pic:nvPicPr>
                    <pic:cNvPr descr="2-FIGURAS/network_centrality_metrics.png" id="81" name="Picture"/>
                    <pic:cNvPicPr>
                      <a:picLocks noChangeArrowheads="1" noChangeAspect="1"/>
                    </pic:cNvPicPr>
                  </pic:nvPicPr>
                  <pic:blipFill>
                    <a:blip r:embed="rId79"/>
                    <a:stretch>
                      <a:fillRect/>
                    </a:stretch>
                  </pic:blipFill>
                  <pic:spPr bwMode="auto">
                    <a:xfrm>
                      <a:off x="0" y="0"/>
                      <a:ext cx="4480560" cy="3200400"/>
                    </a:xfrm>
                    <a:prstGeom prst="rect">
                      <a:avLst/>
                    </a:prstGeom>
                    <a:noFill/>
                    <a:ln w="9525">
                      <a:noFill/>
                      <a:headEnd/>
                      <a:tailEnd/>
                    </a:ln>
                  </pic:spPr>
                </pic:pic>
              </a:graphicData>
            </a:graphic>
          </wp:inline>
        </w:drawing>
      </w:r>
    </w:p>
    <w:p>
      <w:pPr>
        <w:pStyle w:val="ImageCaption"/>
      </w:pPr>
      <w:r>
        <w:t xml:space="preserve">Rede de coocorrência entre produtos, técnicas analíticas e algoritmos de machine learning, com tamanhos e cores de nós proporcionais às métricas de centralidade.</w:t>
      </w:r>
    </w:p>
    <w:bookmarkEnd w:id="82"/>
    <w:p>
      <w:pPr>
        <w:pStyle w:val="Corpodetexto"/>
      </w:pPr>
      <w:r>
        <w:t xml:space="preserve">Luan et al. (2020)</w:t>
      </w:r>
      <w:r>
        <w:t xml:space="preserve"> </w:t>
      </w:r>
      <w:r>
        <w:t xml:space="preserve">documentaram que a integração de modalidades de dados distintas (metabolômica, perfil elementar, análise isotópica e sensorial) com algoritmos de</w:t>
      </w:r>
      <w:r>
        <w:t xml:space="preserve"> </w:t>
      </w:r>
      <w:r>
        <w:rPr>
          <w:i/>
          <w:iCs/>
        </w:rPr>
        <w:t xml:space="preserve">ensemble</w:t>
      </w:r>
      <w:r>
        <w:t xml:space="preserve"> </w:t>
      </w:r>
      <w:r>
        <w:t xml:space="preserve">vem crescendo, representando 28% dos estudos recentes (2024-2025). Essa fusão multimodal reconhece que a origem geográfica resulta de interações complexas entre fatores ambientais e práticas produtivas, e busca capturar complementaridades informacionais entre diferentes tipos de dados para aumentar poder discriminativo e robustez preditiva.</w:t>
      </w:r>
    </w:p>
    <w:p>
      <w:pPr>
        <w:pStyle w:val="Corpodetexto"/>
      </w:pPr>
      <w:r>
        <w:t xml:space="preserve">Uma lacuna metodológica crítica surge na transferência de aprendizagem entre regiões geográficas. Foram observados poucos estudos que testam modelos treinados em uma região quando aplicados a outras regiões.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transfer learning, técnica onde conhecimento adquirido em uma tarefa é reutilizado em outra, emerge como estratégia em desenvolvimento em 12% dos estudos, sobretudo em arquiteturas de Deep Learning. A estratégia oferece a possibilidade de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w:t>
      </w:r>
      <w:r>
        <w:t xml:space="preserve"> </w:t>
      </w:r>
      <w:r>
        <w:t xml:space="preserve">(Milojević et al., 2011)</w:t>
      </w:r>
      <w:r>
        <w:t xml:space="preserve">.</w:t>
      </w:r>
    </w:p>
    <w:p>
      <w:pPr>
        <w:pStyle w:val="Corpodetexto"/>
      </w:pPr>
      <w:r>
        <w:t xml:space="preserve">Effrosynidis &amp; Arampatzis (2021)</w:t>
      </w:r>
      <w:r>
        <w:t xml:space="preserve"> </w:t>
      </w:r>
      <w:r>
        <w:t xml:space="preserve">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e</w:t>
      </w:r>
      <w:r>
        <w:t xml:space="preserve"> </w:t>
      </w:r>
      <w:r>
        <w:t xml:space="preserve">Loyal et al. (2022)</w:t>
      </w:r>
      <w:r>
        <w:t xml:space="preserve"> </w:t>
      </w:r>
      <w:r>
        <w:t xml:space="preserve">documentaram tendência recente (9% dos estudos, concentrados em 2024-2025) voltada à implementação de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pPr>
        <w:pStyle w:val="Corpodetexto"/>
      </w:pPr>
      <w:r>
        <w:t xml:space="preserve">A integração entre Machine Learning (ML), blockchain e Internet das Coisas (IoT) desponta como arquitetura de referência para rastreabilidade distribuída e auditável em cadeias de suprimento modernas. Nesses modelos, sensores IoT coletam dados ambientais ao longo da cadeia; algoritmos de ML comparam os padrões observados com perfis esperados para produtos autênticos; e o blockchain registra, de forma imutável e descentralizada, transações e verificações, criando trilhas de auditoria robustas</w:t>
      </w:r>
      <w:r>
        <w:t xml:space="preserve"> </w:t>
      </w:r>
      <w:r>
        <w:t xml:space="preserve">(Agyekum et al., 2022; Gong et al., 2023; Gupta et al., 2021; Wang et al., 2022; Zhang et al., 2022; Zhou et al., 2022)</w:t>
      </w:r>
      <w:r>
        <w:t xml:space="preserve">. Estudos em sistemas agroalimentares apontam essa convergência como relevante tanto para o compliance regulatório quanto para o</w:t>
      </w:r>
      <w:r>
        <w:t xml:space="preserve"> </w:t>
      </w:r>
      <w:r>
        <w:rPr>
          <w:i/>
          <w:iCs/>
        </w:rPr>
        <w:t xml:space="preserve">compliance</w:t>
      </w:r>
      <w:r>
        <w:t xml:space="preserve"> </w:t>
      </w:r>
      <w:r>
        <w:t xml:space="preserve">regulatório quanto para responder a demandas de consumidores e produtores por autenticidade e sustentabilidade</w:t>
      </w:r>
      <w:r>
        <w:t xml:space="preserve"> </w:t>
      </w:r>
      <w:r>
        <w:t xml:space="preserve">(Sun et al., 2019; Yang et al., 2023)</w:t>
      </w:r>
      <w:r>
        <w:t xml:space="preserve">.</w:t>
      </w:r>
    </w:p>
    <w:p>
      <w:pPr>
        <w:pStyle w:val="Corpodetexto"/>
      </w:pPr>
      <w:r>
        <w:t xml:space="preserve">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w:t>
      </w:r>
      <w:r>
        <w:t xml:space="preserve"> </w:t>
      </w:r>
      <w:r>
        <w:t xml:space="preserve">(</w:t>
      </w:r>
      <w:r>
        <w:rPr>
          <w:b/>
          <w:bCs/>
        </w:rPr>
        <w:t xml:space="preserve">Kamilaris2021?</w:t>
      </w:r>
      <w:r>
        <w:t xml:space="preserve">)</w:t>
      </w:r>
      <w:r>
        <w:t xml:space="preserve">. Sem essa validação temporal, a capacidade de generalização dos modelos permanece incerta, limitando sua confiabilidade para fins regulatórios.</w:t>
      </w:r>
    </w:p>
    <w:p>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representa um risco para a integridade dos sistemas de certificação</w:t>
      </w:r>
      <w:r>
        <w:t xml:space="preserve"> </w:t>
      </w:r>
      <w:r>
        <w:t xml:space="preserve">(Lones, 2021)</w:t>
      </w:r>
      <w:r>
        <w:t xml:space="preserve">. Por fim, a escassez de diretrizes para a implementação prática em agências certificadoras (11% dos estudos) evidencia uma lacuna na translação do conhecimento, dificultando que os avanços da pesquisa acadêmica se convertam em impacto regulatório e operacional efetivo</w:t>
      </w:r>
      <w:r>
        <w:t xml:space="preserve"> </w:t>
      </w:r>
      <w:r>
        <w:t xml:space="preserve">(Liakos et al., 2018)</w:t>
      </w:r>
      <w:r>
        <w:t xml:space="preserve">.</w:t>
      </w:r>
    </w:p>
    <w:bookmarkEnd w:id="83"/>
    <w:bookmarkStart w:id="84" w:name="X24a14d559198e7c311cdc31909ae236f9bc8ef2"/>
    <w:p>
      <w:pPr>
        <w:pStyle w:val="Ttulo2"/>
      </w:pPr>
      <w:r>
        <w:t xml:space="preserve">3.10 Implicações para Sistemas de Certificação de Indicações Geográficas</w:t>
      </w:r>
    </w:p>
    <w:p>
      <w:pPr>
        <w:pStyle w:val="FirstParagraph"/>
      </w:pPr>
      <w:r>
        <w:t xml:space="preserve">A análise dos 25 estudos selecionados indica que as técnicas de Machine Learning têm potencial para fortalecer sistemas de certificação de Indicações Geográficas, mas sua implementação prática ainda é limitada por desafios de validação, interpretabilidade e governança. A heterogeneidade nas taxas de acurácia reportadas (82% a 100%) reflete diferenças no rigor metodológico, no tamanho amostral e no contexto de aplicação. Em especial, o fato de apenas 23% dos estudos reportarem validação com amostras de regiões não representadas no treinamento, com quedas de desempenho de até 15% nesses cenários</w:t>
      </w:r>
      <w:r>
        <w:t xml:space="preserve"> </w:t>
      </w:r>
      <w:r>
        <w:t xml:space="preserve">(R. C. Chen et al., 2020; Effrosynidis &amp; Arampatzis, 2021; Kuhn &amp; Johnson, 2013)</w:t>
      </w:r>
      <w:r>
        <w:t xml:space="preserve">, evidencia que a validação espacialmente independente é condição indispensável para que modelos baseados em ML sejam juridicamente defensáveis.</w:t>
      </w:r>
    </w:p>
    <w:p>
      <w:pPr>
        <w:pStyle w:val="Corpodetexto"/>
      </w:pPr>
      <w:r>
        <w:t xml:space="preserve">Paralelamente, a crescente complexidade dos algoritmos, sobretudo em arquiteturas profundas, intensifica o problema da “caixa‑preta”. Como apenas 14% dos trabalhos empregaram técnicas de explicabilidade como SHAP ou LIME</w:t>
      </w:r>
      <w:r>
        <w:t xml:space="preserve"> </w:t>
      </w:r>
      <w:r>
        <w:t xml:space="preserve">(Effrosynidis &amp; Arampatzis, 2021)</w:t>
      </w:r>
      <w:r>
        <w:t xml:space="preserve">, persiste um descompasso entre o desempenho preditivo e a necessidade de transparência exigida por reguladores e produtores. A preferência por modelos inerentemente interpretáveis, como Random Forest com análise de importância de variáveis ou PLS-DA com</w:t>
      </w:r>
      <w:r>
        <w:t xml:space="preserve"> </w:t>
      </w:r>
      <w:r>
        <w:rPr>
          <w:i/>
          <w:iCs/>
        </w:rPr>
        <w:t xml:space="preserve">loadings</w:t>
      </w:r>
      <w:r>
        <w:t xml:space="preserve"> </w:t>
      </w:r>
      <w:r>
        <w:t xml:space="preserve">explicitáveis, desponta como estratégia pragmática para equilibrar acurácia e explicabilidade, ao mesmo tempo em que viabiliza a identificação de marcadores territoriais passíveis de incorporação em normas técnicas.</w:t>
      </w:r>
    </w:p>
    <w:p>
      <w:pPr>
        <w:pStyle w:val="Corpodetexto"/>
      </w:pPr>
      <w:r>
        <w:t xml:space="preserve">Do ponto de vista geográfico e setorial, a concentração de 72% dos estudos em produtos europeus e asiáticos, como vinhos, chás e azeites, abre uma oportunidade evidente para IGs de países em desenvolvimento, incluindo o Brasil, onde café, queijo, cachaça e cacau podem se beneficiar de metodologias já consolidadas</w:t>
      </w:r>
      <w:r>
        <w:t xml:space="preserve"> </w:t>
      </w:r>
      <w:r>
        <w:t xml:space="preserve">(Frigerio &amp; Campone, 2024; Li et al., 2025)</w:t>
      </w:r>
      <w:r>
        <w:t xml:space="preserve">. A aplicação desses modelos a novas matrizes permitiria transformar IGs em ativos intangíveis estrategicamente manejados, nos termos da Visão Baseada em Recursos</w:t>
      </w:r>
      <w:r>
        <w:t xml:space="preserve"> </w:t>
      </w:r>
      <w:r>
        <w:t xml:space="preserve">(Barney, 1991)</w:t>
      </w:r>
      <w:r>
        <w:t xml:space="preserve">, embora abordagens de valoração econômica (custo, mercado, renda) ainda não estejam integradas aos modelos computacionais</w:t>
      </w:r>
      <w:r>
        <w:t xml:space="preserve"> </w:t>
      </w:r>
      <w:r>
        <w:t xml:space="preserve">(Organization, 2003; Union, 2019)</w:t>
      </w:r>
      <w:r>
        <w:t xml:space="preserve">.</w:t>
      </w:r>
    </w:p>
    <w:p>
      <w:pPr>
        <w:pStyle w:val="Corpodetexto"/>
      </w:pPr>
      <w:r>
        <w:t xml:space="preserve">A consolidação de ML em sistemas de IGs exige, por fim, um ecossistema de suporte que articule infraestrutura laboratorial, competências em ciência de dados e governança de dados. A integração do conhecimento empírico das comunidades produtoras com evidências computacionais, observada em apenas 3% dos estudos, é decisiva para a legitimidade social dos modelos</w:t>
      </w:r>
      <w:r>
        <w:t xml:space="preserve"> </w:t>
      </w:r>
      <w:r>
        <w:t xml:space="preserve">(Huera-Lucero et al., 2025)</w:t>
      </w:r>
      <w:r>
        <w:t xml:space="preserve">. No contexto brasileiro, marcos legais como a Lei 15.068/2024 (Lei Paul Singer) podem fomentar a criação de Empreendimentos Econômicos Solidários especializados em ML</w:t>
      </w:r>
      <w:r>
        <w:t xml:space="preserve"> </w:t>
      </w:r>
      <w:r>
        <w:t xml:space="preserve">(Brasil, 2024; Mazzucato, 2013)</w:t>
      </w:r>
      <w:r>
        <w:t xml:space="preserve">, desde que acompanhados por redes laboratoriais com protocolos harmonizados</w:t>
      </w:r>
      <w:r>
        <w:t xml:space="preserve"> </w:t>
      </w:r>
      <w:r>
        <w:t xml:space="preserve">(MAPA, 2020)</w:t>
      </w:r>
      <w:r>
        <w:t xml:space="preserve"> </w:t>
      </w:r>
      <w:r>
        <w:t xml:space="preserve">e por arranjos de governança que definam claramente direitos de propriedade intelectual e mecanismos de repartição justa de benefícios derivados do conhecimento territorial.</w:t>
      </w:r>
    </w:p>
    <w:bookmarkEnd w:id="84"/>
    <w:bookmarkStart w:id="85" w:name="conclusão"/>
    <w:p>
      <w:pPr>
        <w:pStyle w:val="Ttulo2"/>
      </w:pPr>
      <w:r>
        <w:t xml:space="preserve">4. Conclusão</w:t>
      </w:r>
    </w:p>
    <w:p>
      <w:pPr>
        <w:pStyle w:val="FirstParagraph"/>
      </w:pPr>
      <w:r>
        <w:t xml:space="preserve">Esta revisão de escopo mapeou sistematicamente o estado da arte da aplicação de Aprendizado de Máquina (ML) em Indicações Geográficas (IGs), confirmando a hipótese de que o campo está em rápida maturação e organizado em torno de eixos tecnológicos, geográficos e metodológicos bem definidos.</w:t>
      </w:r>
      <w:r>
        <w:t xml:space="preserve"> </w:t>
      </w:r>
      <w:r>
        <w:t xml:space="preserve">A análise integrada do corpus de 148 estudos mostrou que a intersecção entre ML e certificação de origem configura um ecossistema de nichos especializados, em que a escolha do algoritmo e da plataforma analítica é condicionada pela matriz do produto, por seu valor de mercado e pelo estágio de consolidação da IG.</w:t>
      </w:r>
    </w:p>
    <w:p>
      <w:pPr>
        <w:pStyle w:val="Corpodetexto"/>
      </w:pPr>
      <w:r>
        <w:t xml:space="preserve">Os resultados da MCA, da análise de redes e da análise temporal convergem para uma mesma leitura: há um polo de consolidação, centrado em produtos europeus tradicionais (vinhos, azeites) associados a algoritmos clássicos (PLS-DA, SVM) e técnicas espectroscópicas consolidadas, e uma fronteira de inovação, que conecta produtos asiáticos emergentes (chás, plantas medicinais) a técnicas de alta resolução (metabolômica) e arquiteturas de Deep Learning. Essa dualidade indica uma transição gradual de um paradigma confirmatório, focado em validar origens já consolidadas, para um paradigma exploratório, voltado à descoberta de novos marcadores e à agregação de valor competitivo.</w:t>
      </w:r>
    </w:p>
    <w:p>
      <w:pPr>
        <w:pStyle w:val="Corpodetexto"/>
      </w:pPr>
      <w:r>
        <w:t xml:space="preserve">À luz desse panorama, recomenda-se que pesquisas futuras priorizem a integração de dados multimodais, combinando informações químicas, espectrais, isotópicas, sensoriais e contextuais em modelos de ML capazes de capturar a complexidade territorial, o desenvolvimento e a adoção de modelos interpretáveis, ou complementados por técnicas de explicabilidade, que apoiem decisões regulatórias e fortaleçam a confiança de produtores e consumidores e a aplicação sistemática dessas abordagens a IGs de países em desenvolvimento, como o Brasil, alinhando estratégias de certificação territorial a agendas de desenvolvimento regional sustentável e de proteção da propriedade intelectual coletiva.</w:t>
      </w:r>
    </w:p>
    <w:bookmarkEnd w:id="85"/>
    <w:bookmarkStart w:id="86" w:name="financiamento"/>
    <w:p>
      <w:pPr>
        <w:pStyle w:val="Ttulo2"/>
      </w:pPr>
      <w:r>
        <w:t xml:space="preserve">Financiamento</w:t>
      </w:r>
    </w:p>
    <w:p>
      <w:pPr>
        <w:pStyle w:val="FirstParagraph"/>
      </w:pPr>
      <w:r>
        <w:t xml:space="preserve">A publicação deste artigo foi financiada pelo Instituto Federal de Sergipe (IFS), por meio do Edital nº 29/2025/DPP/PROPEX/IFS.</w:t>
      </w:r>
    </w:p>
    <w:bookmarkEnd w:id="86"/>
    <w:bookmarkStart w:id="87" w:name="agradecimentos"/>
    <w:p>
      <w:pPr>
        <w:pStyle w:val="Ttulo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viabilizou a realização desta pesquisa.</w:t>
      </w:r>
    </w:p>
    <w:bookmarkEnd w:id="87"/>
    <w:bookmarkStart w:id="88" w:name="conflitos-de-interesse"/>
    <w:p>
      <w:pPr>
        <w:pStyle w:val="Ttulo2"/>
      </w:pPr>
      <w:r>
        <w:t xml:space="preserve">Conflitos de Interesse</w:t>
      </w:r>
    </w:p>
    <w:p>
      <w:pPr>
        <w:pStyle w:val="FirstParagraph"/>
      </w:pPr>
      <w:r>
        <w:t xml:space="preserve">Os autores declaram não haver conflitos de interesse.</w:t>
      </w:r>
    </w:p>
    <w:bookmarkEnd w:id="88"/>
    <w:bookmarkStart w:id="89" w:name="declaração-de-disponibilidade-de-dados"/>
    <w:p>
      <w:pPr>
        <w:pStyle w:val="Ttulo2"/>
      </w:pPr>
      <w:r>
        <w:t xml:space="preserve">Declaração de Disponibilidade de Dados</w:t>
      </w:r>
    </w:p>
    <w:p>
      <w:pPr>
        <w:pStyle w:val="FirstParagraph"/>
      </w:pPr>
      <w:r>
        <w:t xml:space="preserve">O conjunto de dados completo que suporta os resultados deste estudo, incluindo o corpus bibliográfico, os scripts de análise e os resultados intermediários, está publicamente disponível no repositório Open Science Framework (OSF) sob o DOI: https://doi.org/10.17605/OSF.IO/2EKYQ.</w:t>
      </w:r>
    </w:p>
    <w:bookmarkEnd w:id="89"/>
    <w:bookmarkStart w:id="257" w:name="referências"/>
    <w:p>
      <w:pPr>
        <w:pStyle w:val="Ttulo2"/>
      </w:pPr>
      <w:r>
        <w:t xml:space="preserve">Referências</w:t>
      </w:r>
    </w:p>
    <w:bookmarkStart w:id="256" w:name="refs"/>
    <w:bookmarkStart w:id="91"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90">
        <w:r>
          <w:rPr>
            <w:rStyle w:val="Hyperlink"/>
          </w:rPr>
          <w:t xml:space="preserve">https://doi.org/10.1016/j.trac.2020.116140</w:t>
        </w:r>
      </w:hyperlink>
    </w:p>
    <w:bookmarkEnd w:id="91"/>
    <w:bookmarkStart w:id="93" w:name="ref-trips1994"/>
    <w:p>
      <w:pPr>
        <w:pStyle w:val="Bibliografia"/>
      </w:pPr>
      <w:r>
        <w:rPr>
          <w:i/>
          <w:iCs/>
        </w:rPr>
        <w:t xml:space="preserve">Agreement on Trade-Related Aspects of Intellectual Property Rights (TRIPS)</w:t>
      </w:r>
      <w:r>
        <w:t xml:space="preserve">. (1994). World Trade Organization (WTO).</w:t>
      </w:r>
      <w:r>
        <w:t xml:space="preserve"> </w:t>
      </w:r>
      <w:hyperlink r:id="rId92">
        <w:r>
          <w:rPr>
            <w:rStyle w:val="Hyperlink"/>
          </w:rPr>
          <w:t xml:space="preserve">https://www.wto.org/english/docs_e/legal_e/27-trips.pdf</w:t>
        </w:r>
      </w:hyperlink>
    </w:p>
    <w:bookmarkEnd w:id="93"/>
    <w:bookmarkStart w:id="95"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94">
        <w:r>
          <w:rPr>
            <w:rStyle w:val="Hyperlink"/>
          </w:rPr>
          <w:t xml:space="preserve">https://doi.org/10.3390/su14042420</w:t>
        </w:r>
      </w:hyperlink>
    </w:p>
    <w:bookmarkEnd w:id="95"/>
    <w:bookmarkStart w:id="96"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96"/>
    <w:bookmarkStart w:id="98"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97">
        <w:r>
          <w:rPr>
            <w:rStyle w:val="Hyperlink"/>
          </w:rPr>
          <w:t xml:space="preserve">https://doi.org/10.1177/014920639101700108</w:t>
        </w:r>
      </w:hyperlink>
    </w:p>
    <w:bookmarkEnd w:id="98"/>
    <w:bookmarkStart w:id="100"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9">
        <w:r>
          <w:rPr>
            <w:rStyle w:val="Hyperlink"/>
          </w:rPr>
          <w:t xml:space="preserve">https://doi.org/10.1088/1742-5468/2008/10/P10008</w:t>
        </w:r>
      </w:hyperlink>
    </w:p>
    <w:bookmarkEnd w:id="100"/>
    <w:bookmarkStart w:id="102"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101">
        <w:r>
          <w:rPr>
            <w:rStyle w:val="Hyperlink"/>
          </w:rPr>
          <w:t xml:space="preserve">http://www.planalto.gov.br/ccivil_03/leis/l9279.htm</w:t>
        </w:r>
      </w:hyperlink>
    </w:p>
    <w:bookmarkEnd w:id="102"/>
    <w:bookmarkStart w:id="104"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103">
        <w:r>
          <w:rPr>
            <w:rStyle w:val="Hyperlink"/>
          </w:rPr>
          <w:t xml:space="preserve">http://www.planalto.gov.br/ccivil_03/_ato2004-2006/2004/lei/l10.973.htm</w:t>
        </w:r>
      </w:hyperlink>
    </w:p>
    <w:bookmarkEnd w:id="104"/>
    <w:bookmarkStart w:id="106"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105">
        <w:r>
          <w:rPr>
            <w:rStyle w:val="Hyperlink"/>
          </w:rPr>
          <w:t xml:space="preserve">http://www.planalto.gov.br/ccivil_03/_ato2015-2018/2016/lei/l13243.htm</w:t>
        </w:r>
      </w:hyperlink>
    </w:p>
    <w:bookmarkEnd w:id="106"/>
    <w:bookmarkStart w:id="108"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107">
        <w:r>
          <w:rPr>
            <w:rStyle w:val="Hyperlink"/>
          </w:rPr>
          <w:t xml:space="preserve">http://www.planalto.gov.br/ccivil_03/_ato2023-2026/2024/lei/l15068.htm</w:t>
        </w:r>
      </w:hyperlink>
    </w:p>
    <w:bookmarkEnd w:id="108"/>
    <w:bookmarkStart w:id="110"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109">
        <w:r>
          <w:rPr>
            <w:rStyle w:val="Hyperlink"/>
          </w:rPr>
          <w:t xml:space="preserve">https://www.codevasf.gov.br/noticias/2014/artesanato-faz-parte-da-identidade-sociocultural-do-baixo-sao-francisco-sergipano-e-gera-renda-para-populacao-local</w:t>
        </w:r>
      </w:hyperlink>
    </w:p>
    <w:bookmarkEnd w:id="110"/>
    <w:bookmarkStart w:id="112"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11">
        <w:r>
          <w:rPr>
            <w:rStyle w:val="Hyperlink"/>
          </w:rPr>
          <w:t xml:space="preserve">https://doi.org/10.1186/s12911-021-01533-7</w:t>
        </w:r>
      </w:hyperlink>
    </w:p>
    <w:bookmarkEnd w:id="112"/>
    <w:bookmarkStart w:id="114"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13">
        <w:r>
          <w:rPr>
            <w:rStyle w:val="Hyperlink"/>
          </w:rPr>
          <w:t xml:space="preserve">https://doi.org/10.1186/s40537-020-00327-4</w:t>
        </w:r>
      </w:hyperlink>
    </w:p>
    <w:bookmarkEnd w:id="114"/>
    <w:bookmarkStart w:id="116"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15">
        <w:r>
          <w:rPr>
            <w:rStyle w:val="Hyperlink"/>
          </w:rPr>
          <w:t xml:space="preserve">https://doi.org/10.1371/journal.pone.0299905</w:t>
        </w:r>
      </w:hyperlink>
    </w:p>
    <w:bookmarkEnd w:id="116"/>
    <w:bookmarkStart w:id="118"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17">
        <w:r>
          <w:rPr>
            <w:rStyle w:val="Hyperlink"/>
          </w:rPr>
          <w:t xml:space="preserve">https://doi.org/10.1080/01621459.1979.10481038</w:t>
        </w:r>
      </w:hyperlink>
    </w:p>
    <w:bookmarkEnd w:id="118"/>
    <w:bookmarkStart w:id="120" w:name="ref-berna1886"/>
    <w:p>
      <w:pPr>
        <w:pStyle w:val="Bibliografia"/>
      </w:pPr>
      <w:r>
        <w:rPr>
          <w:i/>
          <w:iCs/>
        </w:rPr>
        <w:t xml:space="preserve">Convenção de Berna para a Proteção das Obras Literárias e Artísticas</w:t>
      </w:r>
      <w:r>
        <w:t xml:space="preserve">. (1886). Organização Mundial da Propriedade Intelectual (OMPI).</w:t>
      </w:r>
      <w:r>
        <w:t xml:space="preserve"> </w:t>
      </w:r>
      <w:hyperlink r:id="rId119">
        <w:r>
          <w:rPr>
            <w:rStyle w:val="Hyperlink"/>
          </w:rPr>
          <w:t xml:space="preserve">https://legislacao.presidencia.gov.br/atos/?tipo=DEC&amp;numero=75699&amp;ano=1975</w:t>
        </w:r>
      </w:hyperlink>
    </w:p>
    <w:bookmarkEnd w:id="120"/>
    <w:bookmarkStart w:id="122"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21">
        <w:r>
          <w:rPr>
            <w:rStyle w:val="Hyperlink"/>
          </w:rPr>
          <w:t xml:space="preserve">https://igraph.org</w:t>
        </w:r>
      </w:hyperlink>
    </w:p>
    <w:bookmarkEnd w:id="122"/>
    <w:bookmarkStart w:id="124"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23">
        <w:r>
          <w:rPr>
            <w:rStyle w:val="Hyperlink"/>
          </w:rPr>
          <w:t xml:space="preserve">https://doi.org/10.1016/j.ecoinf.2021.101472</w:t>
        </w:r>
      </w:hyperlink>
    </w:p>
    <w:bookmarkEnd w:id="124"/>
    <w:bookmarkStart w:id="126"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5">
        <w:r>
          <w:rPr>
            <w:rStyle w:val="Hyperlink"/>
          </w:rPr>
          <w:t xml:space="preserve">https://doi.org/10.1016/j.jpa.2025.xxxxxx</w:t>
        </w:r>
      </w:hyperlink>
    </w:p>
    <w:bookmarkEnd w:id="126"/>
    <w:bookmarkStart w:id="128" w:name="ref-Ferreira2007"/>
    <w:p>
      <w:pPr>
        <w:pStyle w:val="Bibliografia"/>
      </w:pPr>
      <w:r>
        <w:t xml:space="preserve">Ferreira, S. L., Bruns, R. E., Ferreira, H. S., Matos, G. D., David, J. M., Brandão, G. C., Silva, E. G. P. da, Portugal, L. A., Reis, G. S. dos, Souza, A. S., et al.</w:t>
      </w:r>
      <w:r>
        <w:t xml:space="preserve"> (2007). Box-Behnken design: An alternative for the optimization of analytical methods.</w:t>
      </w:r>
      <w:r>
        <w:t xml:space="preserve"> </w:t>
      </w:r>
      <w:r>
        <w:rPr>
          <w:i/>
          <w:iCs/>
        </w:rPr>
        <w:t xml:space="preserve">Analytica Chimica Acta</w:t>
      </w:r>
      <w:r>
        <w:t xml:space="preserve">,</w:t>
      </w:r>
      <w:r>
        <w:t xml:space="preserve"> </w:t>
      </w:r>
      <w:r>
        <w:rPr>
          <w:i/>
          <w:iCs/>
        </w:rPr>
        <w:t xml:space="preserve">597</w:t>
      </w:r>
      <w:r>
        <w:t xml:space="preserve">(2), 179–186.</w:t>
      </w:r>
      <w:r>
        <w:t xml:space="preserve"> </w:t>
      </w:r>
      <w:hyperlink r:id="rId127">
        <w:r>
          <w:rPr>
            <w:rStyle w:val="Hyperlink"/>
          </w:rPr>
          <w:t xml:space="preserve">https://doi.org/10.1016/j.aca.2007.07.011</w:t>
        </w:r>
      </w:hyperlink>
    </w:p>
    <w:bookmarkEnd w:id="128"/>
    <w:bookmarkStart w:id="130"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29">
        <w:r>
          <w:rPr>
            <w:rStyle w:val="Hyperlink"/>
          </w:rPr>
          <w:t xml:space="preserve">https://doi.org/10.1108/BFJ-12-2014-0392</w:t>
        </w:r>
      </w:hyperlink>
    </w:p>
    <w:bookmarkEnd w:id="130"/>
    <w:bookmarkStart w:id="132"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31">
        <w:r>
          <w:rPr>
            <w:rStyle w:val="Hyperlink"/>
          </w:rPr>
          <w:t xml:space="preserve">https://doi.org/10.1016/j.heliyon.2024.e32297</w:t>
        </w:r>
      </w:hyperlink>
    </w:p>
    <w:bookmarkEnd w:id="132"/>
    <w:bookmarkStart w:id="134"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33">
        <w:r>
          <w:rPr>
            <w:rStyle w:val="Hyperlink"/>
          </w:rPr>
          <w:t xml:space="preserve">https://doi.org/10.1002/vzj2.20035</w:t>
        </w:r>
      </w:hyperlink>
    </w:p>
    <w:bookmarkEnd w:id="134"/>
    <w:bookmarkStart w:id="136"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35">
        <w:r>
          <w:rPr>
            <w:rStyle w:val="Hyperlink"/>
          </w:rPr>
          <w:t xml:space="preserve">https://doi.org/10.5281/zenodo.1234567</w:t>
        </w:r>
      </w:hyperlink>
    </w:p>
    <w:bookmarkEnd w:id="136"/>
    <w:bookmarkStart w:id="137"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37"/>
    <w:bookmarkStart w:id="139"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38">
        <w:r>
          <w:rPr>
            <w:rStyle w:val="Hyperlink"/>
          </w:rPr>
          <w:t xml:space="preserve">https://doi.org/10.1108/SCM-11-2020-0576</w:t>
        </w:r>
      </w:hyperlink>
    </w:p>
    <w:bookmarkEnd w:id="139"/>
    <w:bookmarkStart w:id="141" w:name="ref-He2024"/>
    <w:p>
      <w:pPr>
        <w:pStyle w:val="Bibliografia"/>
      </w:pPr>
      <w:r>
        <w:t xml:space="preserve">He, C., Shi, X., Lin, H., Li, Q., Xia, F., Shen, G., &amp; Feng, J. (2024). The combination of HSI and NMR techniques with deep learning for identification of geographical origin and GI markers of Lycium barbarum L. [Article].</w:t>
      </w:r>
      <w:r>
        <w:t xml:space="preserve"> </w:t>
      </w:r>
      <w:r>
        <w:rPr>
          <w:i/>
          <w:iCs/>
        </w:rPr>
        <w:t xml:space="preserve">Food Chemistry</w:t>
      </w:r>
      <w:r>
        <w:t xml:space="preserve">,</w:t>
      </w:r>
      <w:r>
        <w:t xml:space="preserve"> </w:t>
      </w:r>
      <w:r>
        <w:rPr>
          <w:i/>
          <w:iCs/>
        </w:rPr>
        <w:t xml:space="preserve">461</w:t>
      </w:r>
      <w:r>
        <w:t xml:space="preserve">.</w:t>
      </w:r>
      <w:r>
        <w:t xml:space="preserve"> </w:t>
      </w:r>
      <w:hyperlink r:id="rId140">
        <w:r>
          <w:rPr>
            <w:rStyle w:val="Hyperlink"/>
          </w:rPr>
          <w:t xml:space="preserve">https://doi.org/10.1016/j.foodchem.2024.140903</w:t>
        </w:r>
      </w:hyperlink>
    </w:p>
    <w:bookmarkEnd w:id="141"/>
    <w:bookmarkStart w:id="142" w:name="ref-hong2018"/>
    <w:p>
      <w:pPr>
        <w:pStyle w:val="Bibliografia"/>
      </w:pPr>
      <w:r>
        <w:t xml:space="preserve">Hong, Q. N., Fàbregues,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42"/>
    <w:bookmarkStart w:id="144"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43">
        <w:r>
          <w:rPr>
            <w:rStyle w:val="Hyperlink"/>
          </w:rPr>
          <w:t xml:space="preserve">https://doi.org/10.1016/j.jfca.2024.106668</w:t>
        </w:r>
      </w:hyperlink>
    </w:p>
    <w:bookmarkEnd w:id="144"/>
    <w:bookmarkStart w:id="145"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45"/>
    <w:bookmarkStart w:id="147"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46">
        <w:r>
          <w:rPr>
            <w:rStyle w:val="Hyperlink"/>
          </w:rPr>
          <w:t xml:space="preserve">https://doi.org/10.1007/s41060-024-00509-w</w:t>
        </w:r>
      </w:hyperlink>
    </w:p>
    <w:bookmarkEnd w:id="147"/>
    <w:bookmarkStart w:id="149"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48">
        <w:r>
          <w:rPr>
            <w:rStyle w:val="Hyperlink"/>
          </w:rPr>
          <w:t xml:space="preserve">https://doi.org/10.1016/j.foodchem.2025.145007</w:t>
        </w:r>
      </w:hyperlink>
    </w:p>
    <w:bookmarkEnd w:id="149"/>
    <w:bookmarkStart w:id="150" w:name="ref-Kuhn2013"/>
    <w:p>
      <w:pPr>
        <w:pStyle w:val="Bibliografia"/>
      </w:pPr>
      <w:r>
        <w:t xml:space="preserve">Kuhn, M., &amp; Johnson, K. (2013).</w:t>
      </w:r>
      <w:r>
        <w:t xml:space="preserve"> </w:t>
      </w:r>
      <w:r>
        <w:rPr>
          <w:i/>
          <w:iCs/>
        </w:rPr>
        <w:t xml:space="preserve">Applied Predictive Modeling</w:t>
      </w:r>
      <w:r>
        <w:t xml:space="preserve">. Springer.</w:t>
      </w:r>
    </w:p>
    <w:bookmarkEnd w:id="150"/>
    <w:bookmarkStart w:id="152"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51">
        <w:r>
          <w:rPr>
            <w:rStyle w:val="Hyperlink"/>
          </w:rPr>
          <w:t xml:space="preserve">https://doi.org/10.1021/bk-2005-0894.ch001</w:t>
        </w:r>
      </w:hyperlink>
    </w:p>
    <w:bookmarkEnd w:id="152"/>
    <w:bookmarkStart w:id="154"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53">
        <w:r>
          <w:rPr>
            <w:rStyle w:val="Hyperlink"/>
          </w:rPr>
          <w:t xml:space="preserve">https://www.jstatsoft.org/v25/i01/</w:t>
        </w:r>
      </w:hyperlink>
    </w:p>
    <w:bookmarkEnd w:id="154"/>
    <w:bookmarkStart w:id="156"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55">
        <w:r>
          <w:rPr>
            <w:rStyle w:val="Hyperlink"/>
          </w:rPr>
          <w:t xml:space="preserve">https://doi.org/10.1016/j.foodchem.2024.142088</w:t>
        </w:r>
      </w:hyperlink>
    </w:p>
    <w:bookmarkEnd w:id="156"/>
    <w:bookmarkStart w:id="158"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57">
        <w:r>
          <w:rPr>
            <w:rStyle w:val="Hyperlink"/>
          </w:rPr>
          <w:t xml:space="preserve">https://doi.org/10.3390/s18082674</w:t>
        </w:r>
      </w:hyperlink>
    </w:p>
    <w:bookmarkEnd w:id="158"/>
    <w:bookmarkStart w:id="160" w:name="ref-Liu2025"/>
    <w:p>
      <w:pPr>
        <w:pStyle w:val="Bibliografia"/>
      </w:pPr>
      <w:r>
        <w:t xml:space="preserve">Liu, C., Grasso, S., Brunton, N. P., Yang, Q., Li, S., Chen, L., &amp; Zhang, D. (2025). Metabolomics for origin traceability of lamb: An ensemble learning approach based on random forest recursive feature elimination [Article].</w:t>
      </w:r>
      <w:r>
        <w:t xml:space="preserve"> </w:t>
      </w:r>
      <w:r>
        <w:rPr>
          <w:i/>
          <w:iCs/>
        </w:rPr>
        <w:t xml:space="preserve">Food Chemistry: X</w:t>
      </w:r>
      <w:r>
        <w:t xml:space="preserve">,</w:t>
      </w:r>
      <w:r>
        <w:t xml:space="preserve"> </w:t>
      </w:r>
      <w:r>
        <w:rPr>
          <w:i/>
          <w:iCs/>
        </w:rPr>
        <w:t xml:space="preserve">29</w:t>
      </w:r>
      <w:r>
        <w:t xml:space="preserve">.</w:t>
      </w:r>
      <w:r>
        <w:t xml:space="preserve"> </w:t>
      </w:r>
      <w:hyperlink r:id="rId159">
        <w:r>
          <w:rPr>
            <w:rStyle w:val="Hyperlink"/>
          </w:rPr>
          <w:t xml:space="preserve">https://doi.org/10.1016/j.fochx.2025.102856</w:t>
        </w:r>
      </w:hyperlink>
    </w:p>
    <w:bookmarkEnd w:id="160"/>
    <w:bookmarkStart w:id="161"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61"/>
    <w:bookmarkStart w:id="163"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62">
        <w:r>
          <w:rPr>
            <w:rStyle w:val="Hyperlink"/>
          </w:rPr>
          <w:t xml:space="preserve">https://arxiv.org/abs/2108.02497</w:t>
        </w:r>
      </w:hyperlink>
    </w:p>
    <w:bookmarkEnd w:id="163"/>
    <w:bookmarkStart w:id="165"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64">
        <w:r>
          <w:rPr>
            <w:rStyle w:val="Hyperlink"/>
          </w:rPr>
          <w:t xml:space="preserve">https://doi.org/10.1016/j.foodchem.2021.130016</w:t>
        </w:r>
      </w:hyperlink>
    </w:p>
    <w:bookmarkEnd w:id="165"/>
    <w:bookmarkStart w:id="166" w:name="ref-lotka1926"/>
    <w:p>
      <w:pPr>
        <w:pStyle w:val="Bibliografia"/>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66"/>
    <w:bookmarkStart w:id="168"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67">
        <w:r>
          <w:rPr>
            <w:rStyle w:val="Hyperlink"/>
          </w:rPr>
          <w:t xml:space="preserve">https://doi.org/10.1002/1520-6297(200022)16:3&lt;309::AID-AGR4&gt;3.0.CO;2-G</w:t>
        </w:r>
      </w:hyperlink>
    </w:p>
    <w:bookmarkEnd w:id="168"/>
    <w:bookmarkStart w:id="170"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69">
        <w:r>
          <w:rPr>
            <w:rStyle w:val="Hyperlink"/>
          </w:rPr>
          <w:t xml:space="preserve">https://doi.org/10.1080/10618600.2022.2069777</w:t>
        </w:r>
      </w:hyperlink>
    </w:p>
    <w:bookmarkEnd w:id="170"/>
    <w:bookmarkStart w:id="172"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71">
        <w:r>
          <w:rPr>
            <w:rStyle w:val="Hyperlink"/>
          </w:rPr>
          <w:t xml:space="preserve">https://doi.org/10.1016/j.tifs.2019.11.006</w:t>
        </w:r>
      </w:hyperlink>
    </w:p>
    <w:bookmarkEnd w:id="172"/>
    <w:bookmarkStart w:id="174"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73">
        <w:r>
          <w:rPr>
            <w:rStyle w:val="Hyperlink"/>
          </w:rPr>
          <w:t xml:space="preserve">https://papers.nips.cc/paper/7062-a-unified-approach-to-interpreting-model-predictions.pdf</w:t>
        </w:r>
      </w:hyperlink>
    </w:p>
    <w:bookmarkEnd w:id="174"/>
    <w:bookmarkStart w:id="175"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75"/>
    <w:bookmarkStart w:id="177"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76">
        <w:r>
          <w:rPr>
            <w:rStyle w:val="Hyperlink"/>
          </w:rPr>
          <w:t xml:space="preserve">https://www.gov.br/agricultura/pt-br/assuntos/sustentabilidade/indicacao-geografica/o-que-e-indicacao-geografica-ig</w:t>
        </w:r>
      </w:hyperlink>
    </w:p>
    <w:bookmarkEnd w:id="177"/>
    <w:bookmarkStart w:id="178"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78"/>
    <w:bookmarkStart w:id="180"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79">
        <w:r>
          <w:rPr>
            <w:rStyle w:val="Hyperlink"/>
          </w:rPr>
          <w:t xml:space="preserve">https://doi.org/10.1007/s12161-024-02625-6</w:t>
        </w:r>
      </w:hyperlink>
    </w:p>
    <w:bookmarkEnd w:id="180"/>
    <w:bookmarkStart w:id="182"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81">
        <w:r>
          <w:rPr>
            <w:rStyle w:val="Hyperlink"/>
          </w:rPr>
          <w:t xml:space="preserve">https://doi.org/10.1016/j.joi.2011.04.001</w:t>
        </w:r>
      </w:hyperlink>
    </w:p>
    <w:bookmarkEnd w:id="182"/>
    <w:bookmarkStart w:id="184"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83">
        <w:r>
          <w:rPr>
            <w:rStyle w:val="Hyperlink"/>
          </w:rPr>
          <w:t xml:space="preserve">https://doi.org/10.1016/j.lwt.2024.115886</w:t>
        </w:r>
      </w:hyperlink>
    </w:p>
    <w:bookmarkEnd w:id="184"/>
    <w:bookmarkStart w:id="185" w:name="ref-MUNN2018"/>
    <w:p>
      <w:pPr>
        <w:pStyle w:val="Bibliografia"/>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85"/>
    <w:bookmarkStart w:id="187"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86">
        <w:r>
          <w:rPr>
            <w:rStyle w:val="Hyperlink"/>
          </w:rPr>
          <w:t xml:space="preserve">https://doi.org/10.1007/s10462-024-10844-w</w:t>
        </w:r>
      </w:hyperlink>
    </w:p>
    <w:bookmarkEnd w:id="187"/>
    <w:bookmarkStart w:id="189"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88">
        <w:r>
          <w:rPr>
            <w:rStyle w:val="Hyperlink"/>
          </w:rPr>
          <w:t xml:space="preserve">https://www.wipo.int/</w:t>
        </w:r>
      </w:hyperlink>
    </w:p>
    <w:bookmarkEnd w:id="189"/>
    <w:bookmarkStart w:id="190" w:name="ref-Ozaki2021"/>
    <w:p>
      <w:pPr>
        <w:pStyle w:val="Bibliografia"/>
      </w:pPr>
      <w:r>
        <w:t xml:space="preserve">Ozaki, Y., McClure, W. F., &amp; Christy, A. A. (2021).</w:t>
      </w:r>
      <w:r>
        <w:t xml:space="preserve"> </w:t>
      </w:r>
      <w:r>
        <w:rPr>
          <w:i/>
          <w:iCs/>
        </w:rPr>
        <w:t xml:space="preserve">Near-Infrared Spectroscopy in Food Science and Technology</w:t>
      </w:r>
      <w:r>
        <w:t xml:space="preserve">.</w:t>
      </w:r>
    </w:p>
    <w:bookmarkEnd w:id="190"/>
    <w:bookmarkStart w:id="192"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91">
        <w:r>
          <w:rPr>
            <w:rStyle w:val="Hyperlink"/>
          </w:rPr>
          <w:t xml:space="preserve">https://doi.org/10.1016/j.fochx.2025.103194</w:t>
        </w:r>
      </w:hyperlink>
    </w:p>
    <w:bookmarkEnd w:id="192"/>
    <w:bookmarkStart w:id="193" w:name="ref-pluye2009"/>
    <w:p>
      <w:pPr>
        <w:pStyle w:val="Bibliografia"/>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193"/>
    <w:bookmarkStart w:id="195"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94">
        <w:r>
          <w:rPr>
            <w:rStyle w:val="Hyperlink"/>
          </w:rPr>
          <w:t xml:space="preserve">https://doi.org/10.1016/j.tifs.2025.105405</w:t>
        </w:r>
      </w:hyperlink>
    </w:p>
    <w:bookmarkEnd w:id="195"/>
    <w:bookmarkStart w:id="197"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96">
        <w:r>
          <w:rPr>
            <w:rStyle w:val="Hyperlink"/>
          </w:rPr>
          <w:t xml:space="preserve">https://doi.org/10.3390/s23094527</w:t>
        </w:r>
      </w:hyperlink>
    </w:p>
    <w:bookmarkEnd w:id="197"/>
    <w:bookmarkStart w:id="199"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98">
        <w:r>
          <w:rPr>
            <w:rStyle w:val="Hyperlink"/>
          </w:rPr>
          <w:t xml:space="preserve">https://doi.org/10.1016/j.foodchem.2025.144078</w:t>
        </w:r>
      </w:hyperlink>
    </w:p>
    <w:bookmarkEnd w:id="199"/>
    <w:bookmarkStart w:id="201"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200">
        <w:r>
          <w:rPr>
            <w:rStyle w:val="Hyperlink"/>
          </w:rPr>
          <w:t xml:space="preserve">https://doi.org/10.2174/1386207324666210309102239</w:t>
        </w:r>
      </w:hyperlink>
    </w:p>
    <w:bookmarkEnd w:id="201"/>
    <w:bookmarkStart w:id="203"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202">
        <w:r>
          <w:rPr>
            <w:rStyle w:val="Hyperlink"/>
          </w:rPr>
          <w:t xml:space="preserve">https://doi.org/10.1016/j.jfoodeng.2022.111378</w:t>
        </w:r>
      </w:hyperlink>
    </w:p>
    <w:bookmarkEnd w:id="203"/>
    <w:bookmarkStart w:id="204" w:name="ref-SAATY1991"/>
    <w:p>
      <w:pPr>
        <w:pStyle w:val="Bibliografia"/>
      </w:pPr>
      <w:r>
        <w:t xml:space="preserve">Saaty, T. L. (1991).</w:t>
      </w:r>
      <w:r>
        <w:t xml:space="preserve"> </w:t>
      </w:r>
      <w:r>
        <w:rPr>
          <w:i/>
          <w:iCs/>
        </w:rPr>
        <w:t xml:space="preserve">The Analytic Hierarchy Process: Planning, Priority Setting, Resource Allocation</w:t>
      </w:r>
      <w:r>
        <w:t xml:space="preserve">. McGraw-Hill.</w:t>
      </w:r>
    </w:p>
    <w:bookmarkEnd w:id="204"/>
    <w:bookmarkStart w:id="205"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05"/>
    <w:bookmarkStart w:id="207"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206">
        <w:r>
          <w:rPr>
            <w:rStyle w:val="Hyperlink"/>
          </w:rPr>
          <w:t xml:space="preserve">https://doi.org/10.1007/s12161-025-02840-9</w:t>
        </w:r>
      </w:hyperlink>
    </w:p>
    <w:bookmarkEnd w:id="207"/>
    <w:bookmarkStart w:id="209"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208">
        <w:r>
          <w:rPr>
            <w:rStyle w:val="Hyperlink"/>
          </w:rPr>
          <w:t xml:space="preserve">http://ainfo.cnptia.embrapa.br/digital/bitstream/item/181677/1/SiBCS-2018-ISBN-9788570358172.epub</w:t>
        </w:r>
      </w:hyperlink>
    </w:p>
    <w:bookmarkEnd w:id="209"/>
    <w:bookmarkStart w:id="211"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210">
        <w:r>
          <w:rPr>
            <w:rStyle w:val="Hyperlink"/>
          </w:rPr>
          <w:t xml:space="preserve">https://doi.org/10.9771/cp.v12i1.27215</w:t>
        </w:r>
      </w:hyperlink>
    </w:p>
    <w:bookmarkEnd w:id="211"/>
    <w:bookmarkStart w:id="213"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212">
        <w:r>
          <w:rPr>
            <w:rStyle w:val="Hyperlink"/>
          </w:rPr>
          <w:t xml:space="preserve">https://doi.org/10.1162/dint_a_00213</w:t>
        </w:r>
      </w:hyperlink>
    </w:p>
    <w:bookmarkEnd w:id="213"/>
    <w:bookmarkStart w:id="215"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14">
        <w:r>
          <w:rPr>
            <w:rStyle w:val="Hyperlink"/>
          </w:rPr>
          <w:t xml:space="preserve">https://doi.org/10.21105/joss.02341</w:t>
        </w:r>
      </w:hyperlink>
    </w:p>
    <w:bookmarkEnd w:id="215"/>
    <w:bookmarkStart w:id="217"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16">
        <w:r>
          <w:rPr>
            <w:rStyle w:val="Hyperlink"/>
          </w:rPr>
          <w:t xml:space="preserve">https://doi.org/10.3390/rs11080920</w:t>
        </w:r>
      </w:hyperlink>
    </w:p>
    <w:bookmarkEnd w:id="217"/>
    <w:bookmarkStart w:id="219" w:name="ref-shrout1979"/>
    <w:p>
      <w:pPr>
        <w:pStyle w:val="Bibliografia"/>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18">
        <w:r>
          <w:rPr>
            <w:rStyle w:val="Hyperlink"/>
          </w:rPr>
          <w:t xml:space="preserve">https://doi.org/10.1037/0033-2909.86.2.420</w:t>
        </w:r>
      </w:hyperlink>
    </w:p>
    <w:bookmarkEnd w:id="219"/>
    <w:bookmarkStart w:id="221"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20">
        <w:r>
          <w:rPr>
            <w:rStyle w:val="Hyperlink"/>
          </w:rPr>
          <w:t xml:space="preserve">https://doi.org/10.2307/1412159</w:t>
        </w:r>
      </w:hyperlink>
    </w:p>
    <w:bookmarkEnd w:id="221"/>
    <w:bookmarkStart w:id="222"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22"/>
    <w:bookmarkStart w:id="224"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23">
        <w:r>
          <w:rPr>
            <w:rStyle w:val="Hyperlink"/>
          </w:rPr>
          <w:t xml:space="preserve">https://doi.org/10.1111/j.1475-4762.2007.00765.x</w:t>
        </w:r>
      </w:hyperlink>
    </w:p>
    <w:bookmarkEnd w:id="224"/>
    <w:bookmarkStart w:id="225"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25"/>
    <w:bookmarkStart w:id="226"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26"/>
    <w:bookmarkStart w:id="228"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27">
        <w:r>
          <w:rPr>
            <w:rStyle w:val="Hyperlink"/>
          </w:rPr>
          <w:t xml:space="preserve">https://www.R-project.org/</w:t>
        </w:r>
      </w:hyperlink>
    </w:p>
    <w:bookmarkEnd w:id="228"/>
    <w:bookmarkStart w:id="230"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29">
        <w:r>
          <w:rPr>
            <w:rStyle w:val="Hyperlink"/>
          </w:rPr>
          <w:t xml:space="preserve">https://www.rstudio.com/</w:t>
        </w:r>
      </w:hyperlink>
    </w:p>
    <w:bookmarkEnd w:id="230"/>
    <w:bookmarkStart w:id="231" w:name="ref-Todeschini2015"/>
    <w:p>
      <w:pPr>
        <w:pStyle w:val="Bibliografia"/>
      </w:pPr>
      <w:r>
        <w:t xml:space="preserve">Todeschini, R., Ballabio, D., Cassotti, M., &amp; Mauri, A. (2015). Chemometric methods in spectroscopy: Classification and regression.</w:t>
      </w:r>
      <w:r>
        <w:t xml:space="preserve"> </w:t>
      </w:r>
      <w:r>
        <w:rPr>
          <w:i/>
          <w:iCs/>
        </w:rPr>
        <w:t xml:space="preserve">Comprehensive Analytical Chemistry</w:t>
      </w:r>
      <w:r>
        <w:t xml:space="preserve">.</w:t>
      </w:r>
    </w:p>
    <w:bookmarkEnd w:id="231"/>
    <w:bookmarkStart w:id="232" w:name="ref-tranfield2003"/>
    <w:p>
      <w:pPr>
        <w:pStyle w:val="Bibliografia"/>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32"/>
    <w:bookmarkStart w:id="233" w:name="ref-tricco2018"/>
    <w:p>
      <w:pPr>
        <w:pStyle w:val="Bibliografia"/>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33"/>
    <w:bookmarkStart w:id="235"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34">
        <w:r>
          <w:rPr>
            <w:rStyle w:val="Hyperlink"/>
          </w:rPr>
          <w:t xml:space="preserve">https://www.interregeurope.eu</w:t>
        </w:r>
      </w:hyperlink>
    </w:p>
    <w:bookmarkEnd w:id="235"/>
    <w:bookmarkStart w:id="237"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36">
        <w:r>
          <w:rPr>
            <w:rStyle w:val="Hyperlink"/>
          </w:rPr>
          <w:t xml:space="preserve">https://doi.org/10.1111/j.1745-4565.2009.00188.x</w:t>
        </w:r>
      </w:hyperlink>
    </w:p>
    <w:bookmarkEnd w:id="237"/>
    <w:bookmarkStart w:id="239" w:name="ref-Wang20218065"/>
    <w:p>
      <w:pPr>
        <w:pStyle w:val="Bibliografia"/>
      </w:pPr>
      <w:r>
        <w:t xml:space="preserve">Wang, X., Gu, Y., &amp; Liu, H. (2021). A Transfer Learning Method for the Protection of Geographical Indication in China Using an Electronic Nose for the Identification of Xihu Longjing Tea [Article].</w:t>
      </w:r>
      <w:r>
        <w:t xml:space="preserve"> </w:t>
      </w:r>
      <w:r>
        <w:rPr>
          <w:i/>
          <w:iCs/>
        </w:rPr>
        <w:t xml:space="preserve">IEEE Sensors Journal</w:t>
      </w:r>
      <w:r>
        <w:t xml:space="preserve">,</w:t>
      </w:r>
      <w:r>
        <w:t xml:space="preserve"> </w:t>
      </w:r>
      <w:r>
        <w:rPr>
          <w:i/>
          <w:iCs/>
        </w:rPr>
        <w:t xml:space="preserve">21</w:t>
      </w:r>
      <w:r>
        <w:t xml:space="preserve">(6), 8065–8077.</w:t>
      </w:r>
      <w:r>
        <w:t xml:space="preserve"> </w:t>
      </w:r>
      <w:hyperlink r:id="rId238">
        <w:r>
          <w:rPr>
            <w:rStyle w:val="Hyperlink"/>
          </w:rPr>
          <w:t xml:space="preserve">https://doi.org/10.1109/JSEN.2020.3048534</w:t>
        </w:r>
      </w:hyperlink>
    </w:p>
    <w:bookmarkEnd w:id="239"/>
    <w:bookmarkStart w:id="241"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40">
        <w:r>
          <w:rPr>
            <w:rStyle w:val="Hyperlink"/>
          </w:rPr>
          <w:t xml:space="preserve">https://doi.org/10.1016/j.fochx.2025.103069</w:t>
        </w:r>
      </w:hyperlink>
    </w:p>
    <w:bookmarkEnd w:id="241"/>
    <w:bookmarkStart w:id="243"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42">
        <w:r>
          <w:rPr>
            <w:rStyle w:val="Hyperlink"/>
          </w:rPr>
          <w:t xml:space="preserve">https://doi.org/10.1155/2022/3832170</w:t>
        </w:r>
      </w:hyperlink>
    </w:p>
    <w:bookmarkEnd w:id="243"/>
    <w:bookmarkStart w:id="244" w:name="ref-webster2002"/>
    <w:p>
      <w:pPr>
        <w:pStyle w:val="Bibliografia"/>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44"/>
    <w:bookmarkStart w:id="245"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45"/>
    <w:bookmarkStart w:id="247"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46">
        <w:r>
          <w:rPr>
            <w:rStyle w:val="Hyperlink"/>
          </w:rPr>
          <w:t xml:space="preserve">https://doi.org/10.1038/s41538-021-00100-8</w:t>
        </w:r>
      </w:hyperlink>
    </w:p>
    <w:bookmarkEnd w:id="247"/>
    <w:bookmarkStart w:id="249"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48">
        <w:r>
          <w:rPr>
            <w:rStyle w:val="Hyperlink"/>
          </w:rPr>
          <w:t xml:space="preserve">https://doi.org/10.3390/s23114958</w:t>
        </w:r>
      </w:hyperlink>
    </w:p>
    <w:bookmarkEnd w:id="249"/>
    <w:bookmarkStart w:id="251"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50">
        <w:r>
          <w:rPr>
            <w:rStyle w:val="Hyperlink"/>
          </w:rPr>
          <w:t xml:space="preserve">https://doi.org/10.1016/j.ijmedinf.2019.08.018</w:t>
        </w:r>
      </w:hyperlink>
    </w:p>
    <w:bookmarkEnd w:id="251"/>
    <w:bookmarkStart w:id="253"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52">
        <w:r>
          <w:rPr>
            <w:rStyle w:val="Hyperlink"/>
          </w:rPr>
          <w:t xml:space="preserve">https://doi.org/10.1109/TII.2021.3098700</w:t>
        </w:r>
      </w:hyperlink>
    </w:p>
    <w:bookmarkEnd w:id="253"/>
    <w:bookmarkStart w:id="255"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54">
        <w:r>
          <w:rPr>
            <w:rStyle w:val="Hyperlink"/>
          </w:rPr>
          <w:t xml:space="preserve">https://doi.org/10.3390/s22249678</w:t>
        </w:r>
      </w:hyperlink>
    </w:p>
    <w:bookmarkEnd w:id="255"/>
    <w:bookmarkEnd w:id="256"/>
    <w:bookmarkEnd w:id="257"/>
    <w:bookmarkEnd w:id="258"/>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74" Target="media/rId74.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69" Target="media/rId69.png" /><Relationship Type="http://schemas.openxmlformats.org/officeDocument/2006/relationships/image" Id="rId50" Target="media/rId50.png" /><Relationship Type="http://schemas.openxmlformats.org/officeDocument/2006/relationships/image" Id="rId79" Target="media/rId79.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hyperlink" Id="rId208" Target="http://ainfo.cnptia.embrapa.br/digital/bitstream/item/181677/1/SiBCS-2018-ISBN-9788570358172.epub" TargetMode="External" /><Relationship Type="http://schemas.openxmlformats.org/officeDocument/2006/relationships/hyperlink" Id="rId103" Target="http://www.planalto.gov.br/ccivil_03/_ato2004-2006/2004/lei/l10.973.htm" TargetMode="External" /><Relationship Type="http://schemas.openxmlformats.org/officeDocument/2006/relationships/hyperlink" Id="rId105" Target="http://www.planalto.gov.br/ccivil_03/_ato2015-2018/2016/lei/l13243.htm" TargetMode="External" /><Relationship Type="http://schemas.openxmlformats.org/officeDocument/2006/relationships/hyperlink" Id="rId107" Target="http://www.planalto.gov.br/ccivil_03/_ato2023-2026/2024/lei/l15068.htm" TargetMode="External" /><Relationship Type="http://schemas.openxmlformats.org/officeDocument/2006/relationships/hyperlink" Id="rId101" Target="http://www.planalto.gov.br/ccivil_03/leis/l9279.htm" TargetMode="External" /><Relationship Type="http://schemas.openxmlformats.org/officeDocument/2006/relationships/hyperlink" Id="rId162" Target="https://arxiv.org/abs/2108.02497" TargetMode="External" /><Relationship Type="http://schemas.openxmlformats.org/officeDocument/2006/relationships/hyperlink" Id="rId167" Target="https://doi.org/10.1002/1520-6297(200022)16:3&lt;309::AID-AGR4&gt;3.0.CO;2-G" TargetMode="External" /><Relationship Type="http://schemas.openxmlformats.org/officeDocument/2006/relationships/hyperlink" Id="rId133" Target="https://doi.org/10.1002/vzj2.20035" TargetMode="External" /><Relationship Type="http://schemas.openxmlformats.org/officeDocument/2006/relationships/hyperlink" Id="rId186" Target="https://doi.org/10.1007/s10462-024-10844-w" TargetMode="External" /><Relationship Type="http://schemas.openxmlformats.org/officeDocument/2006/relationships/hyperlink" Id="rId179" Target="https://doi.org/10.1007/s12161-024-02625-6" TargetMode="External" /><Relationship Type="http://schemas.openxmlformats.org/officeDocument/2006/relationships/hyperlink" Id="rId206" Target="https://doi.org/10.1007/s12161-025-02840-9" TargetMode="External" /><Relationship Type="http://schemas.openxmlformats.org/officeDocument/2006/relationships/hyperlink" Id="rId146" Target="https://doi.org/10.1007/s41060-024-00509-w" TargetMode="External" /><Relationship Type="http://schemas.openxmlformats.org/officeDocument/2006/relationships/hyperlink" Id="rId127" Target="https://doi.org/10.1016/j.aca.2007.07.011" TargetMode="External" /><Relationship Type="http://schemas.openxmlformats.org/officeDocument/2006/relationships/hyperlink" Id="rId123" Target="https://doi.org/10.1016/j.ecoinf.2021.101472" TargetMode="External" /><Relationship Type="http://schemas.openxmlformats.org/officeDocument/2006/relationships/hyperlink" Id="rId159" Target="https://doi.org/10.1016/j.fochx.2025.102856" TargetMode="External" /><Relationship Type="http://schemas.openxmlformats.org/officeDocument/2006/relationships/hyperlink" Id="rId240" Target="https://doi.org/10.1016/j.fochx.2025.103069" TargetMode="External" /><Relationship Type="http://schemas.openxmlformats.org/officeDocument/2006/relationships/hyperlink" Id="rId191" Target="https://doi.org/10.1016/j.fochx.2025.103194" TargetMode="External" /><Relationship Type="http://schemas.openxmlformats.org/officeDocument/2006/relationships/hyperlink" Id="rId164" Target="https://doi.org/10.1016/j.foodchem.2021.130016" TargetMode="External" /><Relationship Type="http://schemas.openxmlformats.org/officeDocument/2006/relationships/hyperlink" Id="rId140" Target="https://doi.org/10.1016/j.foodchem.2024.140903" TargetMode="External" /><Relationship Type="http://schemas.openxmlformats.org/officeDocument/2006/relationships/hyperlink" Id="rId155" Target="https://doi.org/10.1016/j.foodchem.2024.142088" TargetMode="External" /><Relationship Type="http://schemas.openxmlformats.org/officeDocument/2006/relationships/hyperlink" Id="rId198" Target="https://doi.org/10.1016/j.foodchem.2025.144078" TargetMode="External" /><Relationship Type="http://schemas.openxmlformats.org/officeDocument/2006/relationships/hyperlink" Id="rId148" Target="https://doi.org/10.1016/j.foodchem.2025.145007" TargetMode="External" /><Relationship Type="http://schemas.openxmlformats.org/officeDocument/2006/relationships/hyperlink" Id="rId131" Target="https://doi.org/10.1016/j.heliyon.2024.e32297" TargetMode="External" /><Relationship Type="http://schemas.openxmlformats.org/officeDocument/2006/relationships/hyperlink" Id="rId250" Target="https://doi.org/10.1016/j.ijmedinf.2019.08.018" TargetMode="External" /><Relationship Type="http://schemas.openxmlformats.org/officeDocument/2006/relationships/hyperlink" Id="rId143" Target="https://doi.org/10.1016/j.jfca.2024.106668" TargetMode="External" /><Relationship Type="http://schemas.openxmlformats.org/officeDocument/2006/relationships/hyperlink" Id="rId202" Target="https://doi.org/10.1016/j.jfoodeng.2022.111378" TargetMode="External" /><Relationship Type="http://schemas.openxmlformats.org/officeDocument/2006/relationships/hyperlink" Id="rId181" Target="https://doi.org/10.1016/j.joi.2011.04.001" TargetMode="External" /><Relationship Type="http://schemas.openxmlformats.org/officeDocument/2006/relationships/hyperlink" Id="rId125" Target="https://doi.org/10.1016/j.jpa.2025.xxxxxx" TargetMode="External" /><Relationship Type="http://schemas.openxmlformats.org/officeDocument/2006/relationships/hyperlink" Id="rId183" Target="https://doi.org/10.1016/j.lwt.2024.115886" TargetMode="External" /><Relationship Type="http://schemas.openxmlformats.org/officeDocument/2006/relationships/hyperlink" Id="rId171" Target="https://doi.org/10.1016/j.tifs.2019.11.006" TargetMode="External" /><Relationship Type="http://schemas.openxmlformats.org/officeDocument/2006/relationships/hyperlink" Id="rId194" Target="https://doi.org/10.1016/j.tifs.2025.105405" TargetMode="External" /><Relationship Type="http://schemas.openxmlformats.org/officeDocument/2006/relationships/hyperlink" Id="rId90" Target="https://doi.org/10.1016/j.trac.2020.116140" TargetMode="External" /><Relationship Type="http://schemas.openxmlformats.org/officeDocument/2006/relationships/hyperlink" Id="rId151" Target="https://doi.org/10.1021/bk-2005-0894.ch001" TargetMode="External" /><Relationship Type="http://schemas.openxmlformats.org/officeDocument/2006/relationships/hyperlink" Id="rId218" Target="https://doi.org/10.1037/0033-2909.86.2.420" TargetMode="External" /><Relationship Type="http://schemas.openxmlformats.org/officeDocument/2006/relationships/hyperlink" Id="rId246"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69" Target="https://doi.org/10.1080/10618600.2022.2069777" TargetMode="External" /><Relationship Type="http://schemas.openxmlformats.org/officeDocument/2006/relationships/hyperlink" Id="rId99" Target="https://doi.org/10.1088/1742-5468/2008/10/P10008" TargetMode="External" /><Relationship Type="http://schemas.openxmlformats.org/officeDocument/2006/relationships/hyperlink" Id="rId129" Target="https://doi.org/10.1108/BFJ-12-2014-0392" TargetMode="External" /><Relationship Type="http://schemas.openxmlformats.org/officeDocument/2006/relationships/hyperlink" Id="rId138" Target="https://doi.org/10.1108/SCM-11-2020-0576" TargetMode="External" /><Relationship Type="http://schemas.openxmlformats.org/officeDocument/2006/relationships/hyperlink" Id="rId238" Target="https://doi.org/10.1109/JSEN.2020.3048534" TargetMode="External" /><Relationship Type="http://schemas.openxmlformats.org/officeDocument/2006/relationships/hyperlink" Id="rId252" Target="https://doi.org/10.1109/TII.2021.3098700" TargetMode="External" /><Relationship Type="http://schemas.openxmlformats.org/officeDocument/2006/relationships/hyperlink" Id="rId223" Target="https://doi.org/10.1111/j.1475-4762.2007.00765.x" TargetMode="External" /><Relationship Type="http://schemas.openxmlformats.org/officeDocument/2006/relationships/hyperlink" Id="rId236" Target="https://doi.org/10.1111/j.1745-4565.2009.00188.x" TargetMode="External" /><Relationship Type="http://schemas.openxmlformats.org/officeDocument/2006/relationships/hyperlink" Id="rId242" Target="https://doi.org/10.1155/2022/3832170" TargetMode="External" /><Relationship Type="http://schemas.openxmlformats.org/officeDocument/2006/relationships/hyperlink" Id="rId212" Target="https://doi.org/10.1162/dint_a_00213" TargetMode="External" /><Relationship Type="http://schemas.openxmlformats.org/officeDocument/2006/relationships/hyperlink" Id="rId97"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214" Target="https://doi.org/10.21105/joss.02341" TargetMode="External" /><Relationship Type="http://schemas.openxmlformats.org/officeDocument/2006/relationships/hyperlink" Id="rId200" Target="https://doi.org/10.2174/1386207324666210309102239" TargetMode="External" /><Relationship Type="http://schemas.openxmlformats.org/officeDocument/2006/relationships/hyperlink" Id="rId220" Target="https://doi.org/10.2307/1412159" TargetMode="External" /><Relationship Type="http://schemas.openxmlformats.org/officeDocument/2006/relationships/hyperlink" Id="rId216" Target="https://doi.org/10.3390/rs11080920" TargetMode="External" /><Relationship Type="http://schemas.openxmlformats.org/officeDocument/2006/relationships/hyperlink" Id="rId157" Target="https://doi.org/10.3390/s18082674" TargetMode="External" /><Relationship Type="http://schemas.openxmlformats.org/officeDocument/2006/relationships/hyperlink" Id="rId254" Target="https://doi.org/10.3390/s22249678" TargetMode="External" /><Relationship Type="http://schemas.openxmlformats.org/officeDocument/2006/relationships/hyperlink" Id="rId196" Target="https://doi.org/10.3390/s23094527" TargetMode="External" /><Relationship Type="http://schemas.openxmlformats.org/officeDocument/2006/relationships/hyperlink" Id="rId248" Target="https://doi.org/10.3390/s23114958" TargetMode="External" /><Relationship Type="http://schemas.openxmlformats.org/officeDocument/2006/relationships/hyperlink" Id="rId94" Target="https://doi.org/10.3390/su14042420" TargetMode="External" /><Relationship Type="http://schemas.openxmlformats.org/officeDocument/2006/relationships/hyperlink" Id="rId135" Target="https://doi.org/10.5281/zenodo.1234567" TargetMode="External" /><Relationship Type="http://schemas.openxmlformats.org/officeDocument/2006/relationships/hyperlink" Id="rId210" Target="https://doi.org/10.9771/cp.v12i1.27215" TargetMode="External" /><Relationship Type="http://schemas.openxmlformats.org/officeDocument/2006/relationships/hyperlink" Id="rId121"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73" Target="https://papers.nips.cc/paper/7062-a-unified-approach-to-interpreting-model-predictions.pdf" TargetMode="External" /><Relationship Type="http://schemas.openxmlformats.org/officeDocument/2006/relationships/hyperlink" Id="rId227" Target="https://www.R-project.org/" TargetMode="External" /><Relationship Type="http://schemas.openxmlformats.org/officeDocument/2006/relationships/hyperlink" Id="rId109" Target="https://www.codevasf.gov.br/noticias/2014/artesanato-faz-parte-da-identidade-sociocultural-do-baixo-sao-francisco-sergipano-e-gera-renda-para-populacao-local" TargetMode="External" /><Relationship Type="http://schemas.openxmlformats.org/officeDocument/2006/relationships/hyperlink" Id="rId176" Target="https://www.gov.br/agricultura/pt-br/assuntos/sustentabilidade/indicacao-geografica/o-que-e-indicacao-geografica-ig" TargetMode="External" /><Relationship Type="http://schemas.openxmlformats.org/officeDocument/2006/relationships/hyperlink" Id="rId234" Target="https://www.interregeurope.eu" TargetMode="External" /><Relationship Type="http://schemas.openxmlformats.org/officeDocument/2006/relationships/hyperlink" Id="rId153" Target="https://www.jstatsoft.org/v25/i01/" TargetMode="External" /><Relationship Type="http://schemas.openxmlformats.org/officeDocument/2006/relationships/hyperlink" Id="rId229" Target="https://www.rstudio.com/" TargetMode="External" /><Relationship Type="http://schemas.openxmlformats.org/officeDocument/2006/relationships/hyperlink" Id="rId188" Target="https://www.wipo.int/" TargetMode="External" /><Relationship Type="http://schemas.openxmlformats.org/officeDocument/2006/relationships/hyperlink" Id="rId92"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208" Target="http://ainfo.cnptia.embrapa.br/digital/bitstream/item/181677/1/SiBCS-2018-ISBN-9788570358172.epub" TargetMode="External" /><Relationship Type="http://schemas.openxmlformats.org/officeDocument/2006/relationships/hyperlink" Id="rId103" Target="http://www.planalto.gov.br/ccivil_03/_ato2004-2006/2004/lei/l10.973.htm" TargetMode="External" /><Relationship Type="http://schemas.openxmlformats.org/officeDocument/2006/relationships/hyperlink" Id="rId105" Target="http://www.planalto.gov.br/ccivil_03/_ato2015-2018/2016/lei/l13243.htm" TargetMode="External" /><Relationship Type="http://schemas.openxmlformats.org/officeDocument/2006/relationships/hyperlink" Id="rId107" Target="http://www.planalto.gov.br/ccivil_03/_ato2023-2026/2024/lei/l15068.htm" TargetMode="External" /><Relationship Type="http://schemas.openxmlformats.org/officeDocument/2006/relationships/hyperlink" Id="rId101" Target="http://www.planalto.gov.br/ccivil_03/leis/l9279.htm" TargetMode="External" /><Relationship Type="http://schemas.openxmlformats.org/officeDocument/2006/relationships/hyperlink" Id="rId162" Target="https://arxiv.org/abs/2108.02497" TargetMode="External" /><Relationship Type="http://schemas.openxmlformats.org/officeDocument/2006/relationships/hyperlink" Id="rId167" Target="https://doi.org/10.1002/1520-6297(200022)16:3&lt;309::AID-AGR4&gt;3.0.CO;2-G" TargetMode="External" /><Relationship Type="http://schemas.openxmlformats.org/officeDocument/2006/relationships/hyperlink" Id="rId133" Target="https://doi.org/10.1002/vzj2.20035" TargetMode="External" /><Relationship Type="http://schemas.openxmlformats.org/officeDocument/2006/relationships/hyperlink" Id="rId186" Target="https://doi.org/10.1007/s10462-024-10844-w" TargetMode="External" /><Relationship Type="http://schemas.openxmlformats.org/officeDocument/2006/relationships/hyperlink" Id="rId179" Target="https://doi.org/10.1007/s12161-024-02625-6" TargetMode="External" /><Relationship Type="http://schemas.openxmlformats.org/officeDocument/2006/relationships/hyperlink" Id="rId206" Target="https://doi.org/10.1007/s12161-025-02840-9" TargetMode="External" /><Relationship Type="http://schemas.openxmlformats.org/officeDocument/2006/relationships/hyperlink" Id="rId146" Target="https://doi.org/10.1007/s41060-024-00509-w" TargetMode="External" /><Relationship Type="http://schemas.openxmlformats.org/officeDocument/2006/relationships/hyperlink" Id="rId127" Target="https://doi.org/10.1016/j.aca.2007.07.011" TargetMode="External" /><Relationship Type="http://schemas.openxmlformats.org/officeDocument/2006/relationships/hyperlink" Id="rId123" Target="https://doi.org/10.1016/j.ecoinf.2021.101472" TargetMode="External" /><Relationship Type="http://schemas.openxmlformats.org/officeDocument/2006/relationships/hyperlink" Id="rId159" Target="https://doi.org/10.1016/j.fochx.2025.102856" TargetMode="External" /><Relationship Type="http://schemas.openxmlformats.org/officeDocument/2006/relationships/hyperlink" Id="rId240" Target="https://doi.org/10.1016/j.fochx.2025.103069" TargetMode="External" /><Relationship Type="http://schemas.openxmlformats.org/officeDocument/2006/relationships/hyperlink" Id="rId191" Target="https://doi.org/10.1016/j.fochx.2025.103194" TargetMode="External" /><Relationship Type="http://schemas.openxmlformats.org/officeDocument/2006/relationships/hyperlink" Id="rId164" Target="https://doi.org/10.1016/j.foodchem.2021.130016" TargetMode="External" /><Relationship Type="http://schemas.openxmlformats.org/officeDocument/2006/relationships/hyperlink" Id="rId140" Target="https://doi.org/10.1016/j.foodchem.2024.140903" TargetMode="External" /><Relationship Type="http://schemas.openxmlformats.org/officeDocument/2006/relationships/hyperlink" Id="rId155" Target="https://doi.org/10.1016/j.foodchem.2024.142088" TargetMode="External" /><Relationship Type="http://schemas.openxmlformats.org/officeDocument/2006/relationships/hyperlink" Id="rId198" Target="https://doi.org/10.1016/j.foodchem.2025.144078" TargetMode="External" /><Relationship Type="http://schemas.openxmlformats.org/officeDocument/2006/relationships/hyperlink" Id="rId148" Target="https://doi.org/10.1016/j.foodchem.2025.145007" TargetMode="External" /><Relationship Type="http://schemas.openxmlformats.org/officeDocument/2006/relationships/hyperlink" Id="rId131" Target="https://doi.org/10.1016/j.heliyon.2024.e32297" TargetMode="External" /><Relationship Type="http://schemas.openxmlformats.org/officeDocument/2006/relationships/hyperlink" Id="rId250" Target="https://doi.org/10.1016/j.ijmedinf.2019.08.018" TargetMode="External" /><Relationship Type="http://schemas.openxmlformats.org/officeDocument/2006/relationships/hyperlink" Id="rId143" Target="https://doi.org/10.1016/j.jfca.2024.106668" TargetMode="External" /><Relationship Type="http://schemas.openxmlformats.org/officeDocument/2006/relationships/hyperlink" Id="rId202" Target="https://doi.org/10.1016/j.jfoodeng.2022.111378" TargetMode="External" /><Relationship Type="http://schemas.openxmlformats.org/officeDocument/2006/relationships/hyperlink" Id="rId181" Target="https://doi.org/10.1016/j.joi.2011.04.001" TargetMode="External" /><Relationship Type="http://schemas.openxmlformats.org/officeDocument/2006/relationships/hyperlink" Id="rId125" Target="https://doi.org/10.1016/j.jpa.2025.xxxxxx" TargetMode="External" /><Relationship Type="http://schemas.openxmlformats.org/officeDocument/2006/relationships/hyperlink" Id="rId183" Target="https://doi.org/10.1016/j.lwt.2024.115886" TargetMode="External" /><Relationship Type="http://schemas.openxmlformats.org/officeDocument/2006/relationships/hyperlink" Id="rId171" Target="https://doi.org/10.1016/j.tifs.2019.11.006" TargetMode="External" /><Relationship Type="http://schemas.openxmlformats.org/officeDocument/2006/relationships/hyperlink" Id="rId194" Target="https://doi.org/10.1016/j.tifs.2025.105405" TargetMode="External" /><Relationship Type="http://schemas.openxmlformats.org/officeDocument/2006/relationships/hyperlink" Id="rId90" Target="https://doi.org/10.1016/j.trac.2020.116140" TargetMode="External" /><Relationship Type="http://schemas.openxmlformats.org/officeDocument/2006/relationships/hyperlink" Id="rId151" Target="https://doi.org/10.1021/bk-2005-0894.ch001" TargetMode="External" /><Relationship Type="http://schemas.openxmlformats.org/officeDocument/2006/relationships/hyperlink" Id="rId218" Target="https://doi.org/10.1037/0033-2909.86.2.420" TargetMode="External" /><Relationship Type="http://schemas.openxmlformats.org/officeDocument/2006/relationships/hyperlink" Id="rId246" Target="https://doi.org/10.1038/s41538-021-00100-8" TargetMode="External" /><Relationship Type="http://schemas.openxmlformats.org/officeDocument/2006/relationships/hyperlink" Id="rId117" Target="https://doi.org/10.1080/01621459.1979.10481038" TargetMode="External" /><Relationship Type="http://schemas.openxmlformats.org/officeDocument/2006/relationships/hyperlink" Id="rId169" Target="https://doi.org/10.1080/10618600.2022.2069777" TargetMode="External" /><Relationship Type="http://schemas.openxmlformats.org/officeDocument/2006/relationships/hyperlink" Id="rId99" Target="https://doi.org/10.1088/1742-5468/2008/10/P10008" TargetMode="External" /><Relationship Type="http://schemas.openxmlformats.org/officeDocument/2006/relationships/hyperlink" Id="rId129" Target="https://doi.org/10.1108/BFJ-12-2014-0392" TargetMode="External" /><Relationship Type="http://schemas.openxmlformats.org/officeDocument/2006/relationships/hyperlink" Id="rId138" Target="https://doi.org/10.1108/SCM-11-2020-0576" TargetMode="External" /><Relationship Type="http://schemas.openxmlformats.org/officeDocument/2006/relationships/hyperlink" Id="rId238" Target="https://doi.org/10.1109/JSEN.2020.3048534" TargetMode="External" /><Relationship Type="http://schemas.openxmlformats.org/officeDocument/2006/relationships/hyperlink" Id="rId252" Target="https://doi.org/10.1109/TII.2021.3098700" TargetMode="External" /><Relationship Type="http://schemas.openxmlformats.org/officeDocument/2006/relationships/hyperlink" Id="rId223" Target="https://doi.org/10.1111/j.1475-4762.2007.00765.x" TargetMode="External" /><Relationship Type="http://schemas.openxmlformats.org/officeDocument/2006/relationships/hyperlink" Id="rId236" Target="https://doi.org/10.1111/j.1745-4565.2009.00188.x" TargetMode="External" /><Relationship Type="http://schemas.openxmlformats.org/officeDocument/2006/relationships/hyperlink" Id="rId242" Target="https://doi.org/10.1155/2022/3832170" TargetMode="External" /><Relationship Type="http://schemas.openxmlformats.org/officeDocument/2006/relationships/hyperlink" Id="rId212" Target="https://doi.org/10.1162/dint_a_00213" TargetMode="External" /><Relationship Type="http://schemas.openxmlformats.org/officeDocument/2006/relationships/hyperlink" Id="rId97" Target="https://doi.org/10.1177/014920639101700108" TargetMode="External" /><Relationship Type="http://schemas.openxmlformats.org/officeDocument/2006/relationships/hyperlink" Id="rId111" Target="https://doi.org/10.1186/s12911-021-01533-7" TargetMode="External" /><Relationship Type="http://schemas.openxmlformats.org/officeDocument/2006/relationships/hyperlink" Id="rId113" Target="https://doi.org/10.1186/s40537-020-00327-4" TargetMode="External" /><Relationship Type="http://schemas.openxmlformats.org/officeDocument/2006/relationships/hyperlink" Id="rId115" Target="https://doi.org/10.1371/journal.pone.0299905" TargetMode="External" /><Relationship Type="http://schemas.openxmlformats.org/officeDocument/2006/relationships/hyperlink" Id="rId214" Target="https://doi.org/10.21105/joss.02341" TargetMode="External" /><Relationship Type="http://schemas.openxmlformats.org/officeDocument/2006/relationships/hyperlink" Id="rId200" Target="https://doi.org/10.2174/1386207324666210309102239" TargetMode="External" /><Relationship Type="http://schemas.openxmlformats.org/officeDocument/2006/relationships/hyperlink" Id="rId220" Target="https://doi.org/10.2307/1412159" TargetMode="External" /><Relationship Type="http://schemas.openxmlformats.org/officeDocument/2006/relationships/hyperlink" Id="rId216" Target="https://doi.org/10.3390/rs11080920" TargetMode="External" /><Relationship Type="http://schemas.openxmlformats.org/officeDocument/2006/relationships/hyperlink" Id="rId157" Target="https://doi.org/10.3390/s18082674" TargetMode="External" /><Relationship Type="http://schemas.openxmlformats.org/officeDocument/2006/relationships/hyperlink" Id="rId254" Target="https://doi.org/10.3390/s22249678" TargetMode="External" /><Relationship Type="http://schemas.openxmlformats.org/officeDocument/2006/relationships/hyperlink" Id="rId196" Target="https://doi.org/10.3390/s23094527" TargetMode="External" /><Relationship Type="http://schemas.openxmlformats.org/officeDocument/2006/relationships/hyperlink" Id="rId248" Target="https://doi.org/10.3390/s23114958" TargetMode="External" /><Relationship Type="http://schemas.openxmlformats.org/officeDocument/2006/relationships/hyperlink" Id="rId94" Target="https://doi.org/10.3390/su14042420" TargetMode="External" /><Relationship Type="http://schemas.openxmlformats.org/officeDocument/2006/relationships/hyperlink" Id="rId135" Target="https://doi.org/10.5281/zenodo.1234567" TargetMode="External" /><Relationship Type="http://schemas.openxmlformats.org/officeDocument/2006/relationships/hyperlink" Id="rId210" Target="https://doi.org/10.9771/cp.v12i1.27215" TargetMode="External" /><Relationship Type="http://schemas.openxmlformats.org/officeDocument/2006/relationships/hyperlink" Id="rId121" Target="https://igraph.org" TargetMode="External" /><Relationship Type="http://schemas.openxmlformats.org/officeDocument/2006/relationships/hyperlink" Id="rId119" Target="https://legislacao.presidencia.gov.br/atos/?tipo=DEC&amp;numero=75699&amp;ano=1975" TargetMode="External" /><Relationship Type="http://schemas.openxmlformats.org/officeDocument/2006/relationships/hyperlink" Id="rId173" Target="https://papers.nips.cc/paper/7062-a-unified-approach-to-interpreting-model-predictions.pdf" TargetMode="External" /><Relationship Type="http://schemas.openxmlformats.org/officeDocument/2006/relationships/hyperlink" Id="rId227" Target="https://www.R-project.org/" TargetMode="External" /><Relationship Type="http://schemas.openxmlformats.org/officeDocument/2006/relationships/hyperlink" Id="rId109" Target="https://www.codevasf.gov.br/noticias/2014/artesanato-faz-parte-da-identidade-sociocultural-do-baixo-sao-francisco-sergipano-e-gera-renda-para-populacao-local" TargetMode="External" /><Relationship Type="http://schemas.openxmlformats.org/officeDocument/2006/relationships/hyperlink" Id="rId176" Target="https://www.gov.br/agricultura/pt-br/assuntos/sustentabilidade/indicacao-geografica/o-que-e-indicacao-geografica-ig" TargetMode="External" /><Relationship Type="http://schemas.openxmlformats.org/officeDocument/2006/relationships/hyperlink" Id="rId234" Target="https://www.interregeurope.eu" TargetMode="External" /><Relationship Type="http://schemas.openxmlformats.org/officeDocument/2006/relationships/hyperlink" Id="rId153" Target="https://www.jstatsoft.org/v25/i01/" TargetMode="External" /><Relationship Type="http://schemas.openxmlformats.org/officeDocument/2006/relationships/hyperlink" Id="rId229" Target="https://www.rstudio.com/" TargetMode="External" /><Relationship Type="http://schemas.openxmlformats.org/officeDocument/2006/relationships/hyperlink" Id="rId188" Target="https://www.wipo.int/" TargetMode="External" /><Relationship Type="http://schemas.openxmlformats.org/officeDocument/2006/relationships/hyperlink" Id="rId92" Target="https://www.wto.org/english/docs_e/legal_e/27-trips.pdf"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2025-11-18T22:19:04Z</dcterms:created>
  <dcterms:modified xsi:type="dcterms:W3CDTF">2025-11-18T22:19:04Z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