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57C41" w14:textId="2B35BEE7" w:rsidR="00DA6248" w:rsidRPr="008B7A1F" w:rsidRDefault="00000000" w:rsidP="008B7A1F">
      <w:pPr>
        <w:pStyle w:val="Ttulo"/>
        <w:ind w:firstLine="0"/>
        <w:jc w:val="both"/>
        <w:rPr>
          <w:lang w:val="en-US"/>
        </w:rPr>
      </w:pPr>
      <w:r w:rsidRPr="008B7A1F">
        <w:rPr>
          <w:lang w:val="en-US"/>
        </w:rPr>
        <w:t>Digital Terroir and Ecosystem Service Auditability via Machine Learning in Geographical Indications</w:t>
      </w:r>
    </w:p>
    <w:p w14:paraId="6FD464AF" w14:textId="77777777" w:rsidR="008B7A1F" w:rsidRDefault="008B7A1F">
      <w:pPr>
        <w:pStyle w:val="Ttulo1"/>
      </w:pPr>
      <w:bookmarkStart w:id="0" w:name="resumo"/>
    </w:p>
    <w:p w14:paraId="4EF57C43" w14:textId="1B17819F" w:rsidR="00DA6248" w:rsidRDefault="00000000">
      <w:pPr>
        <w:pStyle w:val="Ttulo1"/>
      </w:pPr>
      <w:r>
        <w:t>Resumo</w:t>
      </w:r>
    </w:p>
    <w:p w14:paraId="4EF57C44" w14:textId="77777777" w:rsidR="00DA6248" w:rsidRDefault="00000000" w:rsidP="008B7A1F">
      <w:pPr>
        <w:ind w:firstLine="0"/>
      </w:pPr>
      <w:r>
        <w:t>As Indicações Geográficas (IGs) constituem sistemas socioecológicos acoplados, onde a tipicidade emerge de interações dinâmicas entre solo, clima e biota. A validação desses nexos exige ferramentas auditáveis de governança ambiental. Nesse contexto, o presente estudo investiga se o atual aparato de Aprendizado de Máquina possui a robustez necessária para alicerçar o Terroir Digital. Avalia-se a adequação metodológica pela capacidade de generalização espacial e temporal dos modelos, e a ‘maturidade técnica’ pelo grau de transparência algorítmica (XAI) e reprodutibilidade, requisitos indispensáveis para a transição de classificadores laboratoriais para ferramentas de governança. Investiga-se, especificamente, se os algoritmos vigentes possuem a robustez necessária para transcender a mera classificação geográfica e atuar como instrumentos de auditoria inferencial verificável. Em conformidade com as diretrizes PRISMA-ScR, realizou-se uma síntese crítica de 148 estudos revisados por pares (2010–2025). A análise avaliou padrões de validação, interpretabilidade e integração de dados ambientais para determinar a viabilidade operacional do framework proposto. Embora os classificadores demonstrem alta acurácia discriminante (80–100%), o paradigma predominante de modelagem estática mostra-se insuficiente para operacionalizar o Terroir Digital como um Gêmeo Digital Inferencial. A viabilidade da proposta é restringida por lacunas críticas de generalização, especificamente a ausência de validação longitudinal sob variabilidade climática (94%), testes espacialmente independentes (77%) e explicabilidade algorítmica (86,5%). A efetivação do Terroir Digital como instrumento de sustentabilidade e soberania epistêmica exige uma reorientação da pesquisa. É imperativa a transição de experimentos de classificação laboratorial para o desenvolvimento de modelos adaptativos, transparentes e validados em cenários climáticos reais.</w:t>
      </w:r>
    </w:p>
    <w:p w14:paraId="4EF57C45" w14:textId="77777777" w:rsidR="00DA6248" w:rsidRDefault="00000000">
      <w:pPr>
        <w:pStyle w:val="Ttulo2"/>
        <w:rPr>
          <w:b w:val="0"/>
          <w:bCs w:val="0"/>
        </w:rPr>
      </w:pPr>
      <w:bookmarkStart w:id="1" w:name="X47c820faaad6b0bcf0af1dc88085c84a64eb608"/>
      <w:r>
        <w:t xml:space="preserve">Palavras‑chave: </w:t>
      </w:r>
      <w:r w:rsidRPr="008B7A1F">
        <w:rPr>
          <w:b w:val="0"/>
          <w:bCs w:val="0"/>
        </w:rPr>
        <w:t xml:space="preserve">Indicações Geográficas; Aprendizado de Máquina; Auditoria Ambiental; </w:t>
      </w:r>
      <w:proofErr w:type="spellStart"/>
      <w:r w:rsidRPr="008B7A1F">
        <w:rPr>
          <w:b w:val="0"/>
          <w:bCs w:val="0"/>
        </w:rPr>
        <w:t>Greenwashing</w:t>
      </w:r>
      <w:proofErr w:type="spellEnd"/>
      <w:r w:rsidRPr="008B7A1F">
        <w:rPr>
          <w:b w:val="0"/>
          <w:bCs w:val="0"/>
        </w:rPr>
        <w:t>; Rastreabilidade; Serviços Ecossistêmicos.</w:t>
      </w:r>
    </w:p>
    <w:p w14:paraId="01C1C51E" w14:textId="77777777" w:rsidR="008B7A1F" w:rsidRDefault="008B7A1F" w:rsidP="008B7A1F"/>
    <w:p w14:paraId="66F3BBB6" w14:textId="77777777" w:rsidR="008B7A1F" w:rsidRDefault="008B7A1F" w:rsidP="008B7A1F"/>
    <w:p w14:paraId="60530416" w14:textId="77777777" w:rsidR="008B7A1F" w:rsidRPr="008B7A1F" w:rsidRDefault="008B7A1F" w:rsidP="008B7A1F"/>
    <w:p w14:paraId="4EF57C46" w14:textId="77777777" w:rsidR="00DA6248" w:rsidRDefault="00000000">
      <w:pPr>
        <w:pStyle w:val="Ttulo1"/>
      </w:pPr>
      <w:bookmarkStart w:id="2" w:name="introdução"/>
      <w:bookmarkEnd w:id="0"/>
      <w:bookmarkEnd w:id="1"/>
      <w:r>
        <w:lastRenderedPageBreak/>
        <w:t>1. Introdução</w:t>
      </w:r>
    </w:p>
    <w:p w14:paraId="4EF57C47" w14:textId="77777777" w:rsidR="00DA6248" w:rsidRDefault="00000000">
      <w:r>
        <w:t xml:space="preserve">As Indicações Geográficas (IGs) transcendem sua função original como propriedade intelectual ao surgir como instrumentos estratégicos para a governança ambiental e a conservação da agrobiodiversidade no Antropoceno (Vandecandelaere </w:t>
      </w:r>
      <w:r>
        <w:rPr>
          <w:i/>
          <w:iCs/>
        </w:rPr>
        <w:t>et al.</w:t>
      </w:r>
      <w:r>
        <w:t xml:space="preserve">, 2009; Belletti, Marescotti e Touzard, 2017). Em um cenário global marcado pela crise climática e pela erosão da biodiversidade, as IGs operam como sistemas socioecológicos que vinculam a qualidade do produto à integridade dos serviços ecossistêmicos do território (Berkes, Colding e Folke, 2003; Bramley, Bi-®nabe e Kirsten, 2013). Elas representam mecanismos para valorizar práticas agrícolas regenerativas e manter paisagens culturais, onde o </w:t>
      </w:r>
      <w:r>
        <w:rPr>
          <w:i/>
          <w:iCs/>
        </w:rPr>
        <w:t>terroir</w:t>
      </w:r>
      <w:r>
        <w:t xml:space="preserve"> é redefinido não apenas como um atributo sensorial, mas como uma impressão digital do produto e da resiliência climática (Giovannucci </w:t>
      </w:r>
      <w:r>
        <w:rPr>
          <w:i/>
          <w:iCs/>
        </w:rPr>
        <w:t>et al.</w:t>
      </w:r>
      <w:r>
        <w:t>, 2010; Fonzo e Russo, 2015).</w:t>
      </w:r>
    </w:p>
    <w:p w14:paraId="4EF57C48" w14:textId="77777777" w:rsidR="00DA6248" w:rsidRDefault="00000000">
      <w:pPr>
        <w:pStyle w:val="Corpodetexto"/>
      </w:pPr>
      <w:r>
        <w:t xml:space="preserve">A regulamentação internacional, fundamentada no Acordo TRIPS e no Regulamento (UE) n.º 1151/2012, estabelece a base jurídica, mas é a capacidade de auditoria ambiental que confere legitimidade contemporânea a esses ativos (World Trade Organization, 1994; European Union, 2012). A distinção entre Indicação Geográfica Protegida (IGP) e Denominação de Origem Protegida (DOP) reflete diferentes graus de dependência dos ciclos naturais, exigindo sistemas de verificação robustos para evitar o </w:t>
      </w:r>
      <w:r>
        <w:rPr>
          <w:i/>
          <w:iCs/>
        </w:rPr>
        <w:t>greenwashing</w:t>
      </w:r>
      <w:r>
        <w:t xml:space="preserve"> e garantir que o prêmio de mercado financie efetivamente a conservação ambiental (Locatelli, 2008; World Intellectual Property Organization, 2020). A credibilidade desses selos depende, portanto, da capacidade de comprovar cientificamente que as características do produto derivam de interações ambientais específicas e não replicáveis.</w:t>
      </w:r>
    </w:p>
    <w:p w14:paraId="4EF57C49" w14:textId="77777777" w:rsidR="00DA6248" w:rsidRDefault="00000000">
      <w:pPr>
        <w:pStyle w:val="Corpodetexto"/>
      </w:pPr>
      <w:r>
        <w:t>O terroir pode ser compreendido como um sistema socioecológico intrinsecamente acoplado, no qual solo, clima, biota e cultura se articulam por meio de interações não lineares, feedbacks e forte heterogeneidade espacial e temporal, configurando um território onde processos biofísicos e práticas sociais são co-produzidos (Le Floc’h, M-®ral e Fontana, 2016).</w:t>
      </w:r>
    </w:p>
    <w:p w14:paraId="4EF57C4A" w14:textId="77777777" w:rsidR="00DA6248" w:rsidRDefault="00000000">
      <w:pPr>
        <w:pStyle w:val="Corpodetexto"/>
      </w:pPr>
      <w:r>
        <w:t>Essa complexidade sistêmica e a natureza difusa de seus acoplamentos limitam a detecção dos serviços ecossistêmicos que sustentam a tipicidade e o valor do produto por métricas convencionais (Levin, 1998). Consequentemente, a valoração desses serviços e a governança de bens comuns são fragilizadas, facilitando práticas de greenwashing (Gale e Nahm, 2023). A ausência de instrumental analítico capaz de decifrar esses acoplamentos sistêmicos compromete o monitoramento e a fiscalização ambiental em biomas extensos, impactando a sustentabilidade em escala global (Liao, Long e Zhang, 2023).</w:t>
      </w:r>
    </w:p>
    <w:p w14:paraId="4EF57C4B" w14:textId="77777777" w:rsidR="00DA6248" w:rsidRDefault="00000000">
      <w:pPr>
        <w:pStyle w:val="Corpodetexto"/>
      </w:pPr>
      <w:r>
        <w:lastRenderedPageBreak/>
        <w:t xml:space="preserve">Nesse contexto, o Aprendizado de Máquina (ML) mostra-se uma abordagem computacional intrínseca para a análise de sistemas complexos. Ao processar padrões e relações não-lineares em dados multiescalares, que incluem informações espectrais, isotópicas e metabolômicas, o ML converte a incerteza intrínseca desses sistemas em evidência auditável (Li </w:t>
      </w:r>
      <w:r>
        <w:rPr>
          <w:i/>
          <w:iCs/>
        </w:rPr>
        <w:t>et al.</w:t>
      </w:r>
      <w:r>
        <w:t>, 2022). Essa capacidade é fundamental para a governança ambiental e a preservação da soberania epistêmica das comunidades (Suh e Macpherson, 2007; Sousa Santos, 2007).</w:t>
      </w:r>
    </w:p>
    <w:p w14:paraId="4EF57C4C" w14:textId="77777777" w:rsidR="00DA6248" w:rsidRDefault="00000000">
      <w:pPr>
        <w:pStyle w:val="Corpodetexto"/>
      </w:pPr>
      <w:r>
        <w:t>Em escalas geográficas amplas, o ML torna possível a auditabilidade de serviços ecossistêmicos, estabelecendo uma ligação verificável entre a conformidade ambiental e o prêmio de mercado, e mitigando as assimetrias informacionais que propiciam fraudes e apropriação indevida (Kshetri, 2014a).</w:t>
      </w:r>
    </w:p>
    <w:p w14:paraId="4EF57C4D" w14:textId="77777777" w:rsidR="00DA6248" w:rsidRDefault="00000000">
      <w:pPr>
        <w:pStyle w:val="Corpodetexto"/>
      </w:pPr>
      <w:r>
        <w:t>Contudo, a literatura carece de um framework conceitual unificado que integre as capacidades inferencias do ML com os requisitos regulatórios de certificação ambiental. Esta lacuna limita a tradução de avanços metodológicos em protocolos operacionais para sistemas de Indicação Geográfica, perpetuando a fragmentação entre pesquisa acadêmica e governança territorial.</w:t>
      </w:r>
    </w:p>
    <w:p w14:paraId="43F3A90C" w14:textId="32A5A2F4" w:rsidR="00FE1C2C" w:rsidRDefault="00FE1C2C" w:rsidP="00FE1C2C">
      <w:r>
        <w:t xml:space="preserve">Buscando contemplar essa lacuna, adotamos </w:t>
      </w:r>
      <w:r>
        <w:t xml:space="preserve">neste estudo a definição </w:t>
      </w:r>
      <w:proofErr w:type="spellStart"/>
      <w:r>
        <w:t>constituiva</w:t>
      </w:r>
      <w:proofErr w:type="spellEnd"/>
      <w:r>
        <w:t xml:space="preserve"> do Terroir Digital como a reconstrução computacional dinâmica e contínua das interações sistêmicas entre solo, clima, biota e práticas humanas (o genótipo territorial) e a expressão </w:t>
      </w:r>
      <w:proofErr w:type="spellStart"/>
      <w:r>
        <w:t>quimiométrica</w:t>
      </w:r>
      <w:proofErr w:type="spellEnd"/>
      <w:r>
        <w:t xml:space="preserve"> final do produto (o fenótipo), operando como um Gêmeo Digital (</w:t>
      </w:r>
      <w:r>
        <w:rPr>
          <w:i/>
          <w:iCs/>
        </w:rPr>
        <w:t>Digital Twin</w:t>
      </w:r>
      <w:r>
        <w:t>) inferencial (</w:t>
      </w:r>
      <w:proofErr w:type="spellStart"/>
      <w:r>
        <w:t>Pylianidis</w:t>
      </w:r>
      <w:proofErr w:type="spellEnd"/>
      <w:r>
        <w:t xml:space="preserve">, </w:t>
      </w:r>
      <w:proofErr w:type="spellStart"/>
      <w:r>
        <w:t>Osinga</w:t>
      </w:r>
      <w:proofErr w:type="spellEnd"/>
      <w:r>
        <w:t xml:space="preserve"> e </w:t>
      </w:r>
      <w:proofErr w:type="spellStart"/>
      <w:r>
        <w:t>Athanasiadis</w:t>
      </w:r>
      <w:proofErr w:type="spellEnd"/>
      <w:r>
        <w:t xml:space="preserve">, 2021; </w:t>
      </w:r>
      <w:proofErr w:type="spellStart"/>
      <w:r>
        <w:t>Hensel</w:t>
      </w:r>
      <w:proofErr w:type="spellEnd"/>
      <w:r>
        <w:t xml:space="preserve"> e </w:t>
      </w:r>
      <w:proofErr w:type="spellStart"/>
      <w:r>
        <w:t>Nasirahmadi</w:t>
      </w:r>
      <w:proofErr w:type="spellEnd"/>
      <w:r>
        <w:t>, 2021). Diferentemente da cartografia estática tradicional, que fornece representação pontual do espaço físico, o Terroir Digital correlaciona, em tempo quase real, variáveis ambientais com assinaturas analíticas de alta dimensionalidade, convertendo incerteza ecológica em evidências auditáveis de autenticidade e conformidade ambiental (</w:t>
      </w:r>
      <w:proofErr w:type="spellStart"/>
      <w:r>
        <w:t>Nasirahmadi</w:t>
      </w:r>
      <w:proofErr w:type="spellEnd"/>
      <w:r>
        <w:t xml:space="preserve"> e </w:t>
      </w:r>
      <w:proofErr w:type="spellStart"/>
      <w:r>
        <w:t>Hensel</w:t>
      </w:r>
      <w:proofErr w:type="spellEnd"/>
      <w:r>
        <w:t xml:space="preserve">, 2022; </w:t>
      </w:r>
      <w:proofErr w:type="spellStart"/>
      <w:r>
        <w:t>Guerena</w:t>
      </w:r>
      <w:proofErr w:type="spellEnd"/>
      <w:r>
        <w:t xml:space="preserve"> </w:t>
      </w:r>
      <w:r>
        <w:rPr>
          <w:i/>
          <w:iCs/>
        </w:rPr>
        <w:t>et al.</w:t>
      </w:r>
      <w:r>
        <w:t>, 2024).</w:t>
      </w:r>
    </w:p>
    <w:p w14:paraId="75A8F83D" w14:textId="77777777" w:rsidR="00FE1C2C" w:rsidRDefault="00FE1C2C" w:rsidP="00FE1C2C">
      <w:pPr>
        <w:pStyle w:val="Corpodetexto"/>
      </w:pPr>
      <w:r>
        <w:t>Essa formulação dialoga com o arcabouço de Gêmeos Digitais aplicado a agroecossistemas (</w:t>
      </w:r>
      <w:proofErr w:type="spellStart"/>
      <w:r>
        <w:t>Pylianidis</w:t>
      </w:r>
      <w:proofErr w:type="spellEnd"/>
      <w:r>
        <w:t xml:space="preserve">, </w:t>
      </w:r>
      <w:proofErr w:type="spellStart"/>
      <w:r>
        <w:t>Osinga</w:t>
      </w:r>
      <w:proofErr w:type="spellEnd"/>
      <w:r>
        <w:t xml:space="preserve"> e </w:t>
      </w:r>
      <w:proofErr w:type="spellStart"/>
      <w:r>
        <w:t>Athanasiadis</w:t>
      </w:r>
      <w:proofErr w:type="spellEnd"/>
      <w:r>
        <w:t>, 2021) e com o entendimento de terroir como acoplamento socioecológico (</w:t>
      </w:r>
      <w:proofErr w:type="spellStart"/>
      <w:r>
        <w:t>Bramley</w:t>
      </w:r>
      <w:proofErr w:type="spellEnd"/>
      <w:r>
        <w:t>, Bi-®</w:t>
      </w:r>
      <w:proofErr w:type="spellStart"/>
      <w:r>
        <w:t>nabe</w:t>
      </w:r>
      <w:proofErr w:type="spellEnd"/>
      <w:r>
        <w:t xml:space="preserve"> e Kirsten, 2013; Le </w:t>
      </w:r>
      <w:proofErr w:type="spellStart"/>
      <w:r>
        <w:t>Floc’h</w:t>
      </w:r>
      <w:proofErr w:type="spellEnd"/>
      <w:r>
        <w:t>, M-®</w:t>
      </w:r>
      <w:proofErr w:type="spellStart"/>
      <w:r>
        <w:t>ral</w:t>
      </w:r>
      <w:proofErr w:type="spellEnd"/>
      <w:r>
        <w:t xml:space="preserve"> e Fontana, 2016), integrando inferência computacional com fundamentos territoriais. O conceito estabelece vínculo auditável entre produto e serviços ecossistêmicos (Belletti e </w:t>
      </w:r>
      <w:proofErr w:type="spellStart"/>
      <w:r>
        <w:t>Marescotti</w:t>
      </w:r>
      <w:proofErr w:type="spellEnd"/>
      <w:r>
        <w:t xml:space="preserve">, 2017; </w:t>
      </w:r>
      <w:proofErr w:type="spellStart"/>
      <w:r>
        <w:t>Vandecandelaere</w:t>
      </w:r>
      <w:proofErr w:type="spellEnd"/>
      <w:r>
        <w:t xml:space="preserve"> </w:t>
      </w:r>
      <w:r>
        <w:rPr>
          <w:i/>
          <w:iCs/>
        </w:rPr>
        <w:t>et al.</w:t>
      </w:r>
      <w:r>
        <w:t>, 2018), transformando a identidade do lugar em hipótese testável e matematicamente verificável.</w:t>
      </w:r>
    </w:p>
    <w:p w14:paraId="6E4835EB" w14:textId="77777777" w:rsidR="00FE1C2C" w:rsidRDefault="00FE1C2C" w:rsidP="00FE1C2C">
      <w:pPr>
        <w:pStyle w:val="Corpodetexto"/>
      </w:pPr>
      <w:r>
        <w:t xml:space="preserve">Para o reconhecimento técnico operacional como Terroir Digital, um sistema computacional deve atender a critérios operacionais estruturados, derivados das </w:t>
      </w:r>
      <w:r>
        <w:lastRenderedPageBreak/>
        <w:t>lacunas metodológicas identificadas na revisão. A robustez de validação constitui requisito primário, demandando desempenho consistente mediante validação espacialmente independente com particionamento geográfico (Kuhn e Johnson, 2013), séries temporais longitudinais representativas de variabilidade climática interanual e testes de transferência entre safras, lotes e regiões comparáveis.</w:t>
      </w:r>
    </w:p>
    <w:p w14:paraId="634958A7" w14:textId="77777777" w:rsidR="00FE1C2C" w:rsidRDefault="00FE1C2C" w:rsidP="00FE1C2C">
      <w:pPr>
        <w:pStyle w:val="Corpodetexto"/>
      </w:pPr>
      <w:r>
        <w:t>A transparência algorítmica exige implementação de métodos de Inteligência Artificial Explicável (XAI) (</w:t>
      </w:r>
      <w:proofErr w:type="spellStart"/>
      <w:r>
        <w:t>Lundberg</w:t>
      </w:r>
      <w:proofErr w:type="spellEnd"/>
      <w:r>
        <w:t xml:space="preserve"> e Lee, 2017; </w:t>
      </w:r>
      <w:proofErr w:type="spellStart"/>
      <w:r>
        <w:t>Rudin</w:t>
      </w:r>
      <w:proofErr w:type="spellEnd"/>
      <w:r>
        <w:t>, 2019) capazes de identificar marcadores territoriais com plausibilidade físico-química, rastrear decisões de autenticação até variáveis ambientais causais e rejeitar correlações espúrias sem fundamentação ecológica.</w:t>
      </w:r>
    </w:p>
    <w:p w14:paraId="0FDAE83F" w14:textId="77777777" w:rsidR="00FE1C2C" w:rsidRDefault="00FE1C2C" w:rsidP="00FE1C2C">
      <w:pPr>
        <w:pStyle w:val="Corpodetexto"/>
      </w:pPr>
      <w:r>
        <w:t xml:space="preserve">A governança de dados abertos deve operar sob padrões FAIR (Wilkinson, 2021), assegurando metadados padronizados que permitam validação cruzada independente, repositórios espectrais e </w:t>
      </w:r>
      <w:proofErr w:type="spellStart"/>
      <w:r>
        <w:t>metabolômicos</w:t>
      </w:r>
      <w:proofErr w:type="spellEnd"/>
      <w:r>
        <w:t xml:space="preserve"> de acesso público e protocolos de amostragem documentados e replicáveis. Finalmente, a auditabilidade regulatória pressupõe incorporação de mecanismos de verificação, incluindo trilhas de auditoria documentando histórico de inferências, registro imutável de certificações mediante tecnologias como blockchain quando pertinente (</w:t>
      </w:r>
      <w:proofErr w:type="spellStart"/>
      <w:r>
        <w:t>Kshetri</w:t>
      </w:r>
      <w:proofErr w:type="spellEnd"/>
      <w:r>
        <w:t>, 2014b) e limites de degradação de desempenho previamente definidos e continuamente monitorados.</w:t>
      </w:r>
    </w:p>
    <w:p w14:paraId="26080AFC" w14:textId="77777777" w:rsidR="0013739B" w:rsidRDefault="00000000">
      <w:pPr>
        <w:pStyle w:val="Corpodetexto"/>
      </w:pPr>
      <w:r>
        <w:t xml:space="preserve">Neste sentido, esta revisão mapeia sistematicamente as aplicações de Aprendizado de Máquina em Indicações Geográficas, com foco em seu potencial para autenticação ambiental e prevenção de fraudes. A partir da síntese de 148 estudos revisados por pares (2010–2025), propõe-se o conceito de ‘Terroir Digital’ como framework analítico para operacionalizar a auditoria inferencial de serviços ecossistêmicos. </w:t>
      </w:r>
    </w:p>
    <w:p w14:paraId="4EF57C4E" w14:textId="4D3FDCD7" w:rsidR="00DA6248" w:rsidRDefault="00000000">
      <w:pPr>
        <w:pStyle w:val="Corpodetexto"/>
      </w:pPr>
      <w:r>
        <w:t>Postula-se que a modelagem dos acoplamentos não-lineares entre variáveis ambientais (genótipo territorial) e assinaturas quimiométricas (fenótipo do produto) pode gerar evidências auditáveis de conformidade ambiental, convertendo alegações difusas de sustentabilidade em dados verificáveis e fundamentando políticas de conservação baseadas no mercado.</w:t>
      </w:r>
    </w:p>
    <w:p w14:paraId="4EF57C4F" w14:textId="77777777" w:rsidR="00DA6248" w:rsidRDefault="00000000">
      <w:pPr>
        <w:pStyle w:val="Ttulo1"/>
      </w:pPr>
      <w:bookmarkStart w:id="3" w:name="materiais-e-métodos"/>
      <w:bookmarkEnd w:id="2"/>
      <w:r>
        <w:t>2. Materiais e Métodos</w:t>
      </w:r>
    </w:p>
    <w:p w14:paraId="4EF57C50" w14:textId="77777777" w:rsidR="00DA6248" w:rsidRDefault="00000000">
      <w:r>
        <w:t>Esta revisão segue as diretrizes PRISMA-ScR ( Preferred Reporting Items for Systematic Reviews and Meta-Analyses extension for Scoping Reviews ) como uma estrutura de transparência para garantir clareza metodológica e reprodutibilidade. O protocolo está registrado no Open Science Framework para facilitar o acesso público e a replicabilidade.</w:t>
      </w:r>
    </w:p>
    <w:p w14:paraId="4EF57C51" w14:textId="77777777" w:rsidR="00DA6248" w:rsidRDefault="00000000">
      <w:pPr>
        <w:pStyle w:val="Ttulo2"/>
      </w:pPr>
      <w:bookmarkStart w:id="4" w:name="questão-de-pesquisa"/>
      <w:r>
        <w:lastRenderedPageBreak/>
        <w:t>2.1 Questão de Pesquisa</w:t>
      </w:r>
    </w:p>
    <w:p w14:paraId="4EF57C52" w14:textId="77777777" w:rsidR="00DA6248" w:rsidRDefault="00000000">
      <w:r>
        <w:t>O estudo utiliza a estrutura PCC ( População, Conceito, Contexto ) para formular a seguinte questão de pesquisa: Como as técnicas de Aprendizado de Máquina têm sido aplicadas para autenticação, avaliação e apoio à decisão em sistemas de Indicações Geográficas?</w:t>
      </w:r>
    </w:p>
    <w:p w14:paraId="4EF57C53" w14:textId="77777777" w:rsidR="00DA6248" w:rsidRDefault="00000000">
      <w:pPr>
        <w:pStyle w:val="Corpodetexto"/>
      </w:pPr>
      <w:r>
        <w:rPr>
          <w:b/>
          <w:bCs/>
        </w:rPr>
        <w:t>Tabela 1.</w:t>
      </w:r>
      <w:r>
        <w:t xml:space="preserve"> Estrutura da revisão de acordo com o modelo PCC.</w:t>
      </w:r>
    </w:p>
    <w:tbl>
      <w:tblPr>
        <w:tblStyle w:val="Table"/>
        <w:tblW w:w="5000" w:type="pct"/>
        <w:tblLayout w:type="fixed"/>
        <w:tblLook w:val="0020" w:firstRow="1" w:lastRow="0" w:firstColumn="0" w:lastColumn="0" w:noHBand="0" w:noVBand="0"/>
      </w:tblPr>
      <w:tblGrid>
        <w:gridCol w:w="2823"/>
        <w:gridCol w:w="6015"/>
      </w:tblGrid>
      <w:tr w:rsidR="00DA6248" w:rsidRPr="008B7A1F" w14:paraId="4EF57C56" w14:textId="77777777" w:rsidTr="008B7A1F">
        <w:trPr>
          <w:tblHeader/>
        </w:trPr>
        <w:tc>
          <w:tcPr>
            <w:tcW w:w="2530" w:type="dxa"/>
            <w:tcBorders>
              <w:top w:val="single" w:sz="4" w:space="0" w:color="auto"/>
              <w:bottom w:val="single" w:sz="4" w:space="0" w:color="auto"/>
            </w:tcBorders>
          </w:tcPr>
          <w:p w14:paraId="4EF57C54" w14:textId="77777777" w:rsidR="00DA6248" w:rsidRPr="008B7A1F" w:rsidRDefault="00000000">
            <w:pPr>
              <w:jc w:val="left"/>
              <w:rPr>
                <w:b/>
                <w:bCs/>
              </w:rPr>
            </w:pPr>
            <w:r w:rsidRPr="008B7A1F">
              <w:rPr>
                <w:b/>
                <w:bCs/>
              </w:rPr>
              <w:t>Elemento</w:t>
            </w:r>
          </w:p>
        </w:tc>
        <w:tc>
          <w:tcPr>
            <w:tcW w:w="5390" w:type="dxa"/>
            <w:tcBorders>
              <w:top w:val="single" w:sz="4" w:space="0" w:color="auto"/>
              <w:bottom w:val="single" w:sz="4" w:space="0" w:color="auto"/>
            </w:tcBorders>
          </w:tcPr>
          <w:p w14:paraId="4EF57C55" w14:textId="77777777" w:rsidR="00DA6248" w:rsidRPr="008B7A1F" w:rsidRDefault="00000000">
            <w:pPr>
              <w:jc w:val="left"/>
              <w:rPr>
                <w:b/>
                <w:bCs/>
              </w:rPr>
            </w:pPr>
            <w:r w:rsidRPr="008B7A1F">
              <w:rPr>
                <w:b/>
                <w:bCs/>
              </w:rPr>
              <w:t>Descrição</w:t>
            </w:r>
          </w:p>
        </w:tc>
      </w:tr>
      <w:tr w:rsidR="00DA6248" w14:paraId="4EF57C59" w14:textId="77777777" w:rsidTr="008B7A1F">
        <w:tc>
          <w:tcPr>
            <w:tcW w:w="2530" w:type="dxa"/>
            <w:tcBorders>
              <w:top w:val="single" w:sz="4" w:space="0" w:color="auto"/>
            </w:tcBorders>
          </w:tcPr>
          <w:p w14:paraId="4EF57C57" w14:textId="77777777" w:rsidR="00DA6248" w:rsidRDefault="00000000">
            <w:pPr>
              <w:jc w:val="left"/>
            </w:pPr>
            <w:r>
              <w:rPr>
                <w:b/>
                <w:bCs/>
              </w:rPr>
              <w:t>P (População)</w:t>
            </w:r>
          </w:p>
        </w:tc>
        <w:tc>
          <w:tcPr>
            <w:tcW w:w="5390" w:type="dxa"/>
            <w:tcBorders>
              <w:top w:val="single" w:sz="4" w:space="0" w:color="auto"/>
            </w:tcBorders>
          </w:tcPr>
          <w:p w14:paraId="4EF57C58" w14:textId="77777777" w:rsidR="00DA6248" w:rsidRDefault="00000000">
            <w:pPr>
              <w:jc w:val="left"/>
            </w:pPr>
            <w:r>
              <w:t>Indicações Geográficas, Denominações de Origem e Indicações de Procedência reconhecidas nacional e internacionalmente, abrangendo produtos agroalimentares (vinhos, queijos, cafés, carnes, azeites), artesanato e outros produtos com identidade territorial.</w:t>
            </w:r>
          </w:p>
        </w:tc>
      </w:tr>
      <w:tr w:rsidR="00DA6248" w14:paraId="4EF57C5C" w14:textId="77777777">
        <w:tc>
          <w:tcPr>
            <w:tcW w:w="2530" w:type="dxa"/>
          </w:tcPr>
          <w:p w14:paraId="4EF57C5A" w14:textId="77777777" w:rsidR="00DA6248" w:rsidRDefault="00000000">
            <w:pPr>
              <w:jc w:val="left"/>
            </w:pPr>
            <w:r>
              <w:rPr>
                <w:b/>
                <w:bCs/>
              </w:rPr>
              <w:t>C (Conceito)</w:t>
            </w:r>
          </w:p>
        </w:tc>
        <w:tc>
          <w:tcPr>
            <w:tcW w:w="5390" w:type="dxa"/>
          </w:tcPr>
          <w:p w14:paraId="4EF57C5B" w14:textId="77777777" w:rsidR="00DA6248" w:rsidRDefault="00000000">
            <w:pPr>
              <w:jc w:val="left"/>
            </w:pPr>
            <w:r>
              <w:t>Aprendizado de Máquina, Inteligência Artificial, algoritmos de classificação e predição, métodos quimiométricos, Mineração de Dados e Processamento de Linguagem Natural aplicados a contextos de Indicações Geográficas.</w:t>
            </w:r>
          </w:p>
        </w:tc>
      </w:tr>
      <w:tr w:rsidR="00DA6248" w14:paraId="4EF57C5F" w14:textId="77777777">
        <w:tc>
          <w:tcPr>
            <w:tcW w:w="2530" w:type="dxa"/>
          </w:tcPr>
          <w:p w14:paraId="4EF57C5D" w14:textId="77777777" w:rsidR="00DA6248" w:rsidRDefault="00000000">
            <w:pPr>
              <w:jc w:val="left"/>
            </w:pPr>
            <w:r>
              <w:rPr>
                <w:b/>
                <w:bCs/>
              </w:rPr>
              <w:t>C (Contexto)</w:t>
            </w:r>
          </w:p>
        </w:tc>
        <w:tc>
          <w:tcPr>
            <w:tcW w:w="5390" w:type="dxa"/>
          </w:tcPr>
          <w:p w14:paraId="4EF57C5E" w14:textId="77777777" w:rsidR="00DA6248" w:rsidRDefault="00000000">
            <w:pPr>
              <w:jc w:val="left"/>
            </w:pPr>
            <w:r>
              <w:t>Autenticação de origem geográfica, avaliação do potencial de IG,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14:paraId="330A4AA9" w14:textId="77777777" w:rsidR="00B74445" w:rsidRDefault="00B74445">
      <w:pPr>
        <w:pStyle w:val="Corpodetexto"/>
      </w:pPr>
    </w:p>
    <w:p w14:paraId="4EF57C60" w14:textId="3F261542" w:rsidR="00DA6248" w:rsidRDefault="00000000">
      <w:pPr>
        <w:pStyle w:val="Corpodetexto"/>
      </w:pPr>
      <w:r>
        <w:t>Este estudo identifica e caracteriza aplicações de aprendizado de máquina (ML) relatadas na literatura, categorizando as técnicas por tipo de algoritmo, abordagem metodológica e métricas de desempenho. Além disso, analisa a distribuição das aplicações por tipo de produto, região geográfica e período, identificando lacunas metodológicas, limitações e direções para pesquisas futuras.</w:t>
      </w:r>
    </w:p>
    <w:p w14:paraId="4EF57C61" w14:textId="77777777" w:rsidR="00DA6248" w:rsidRDefault="00000000">
      <w:pPr>
        <w:pStyle w:val="Ttulo2"/>
      </w:pPr>
      <w:bookmarkStart w:id="5" w:name="fluxograma-metodológico-prisma-scr"/>
      <w:bookmarkEnd w:id="4"/>
      <w:r>
        <w:t>2.1.1 Fluxograma Metodológico PRISMA-ScR</w:t>
      </w:r>
    </w:p>
    <w:p w14:paraId="4EF57C62" w14:textId="77777777" w:rsidR="00DA6248" w:rsidRDefault="00000000">
      <w:r>
        <w:t>A Figura 1 apresenta o fluxograma metodológico, estruturado em quatro fases sequenciais: (1) Estratégias principais de busca na base de dados, (2) Filtragem automatizada com um sistema de pontuação ponderada, (3) Avaliação manual da qualidade com avaliação multidisciplinar e (4) Análise bibliométrica e síntese qualitativa integrando metodologias quantitativas e documentais. O fluxograma detalha o caminho desde a identificação dos registros até a síntese final, oferecendo recomendações para a implementação de Aprendizado de Máquina em sistemas de Indicações Geográficas.</w:t>
      </w:r>
    </w:p>
    <w:p w14:paraId="0891818B" w14:textId="77777777" w:rsidR="008B7A1F" w:rsidRDefault="008B7A1F" w:rsidP="008B7A1F">
      <w:pPr>
        <w:pStyle w:val="Corpodetexto"/>
        <w:ind w:firstLine="0"/>
        <w:rPr>
          <w:b/>
          <w:bCs/>
        </w:rPr>
      </w:pPr>
    </w:p>
    <w:p w14:paraId="54FF8079" w14:textId="77777777" w:rsidR="008B7A1F" w:rsidRDefault="008B7A1F" w:rsidP="008B7A1F">
      <w:pPr>
        <w:pStyle w:val="Corpodetexto"/>
        <w:ind w:firstLine="0"/>
        <w:rPr>
          <w:b/>
          <w:bCs/>
        </w:rPr>
      </w:pPr>
    </w:p>
    <w:p w14:paraId="7022AC3D" w14:textId="77777777" w:rsidR="008B7A1F" w:rsidRDefault="008B7A1F" w:rsidP="008B7A1F">
      <w:pPr>
        <w:pStyle w:val="Corpodetexto"/>
        <w:ind w:firstLine="0"/>
        <w:rPr>
          <w:b/>
          <w:bCs/>
        </w:rPr>
      </w:pPr>
    </w:p>
    <w:p w14:paraId="33906316" w14:textId="77777777" w:rsidR="008B7A1F" w:rsidRDefault="008B7A1F" w:rsidP="008B7A1F">
      <w:pPr>
        <w:pStyle w:val="Corpodetexto"/>
        <w:ind w:firstLine="0"/>
        <w:rPr>
          <w:b/>
          <w:bCs/>
        </w:rPr>
      </w:pPr>
    </w:p>
    <w:p w14:paraId="44E38CBF" w14:textId="77777777" w:rsidR="008B7A1F" w:rsidRDefault="008B7A1F" w:rsidP="008B7A1F">
      <w:pPr>
        <w:pStyle w:val="Corpodetexto"/>
        <w:ind w:firstLine="0"/>
        <w:rPr>
          <w:b/>
          <w:bCs/>
        </w:rPr>
      </w:pPr>
    </w:p>
    <w:p w14:paraId="280ABBCC" w14:textId="77777777" w:rsidR="008B7A1F" w:rsidRDefault="008B7A1F" w:rsidP="008B7A1F">
      <w:pPr>
        <w:pStyle w:val="Corpodetexto"/>
        <w:ind w:firstLine="0"/>
        <w:rPr>
          <w:b/>
          <w:bCs/>
        </w:rPr>
      </w:pPr>
    </w:p>
    <w:p w14:paraId="4EF57C63" w14:textId="689B4749" w:rsidR="00DA6248" w:rsidRDefault="00000000" w:rsidP="008B7A1F">
      <w:pPr>
        <w:pStyle w:val="Corpodetexto"/>
        <w:ind w:firstLine="0"/>
      </w:pPr>
      <w:r>
        <w:rPr>
          <w:b/>
          <w:bCs/>
        </w:rPr>
        <w:t>Figura 1.</w:t>
      </w:r>
      <w:r>
        <w:t xml:space="preserve"> Fluxograma de triagem, elegibilidade e síntese para aplicações de aprendizado de máquina em Indicações Geográficas.</w:t>
      </w:r>
    </w:p>
    <w:p w14:paraId="56458091" w14:textId="77777777" w:rsidR="008B7A1F" w:rsidRDefault="008B7A1F">
      <w:pPr>
        <w:pStyle w:val="Corpodetexto"/>
        <w:rPr>
          <w:noProof/>
        </w:rPr>
      </w:pPr>
      <w:bookmarkStart w:id="6" w:name="fig:ml_indicacoes"/>
    </w:p>
    <w:p w14:paraId="4EF57C64" w14:textId="0B5BA7EA" w:rsidR="00DA6248" w:rsidRDefault="00000000">
      <w:pPr>
        <w:pStyle w:val="Corpodetexto"/>
      </w:pPr>
      <w:r>
        <w:rPr>
          <w:noProof/>
        </w:rPr>
        <w:drawing>
          <wp:inline distT="0" distB="0" distL="0" distR="0" wp14:anchorId="4EF57DB4" wp14:editId="25FEDF68">
            <wp:extent cx="5054600" cy="2260600"/>
            <wp:effectExtent l="0" t="0" r="0" b="6350"/>
            <wp:docPr id="22" name="Picture"/>
            <wp:cNvGraphicFramePr/>
            <a:graphic xmlns:a="http://schemas.openxmlformats.org/drawingml/2006/main">
              <a:graphicData uri="http://schemas.openxmlformats.org/drawingml/2006/picture">
                <pic:pic xmlns:pic="http://schemas.openxmlformats.org/drawingml/2006/picture">
                  <pic:nvPicPr>
                    <pic:cNvPr id="23" name="Picture" descr="2-FIGURAS/2-EN/ml_indicacoes_geograficas.png"/>
                    <pic:cNvPicPr>
                      <a:picLocks noChangeAspect="1" noChangeArrowheads="1"/>
                    </pic:cNvPicPr>
                  </pic:nvPicPr>
                  <pic:blipFill rotWithShape="1">
                    <a:blip r:embed="rId5"/>
                    <a:srcRect t="22509" b="21880"/>
                    <a:stretch>
                      <a:fillRect/>
                    </a:stretch>
                  </pic:blipFill>
                  <pic:spPr bwMode="auto">
                    <a:xfrm>
                      <a:off x="0" y="0"/>
                      <a:ext cx="5056734" cy="2261554"/>
                    </a:xfrm>
                    <a:prstGeom prst="rect">
                      <a:avLst/>
                    </a:prstGeom>
                    <a:noFill/>
                    <a:ln>
                      <a:noFill/>
                    </a:ln>
                    <a:extLst>
                      <a:ext uri="{53640926-AAD7-44D8-BBD7-CCE9431645EC}">
                        <a14:shadowObscured xmlns:a14="http://schemas.microsoft.com/office/drawing/2010/main"/>
                      </a:ext>
                    </a:extLst>
                  </pic:spPr>
                </pic:pic>
              </a:graphicData>
            </a:graphic>
          </wp:inline>
        </w:drawing>
      </w:r>
      <w:bookmarkEnd w:id="6"/>
    </w:p>
    <w:p w14:paraId="4EF57C65" w14:textId="77777777" w:rsidR="00DA6248" w:rsidRDefault="00000000">
      <w:pPr>
        <w:pStyle w:val="Ttulo2"/>
      </w:pPr>
      <w:bookmarkStart w:id="7" w:name="X36a7b31db92475cffe9ff786082cd390a9160bd"/>
      <w:bookmarkEnd w:id="5"/>
      <w:r>
        <w:t>2.2 Estratégia de Busca e Extração de Estudos</w:t>
      </w:r>
    </w:p>
    <w:p w14:paraId="4EF57C66" w14:textId="77777777" w:rsidR="00DA6248" w:rsidRDefault="00000000">
      <w:r>
        <w:t>As buscas foram direcionadas ao Scopus (Elsevier) e ao Web of Science (Clarivate Analytics), cruzando três principais domínios temáticos: técnicas de aprendizado de máquina e inteligência artificial; sistemas de certificação geográfica; e Indicações Geográficas/Denominações de Origem.</w:t>
      </w:r>
    </w:p>
    <w:p w14:paraId="4EF57C67" w14:textId="77777777" w:rsidR="00DA6248" w:rsidRDefault="00000000">
      <w:pPr>
        <w:pStyle w:val="Corpodetexto"/>
      </w:pPr>
      <w:r>
        <w:t>Os descritores empregaram terminologia controlada em inglês e operadores booleanos (AND, OR, NOT), abrangendo publicações de 2010 a 2025 para capturar o estado da arte. A estratégia de busca seguiu esta lógica:</w:t>
      </w:r>
    </w:p>
    <w:p w14:paraId="4EF57C68" w14:textId="77777777" w:rsidR="00DA6248" w:rsidRDefault="00000000">
      <w:pPr>
        <w:pStyle w:val="Corpodetexto"/>
      </w:pPr>
      <w:r>
        <w:rPr>
          <w:i/>
          <w:iCs/>
        </w:rPr>
        <w:t>(“aprendizado de máquina” OU “inteligência artificial” OU “aprendizado profundo” OU “aprendizado supervisionado” OU “aprendizado não supervisionado” OU “métodos de conjunto”) E (“indicações geográficas” OU “denominações de origem” OU “denominações de origem protegidas”) E (“autenticação” OU “rastreabilidade” OU “controle de qualidade” OU “detecção de fraude” OU “análise geoespacial”)</w:t>
      </w:r>
      <w:r>
        <w:t xml:space="preserve"> .</w:t>
      </w:r>
    </w:p>
    <w:p w14:paraId="4EF57C69" w14:textId="77777777" w:rsidR="00DA6248" w:rsidRDefault="00000000">
      <w:pPr>
        <w:pStyle w:val="Corpodetexto"/>
      </w:pPr>
      <w:r>
        <w:t xml:space="preserve">Os critérios de inclusão compreenderam artigos revisados por pares em inglês, português ou espanhol que apresentassem aplicações de aprendizado de máquina em contextos de IG (Informação Geográfica), autenticação de origem ou controle de qualidade territorial. Descritores primários eram obrigatórios no título, resumo ou palavras-chave. Trabalhos não revisados por pares, estudos sem aplicação prática de </w:t>
      </w:r>
      <w:r>
        <w:lastRenderedPageBreak/>
        <w:t>aprendizado de máquina e aqueles focados exclusivamente em aspectos não territoriais foram excluídos.</w:t>
      </w:r>
    </w:p>
    <w:p w14:paraId="4EF57C6A" w14:textId="77777777" w:rsidR="00DA6248" w:rsidRDefault="00000000">
      <w:pPr>
        <w:pStyle w:val="Corpodetexto"/>
      </w:pPr>
      <w:r>
        <w:t>Embora a busca inicial tenha sido ampla, a síntese qualitativa priorizou estudos que estabeleceram ligações explícitas entre marcadores analíticos e variáveis ambientais (por exemplo, composição do solo, padrões de precipitação, altitude), filtrando estudos estritamente focados em processamento industrial. Isso garantiu que a revisão abordasse a auditabilidade dos serviços ecossistêmicos e a validade do conceito de terroir, em vez de se concentrar exclusivamente no controle de qualidade da produção.</w:t>
      </w:r>
    </w:p>
    <w:p w14:paraId="4EF57C6B" w14:textId="77777777" w:rsidR="00DA6248" w:rsidRDefault="00000000">
      <w:pPr>
        <w:pStyle w:val="Corpodetexto"/>
      </w:pPr>
      <w:r>
        <w:t>A extração de dados utilizou um formulário padronizado para registrar metadados bibliográficos (autor, ano, título), características geográficas (país de origem, região, tipo de IG), detalhes do produto (categoria, denominação específica), abordagem metodológica (algoritmos de aprendizado de máquina, técnicas analíticas/instrumentais, tamanho da amostra) e métricas de desempenho (precisão, sensibilidade, especificidade, RMSE).</w:t>
      </w:r>
    </w:p>
    <w:p w14:paraId="4EF57C6C" w14:textId="77777777" w:rsidR="00DA6248" w:rsidRDefault="00000000">
      <w:pPr>
        <w:pStyle w:val="Ttulo2"/>
      </w:pPr>
      <w:bookmarkStart w:id="8" w:name="X54b059ef1200f735db5a256938a7de6673650a6"/>
      <w:bookmarkEnd w:id="7"/>
      <w:r>
        <w:t>2.3 Primeira Fase: Sistema Automatizado de Filtragem por Relevância Temática</w:t>
      </w:r>
    </w:p>
    <w:p w14:paraId="4EF57C6D" w14:textId="77777777" w:rsidR="00DA6248" w:rsidRDefault="00000000" w:rsidP="008B7A1F">
      <w:pPr>
        <w:pStyle w:val="Ttulo3"/>
        <w:ind w:firstLine="0"/>
      </w:pPr>
      <w:bookmarkStart w:id="9" w:name="algoritmo-de-pontuação-ponderada"/>
      <w:r>
        <w:t>2.3.1 Algoritmo de Pontuação Ponderada</w:t>
      </w:r>
    </w:p>
    <w:p w14:paraId="4EF57C6E" w14:textId="77777777" w:rsidR="00DA6248" w:rsidRDefault="00000000">
      <w:r>
        <w:t>Complementando a triagem manual, um sistema de filtragem automatizado atribui pontuações de relevância temática com base na presença e localização dos descritores no título, resumo e palavras-chave. Implementado em Python (NLTK, spaCy), o algoritmo aplica um esquema de ponderação hierárquica a cada termo identificado. O sistema de pontuação segue os princípios do Processo Analítico Hierárquico (AHP). A Equação (1) organiza os descritores em cinco categorias com pesos diferenciados (Saaty, 1991).</w:t>
      </w:r>
    </w:p>
    <w:p w14:paraId="4EF57C6F" w14:textId="77777777" w:rsidR="00DA6248" w:rsidRDefault="00000000">
      <w:pPr>
        <w:pStyle w:val="Corpodetex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oMath>
      </m:oMathPara>
    </w:p>
    <w:p w14:paraId="4B60A27C" w14:textId="77777777" w:rsidR="008B7A1F" w:rsidRDefault="008B7A1F" w:rsidP="008B7A1F">
      <w:pPr>
        <w:ind w:firstLine="0"/>
      </w:pPr>
    </w:p>
    <w:p w14:paraId="4EF57C70" w14:textId="6DDCD191" w:rsidR="00DA6248" w:rsidRDefault="00000000" w:rsidP="008B7A1F">
      <w:pPr>
        <w:ind w:firstLine="0"/>
      </w:pPr>
      <w:r>
        <w:t>onde:</w:t>
      </w:r>
    </w:p>
    <w:p w14:paraId="4EF57C71" w14:textId="77777777" w:rsidR="00DA6248" w:rsidRDefault="00000000" w:rsidP="008B7A1F">
      <w:pPr>
        <w:ind w:firstLine="0"/>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 pontuação total do artigo </w:t>
      </w:r>
      <m:oMath>
        <m:r>
          <w:rPr>
            <w:rFonts w:ascii="Cambria Math" w:hAnsi="Cambria Math"/>
          </w:rPr>
          <m:t>i</m:t>
        </m:r>
      </m:oMath>
    </w:p>
    <w:p w14:paraId="4EF57C72" w14:textId="77777777" w:rsidR="00DA6248" w:rsidRDefault="00000000" w:rsidP="008B7A1F">
      <w:pPr>
        <w:ind w:firstLine="0"/>
      </w:pP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peso associado ao termo </w:t>
      </w:r>
      <m:oMath>
        <m:r>
          <w:rPr>
            <w:rFonts w:ascii="Cambria Math" w:hAnsi="Cambria Math"/>
          </w:rPr>
          <m:t>j</m:t>
        </m:r>
      </m:oMath>
      <w:r>
        <w:t xml:space="preserve"> (categorizado em 5 níveis: 5, 3, 2, 1 ou -5/-3/-2 pontos)</w:t>
      </w:r>
    </w:p>
    <w:p w14:paraId="4EF57C73" w14:textId="77777777" w:rsidR="00DA6248" w:rsidRDefault="00000000" w:rsidP="008B7A1F">
      <w:pPr>
        <w:ind w:firstLine="0"/>
      </w:pP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 multiplicador de localização (1,5 para título, 1,2 para palavras-chave, 1,0 para resumo)</w:t>
      </w:r>
    </w:p>
    <w:p w14:paraId="4EF57C74" w14:textId="77777777" w:rsidR="00DA6248" w:rsidRDefault="00000000" w:rsidP="008B7A1F">
      <w:pPr>
        <w:ind w:firstLine="0"/>
      </w:pPr>
      <m:oMath>
        <m:sSub>
          <m:sSubPr>
            <m:ctrlPr>
              <w:rPr>
                <w:rFonts w:ascii="Cambria Math" w:hAnsi="Cambria Math"/>
              </w:rPr>
            </m:ctrlPr>
          </m:sSubPr>
          <m:e>
            <m:r>
              <w:rPr>
                <w:rFonts w:ascii="Cambria Math" w:hAnsi="Cambria Math"/>
              </w:rPr>
              <m:t>f</m:t>
            </m:r>
          </m:e>
          <m:sub>
            <m:r>
              <w:rPr>
                <w:rFonts w:ascii="Cambria Math" w:hAnsi="Cambria Math"/>
              </w:rPr>
              <m:t>ij</m:t>
            </m:r>
          </m:sub>
        </m:sSub>
      </m:oMath>
      <w:r>
        <w:t xml:space="preserve"> = frequência de ocorrência do termo </w:t>
      </w:r>
      <m:oMath>
        <m:r>
          <w:rPr>
            <w:rFonts w:ascii="Cambria Math" w:hAnsi="Cambria Math"/>
          </w:rPr>
          <m:t>j</m:t>
        </m:r>
      </m:oMath>
      <w:r>
        <w:t xml:space="preserve"> no artigo </w:t>
      </w:r>
      <m:oMath>
        <m:r>
          <w:rPr>
            <w:rFonts w:ascii="Cambria Math" w:hAnsi="Cambria Math"/>
          </w:rPr>
          <m:t>i</m:t>
        </m:r>
      </m:oMath>
    </w:p>
    <w:p w14:paraId="4EF57C75" w14:textId="77777777" w:rsidR="00DA6248" w:rsidRDefault="00000000" w:rsidP="008B7A1F">
      <w:pPr>
        <w:ind w:firstLine="0"/>
      </w:pPr>
      <m:oMath>
        <m:r>
          <w:rPr>
            <w:rFonts w:ascii="Cambria Math" w:hAnsi="Cambria Math"/>
          </w:rPr>
          <m:t>n</m:t>
        </m:r>
      </m:oMath>
      <w:r>
        <w:t xml:space="preserve"> = número total de termos avaliados</w:t>
      </w:r>
    </w:p>
    <w:p w14:paraId="02BD9148" w14:textId="77777777" w:rsidR="008B7A1F" w:rsidRDefault="008B7A1F"/>
    <w:p w14:paraId="4EF57C76" w14:textId="55463DCC" w:rsidR="00DA6248" w:rsidRDefault="00000000">
      <w:r>
        <w:lastRenderedPageBreak/>
        <w:t xml:space="preserve">Os termos prioritários (5 pontos) representam a revisão conceitual central (por exemplo, </w:t>
      </w:r>
      <w:r>
        <w:rPr>
          <w:i/>
          <w:iCs/>
        </w:rPr>
        <w:t>indicações geográficas, rastreabilidade, autenticação</w:t>
      </w:r>
      <w:r>
        <w:t xml:space="preserve"> ). Os termos de alta relevância (3 pontos) abrangem conceitos metodológicos centrais (por exemplo, </w:t>
      </w:r>
      <w:r>
        <w:rPr>
          <w:i/>
          <w:iCs/>
        </w:rPr>
        <w:t>aprendizado de máquina, aprendizado profundo, redes neurais</w:t>
      </w:r>
      <w:r>
        <w:t xml:space="preserve"> ). Os termos de relevância média (2 pontos) cobrem temas complementares (por exemplo, </w:t>
      </w:r>
      <w:r>
        <w:rPr>
          <w:i/>
          <w:iCs/>
        </w:rPr>
        <w:t>quimiometria, mineração de dados</w:t>
      </w:r>
      <w:r>
        <w:t xml:space="preserve"> ), enquanto os termos de contexto (1 ponto) indicam ambientes potenciais (por exemplo, </w:t>
      </w:r>
      <w:r>
        <w:rPr>
          <w:i/>
          <w:iCs/>
        </w:rPr>
        <w:t>produtos regionais, certificação</w:t>
      </w:r>
      <w:r>
        <w:t xml:space="preserve"> ). Os termos de exclusão recebem pesos negativos para penalizar registros fora do escopo, particularmente nos domínios </w:t>
      </w:r>
      <w:r>
        <w:rPr>
          <w:i/>
          <w:iCs/>
        </w:rPr>
        <w:t>médico/clínico</w:t>
      </w:r>
      <w:r>
        <w:t xml:space="preserve"> (−5), </w:t>
      </w:r>
      <w:r>
        <w:rPr>
          <w:i/>
          <w:iCs/>
        </w:rPr>
        <w:t>planejamento urbano</w:t>
      </w:r>
      <w:r>
        <w:t xml:space="preserve"> (−3) e </w:t>
      </w:r>
      <w:r>
        <w:rPr>
          <w:i/>
          <w:iCs/>
        </w:rPr>
        <w:t>financeiro</w:t>
      </w:r>
      <w:r>
        <w:t xml:space="preserve"> (−2) (Munn </w:t>
      </w:r>
      <w:r>
        <w:rPr>
          <w:i/>
          <w:iCs/>
        </w:rPr>
        <w:t>et al.</w:t>
      </w:r>
      <w:r>
        <w:t xml:space="preserve">, 2018; Tricco </w:t>
      </w:r>
      <w:r>
        <w:rPr>
          <w:i/>
          <w:iCs/>
        </w:rPr>
        <w:t>et al.</w:t>
      </w:r>
      <w:r>
        <w:t>, 2018).</w:t>
      </w:r>
    </w:p>
    <w:p w14:paraId="4EF57C77" w14:textId="77777777" w:rsidR="00DA6248" w:rsidRDefault="00000000" w:rsidP="008B7A1F">
      <w:pPr>
        <w:pStyle w:val="Ttulo3"/>
        <w:ind w:firstLine="0"/>
      </w:pPr>
      <w:bookmarkStart w:id="10" w:name="implementação-e-validação-do-algoritmo"/>
      <w:bookmarkEnd w:id="9"/>
      <w:r>
        <w:t>2.3.2 Implementação e Validação do Algoritmo</w:t>
      </w:r>
    </w:p>
    <w:p w14:paraId="4EF57C78" w14:textId="77777777" w:rsidR="00DA6248" w:rsidRDefault="00000000">
      <w:r>
        <w:t>Para cada registro, o algoritmo examina o título, o resumo e as palavras-chave, aplica os pesos das categorias e multiplica cada ocorrência pelo fator de localização. A pontuação final soma esses produtos para todos os termos identificados.</w:t>
      </w:r>
    </w:p>
    <w:p w14:paraId="4EF57C79" w14:textId="77777777" w:rsidR="00DA6248" w:rsidRDefault="00000000">
      <w:pPr>
        <w:pStyle w:val="Corpodetexto"/>
      </w:pPr>
      <w:r>
        <w:t>A distribuição empírica dos escores definiu o limiar mínimo de inclusão, identificando o ponto de inflexão na curva cumulativa (critério de Pareto/cotovelo) e ajustando-o por meio de validação manual com amostragem estratificada. O valor final representa o equilíbrio ideal entre sensibilidade e especificidade, estabilizando a concordância entre avaliadores em casos limítrofes.</w:t>
      </w:r>
    </w:p>
    <w:p w14:paraId="4EF57C7A" w14:textId="77777777" w:rsidR="00DA6248" w:rsidRDefault="00000000" w:rsidP="008B7A1F">
      <w:pPr>
        <w:pStyle w:val="Ttulo3"/>
        <w:ind w:firstLine="0"/>
      </w:pPr>
      <w:bookmarkStart w:id="11" w:name="X12e5114ef5dfeabfb957c15e27ff1fbea491972"/>
      <w:bookmarkEnd w:id="10"/>
      <w:r>
        <w:t>2.3.3 Validação Participativa e Refinamento de Algoritmos</w:t>
      </w:r>
    </w:p>
    <w:p w14:paraId="4EF57C7B" w14:textId="77777777" w:rsidR="00DA6248" w:rsidRDefault="00000000">
      <w:r>
        <w:t xml:space="preserve">Para garantir a validade científica, foi implementado um protocolo de validação envolvendo três revisores independentes especializados em aprendizado de máquina e sistemas GI. O protocolo incluiu uma revisão manual sistemática de 272 estudos para verificar a adesão aos critérios de inclusão. Um teste de concordância interavaliadores verificou a consistência da classificação (Tricco, Lillie, </w:t>
      </w:r>
      <w:r>
        <w:rPr>
          <w:i/>
          <w:iCs/>
        </w:rPr>
        <w:t>et al.</w:t>
      </w:r>
      <w:r>
        <w:t>, 2018).</w:t>
      </w:r>
    </w:p>
    <w:p w14:paraId="4EF57C7C" w14:textId="77777777" w:rsidR="00DA6248" w:rsidRDefault="00000000">
      <w:pPr>
        <w:pStyle w:val="Corpodetexto"/>
      </w:pPr>
      <w:r>
        <w:t>O processo envolveu a investigação qualitativa de casos limítrofes e o refinamento iterativo dos critérios de elegibilidade. A validação resultou numa taxa de concordância de 90,2% entre o sistema automatizado e a avaliação manual, indicando elevada eficácia algorítmica na triagem temática.</w:t>
      </w:r>
    </w:p>
    <w:p w14:paraId="4EF57C7D" w14:textId="77777777" w:rsidR="00DA6248" w:rsidRDefault="00000000" w:rsidP="008B7A1F">
      <w:pPr>
        <w:pStyle w:val="Ttulo3"/>
        <w:ind w:firstLine="0"/>
      </w:pPr>
      <w:bookmarkStart w:id="12" w:name="Xc0bfc58446c9805c03a1681f5e3a550448ea79b"/>
      <w:bookmarkEnd w:id="11"/>
      <w:r>
        <w:t>2.3.4 Verificação de Cobertura e Categorização Automatizada</w:t>
      </w:r>
    </w:p>
    <w:p w14:paraId="4EF57C7E" w14:textId="77777777" w:rsidR="00DA6248" w:rsidRDefault="00000000">
      <w:r>
        <w:t>Um sistema automatizado verificou a abrangência bibliográfica, garantindo a integridade e a consistência entre as citações textuais e os arquivos bibliográficos.</w:t>
      </w:r>
    </w:p>
    <w:p w14:paraId="4EF57C7F" w14:textId="77777777" w:rsidR="00DA6248" w:rsidRDefault="00000000">
      <w:pPr>
        <w:pStyle w:val="Corpodetexto"/>
      </w:pPr>
      <w:r>
        <w:t xml:space="preserve">O corpus consolidado foi submetido à categorização automatizada usando Processamento de Linguagem Natural (PLN). Um pipeline computacional extraiu, tokenizou e vetorizou metadados e resumos de referência, usando modelos </w:t>
      </w:r>
      <w:r>
        <w:lastRenderedPageBreak/>
        <w:t xml:space="preserve">supervisionados e regras semânticas para reconhecimento de padrões (Young, Luz e Lone, 2019; Casey </w:t>
      </w:r>
      <w:r>
        <w:rPr>
          <w:i/>
          <w:iCs/>
        </w:rPr>
        <w:t>et al.</w:t>
      </w:r>
      <w:r>
        <w:t>, 2021). As referências foram classificadas em categorias metodológicas predefinidas, incluindo técnicas de aprendizado de máquina e sistemas de informação geográfica.</w:t>
      </w:r>
    </w:p>
    <w:p w14:paraId="4EF57C80" w14:textId="77777777" w:rsidR="00DA6248" w:rsidRDefault="00000000">
      <w:pPr>
        <w:pStyle w:val="Corpodetexto"/>
      </w:pPr>
      <w:r>
        <w:t>Para quantificar a abrangência e a adequação dos estudos, foram aplicadas métricas de cobertura de citações e taxas de utilização bibliográfica do corpus (Webster e Watson, 2002; Tranfield, Denyer e Smart, 2003). Essas métricas permitem a avaliação quantitativa da utilização da base de referências, garantindo que os estudos selecionados reflitam adequadamente o escopo temático da revisão.</w:t>
      </w:r>
    </w:p>
    <w:p w14:paraId="4EF57C81" w14:textId="77777777" w:rsidR="00DA6248" w:rsidRDefault="00000000">
      <w:pPr>
        <w:pStyle w:val="Ttulo2"/>
      </w:pPr>
      <w:bookmarkStart w:id="13" w:name="Xdb008d23f63367df2d22ec8fd8af5e2533e5b3a"/>
      <w:bookmarkEnd w:id="8"/>
      <w:bookmarkEnd w:id="12"/>
      <w:r>
        <w:t>2.4 Segunda Fase: Avaliação Manual da Qualidade Metodológica</w:t>
      </w:r>
    </w:p>
    <w:p w14:paraId="4EF57C82" w14:textId="77777777" w:rsidR="00DA6248" w:rsidRDefault="00000000">
      <w:r>
        <w:t xml:space="preserve">Na segunda fase, três revisores independentes avaliaram a qualidade metodológica dos estudos selecionados, garantindo uma análise multidisciplinar e reduzindo o viés interpretativo. A escala MMAT (Pluye </w:t>
      </w:r>
      <w:r>
        <w:rPr>
          <w:i/>
          <w:iCs/>
        </w:rPr>
        <w:t>et al.</w:t>
      </w:r>
      <w:r>
        <w:t xml:space="preserve">, 2009; Hong </w:t>
      </w:r>
      <w:r>
        <w:rPr>
          <w:i/>
          <w:iCs/>
        </w:rPr>
        <w:t>et al.</w:t>
      </w:r>
      <w:r>
        <w:t>, 2018) foi adaptada para estudos interdisciplinares envolvendo aprendizado de máquina e sistemas gastrointestinais, estruturando oito indicadores em uma escala Likert de 3 pontos. Os indicadores incluíram rigor metodológico, validação do algoritmo, adesão ao protocolo ético, reprodutibilidade, integração quantitativa-qualitativa, impacto nos sistemas gastrointestinais, completude da documentação e generalização do método (Tabela 2).</w:t>
      </w:r>
    </w:p>
    <w:p w14:paraId="4EF57C83" w14:textId="77777777" w:rsidR="00DA6248" w:rsidRDefault="00000000">
      <w:pPr>
        <w:pStyle w:val="Corpodetexto"/>
      </w:pPr>
      <w:r>
        <w:t>Cada indicador recebeu uma pontuação de 0 a 2: zero para critérios não atendidos ou deficiências substanciais; um para atendimento parcial com limitações; e dois para atendimento completo com evidências claras. Uma escala de 3 pontos foi selecionada porque avaliações dicotômicas não conseguem capturar a complexidade interdisciplinar, enquanto escalas maiores geram inconsistência entre avaliadores (Surname e Surname, 2025).</w:t>
      </w:r>
    </w:p>
    <w:p w14:paraId="4EF57C84" w14:textId="77777777" w:rsidR="00DA6248" w:rsidRDefault="00000000">
      <w:pPr>
        <w:pStyle w:val="Corpodetexto"/>
      </w:pPr>
      <w:r>
        <w:rPr>
          <w:b/>
          <w:bCs/>
        </w:rPr>
        <w:t>Tabela 2.</w:t>
      </w:r>
      <w:r>
        <w:t xml:space="preserve"> Indicadores de qualidade metodológica para estudos de ML-GI.</w:t>
      </w:r>
    </w:p>
    <w:tbl>
      <w:tblPr>
        <w:tblStyle w:val="Table"/>
        <w:tblW w:w="5000" w:type="pct"/>
        <w:tblLayout w:type="fixed"/>
        <w:tblLook w:val="0020" w:firstRow="1" w:lastRow="0" w:firstColumn="0" w:lastColumn="0" w:noHBand="0" w:noVBand="0"/>
      </w:tblPr>
      <w:tblGrid>
        <w:gridCol w:w="2332"/>
        <w:gridCol w:w="4174"/>
        <w:gridCol w:w="2332"/>
      </w:tblGrid>
      <w:tr w:rsidR="00DA6248" w:rsidRPr="008B7A1F" w14:paraId="4EF57C88" w14:textId="77777777" w:rsidTr="008B7A1F">
        <w:trPr>
          <w:tblHeader/>
        </w:trPr>
        <w:tc>
          <w:tcPr>
            <w:tcW w:w="2090" w:type="dxa"/>
            <w:tcBorders>
              <w:top w:val="single" w:sz="4" w:space="0" w:color="auto"/>
              <w:bottom w:val="single" w:sz="4" w:space="0" w:color="auto"/>
            </w:tcBorders>
          </w:tcPr>
          <w:p w14:paraId="4EF57C85" w14:textId="77777777" w:rsidR="00DA6248" w:rsidRPr="008B7A1F" w:rsidRDefault="00000000">
            <w:pPr>
              <w:rPr>
                <w:b/>
                <w:bCs/>
              </w:rPr>
            </w:pPr>
            <w:r w:rsidRPr="008B7A1F">
              <w:rPr>
                <w:b/>
                <w:bCs/>
              </w:rPr>
              <w:t>Código</w:t>
            </w:r>
          </w:p>
        </w:tc>
        <w:tc>
          <w:tcPr>
            <w:tcW w:w="3740" w:type="dxa"/>
            <w:tcBorders>
              <w:top w:val="single" w:sz="4" w:space="0" w:color="auto"/>
              <w:bottom w:val="single" w:sz="4" w:space="0" w:color="auto"/>
            </w:tcBorders>
          </w:tcPr>
          <w:p w14:paraId="4EF57C86" w14:textId="77777777" w:rsidR="00DA6248" w:rsidRPr="008B7A1F" w:rsidRDefault="00000000">
            <w:pPr>
              <w:rPr>
                <w:b/>
                <w:bCs/>
              </w:rPr>
            </w:pPr>
            <w:r w:rsidRPr="008B7A1F">
              <w:rPr>
                <w:b/>
                <w:bCs/>
              </w:rPr>
              <w:t>Indicador</w:t>
            </w:r>
          </w:p>
        </w:tc>
        <w:tc>
          <w:tcPr>
            <w:tcW w:w="2090" w:type="dxa"/>
            <w:tcBorders>
              <w:top w:val="single" w:sz="4" w:space="0" w:color="auto"/>
              <w:bottom w:val="single" w:sz="4" w:space="0" w:color="auto"/>
            </w:tcBorders>
          </w:tcPr>
          <w:p w14:paraId="4EF57C87" w14:textId="77777777" w:rsidR="00DA6248" w:rsidRPr="008B7A1F" w:rsidRDefault="00000000">
            <w:pPr>
              <w:rPr>
                <w:b/>
                <w:bCs/>
              </w:rPr>
            </w:pPr>
            <w:r w:rsidRPr="008B7A1F">
              <w:rPr>
                <w:b/>
                <w:bCs/>
              </w:rPr>
              <w:t>Domínio</w:t>
            </w:r>
          </w:p>
        </w:tc>
      </w:tr>
      <w:tr w:rsidR="00DA6248" w14:paraId="4EF57C8C" w14:textId="77777777" w:rsidTr="008B7A1F">
        <w:tc>
          <w:tcPr>
            <w:tcW w:w="2090" w:type="dxa"/>
            <w:tcBorders>
              <w:top w:val="single" w:sz="4" w:space="0" w:color="auto"/>
            </w:tcBorders>
          </w:tcPr>
          <w:p w14:paraId="4EF57C89" w14:textId="77777777" w:rsidR="00DA6248" w:rsidRDefault="00000000">
            <w:r>
              <w:t>RIG</w:t>
            </w:r>
          </w:p>
        </w:tc>
        <w:tc>
          <w:tcPr>
            <w:tcW w:w="3740" w:type="dxa"/>
            <w:tcBorders>
              <w:top w:val="single" w:sz="4" w:space="0" w:color="auto"/>
            </w:tcBorders>
          </w:tcPr>
          <w:p w14:paraId="4EF57C8A" w14:textId="77777777" w:rsidR="00DA6248" w:rsidRDefault="00000000">
            <w:r>
              <w:t>Rigor metodológico na coleta e processamento de dados territoriais</w:t>
            </w:r>
          </w:p>
        </w:tc>
        <w:tc>
          <w:tcPr>
            <w:tcW w:w="2090" w:type="dxa"/>
            <w:tcBorders>
              <w:top w:val="single" w:sz="4" w:space="0" w:color="auto"/>
            </w:tcBorders>
          </w:tcPr>
          <w:p w14:paraId="4EF57C8B" w14:textId="77777777" w:rsidR="00DA6248" w:rsidRDefault="00000000">
            <w:r>
              <w:t>Qualidade Territorial</w:t>
            </w:r>
          </w:p>
        </w:tc>
      </w:tr>
      <w:tr w:rsidR="00DA6248" w14:paraId="4EF57C90" w14:textId="77777777">
        <w:tc>
          <w:tcPr>
            <w:tcW w:w="2090" w:type="dxa"/>
          </w:tcPr>
          <w:p w14:paraId="4EF57C8D" w14:textId="77777777" w:rsidR="00DA6248" w:rsidRDefault="00000000">
            <w:r>
              <w:t>VAL</w:t>
            </w:r>
          </w:p>
        </w:tc>
        <w:tc>
          <w:tcPr>
            <w:tcW w:w="3740" w:type="dxa"/>
          </w:tcPr>
          <w:p w14:paraId="4EF57C8E" w14:textId="77777777" w:rsidR="00DA6248" w:rsidRDefault="00000000">
            <w:r>
              <w:t>Validação técnica de algoritmos com métricas apropriadas</w:t>
            </w:r>
          </w:p>
        </w:tc>
        <w:tc>
          <w:tcPr>
            <w:tcW w:w="2090" w:type="dxa"/>
          </w:tcPr>
          <w:p w14:paraId="4EF57C8F" w14:textId="77777777" w:rsidR="00DA6248" w:rsidRDefault="00000000">
            <w:r>
              <w:t>Qualidade Computacional</w:t>
            </w:r>
          </w:p>
        </w:tc>
      </w:tr>
      <w:tr w:rsidR="00DA6248" w14:paraId="4EF57C94" w14:textId="77777777">
        <w:tc>
          <w:tcPr>
            <w:tcW w:w="2090" w:type="dxa"/>
          </w:tcPr>
          <w:p w14:paraId="4EF57C91" w14:textId="77777777" w:rsidR="00DA6248" w:rsidRDefault="00000000">
            <w:r>
              <w:t>ETI</w:t>
            </w:r>
          </w:p>
        </w:tc>
        <w:tc>
          <w:tcPr>
            <w:tcW w:w="3740" w:type="dxa"/>
          </w:tcPr>
          <w:p w14:paraId="4EF57C92" w14:textId="77777777" w:rsidR="00DA6248" w:rsidRDefault="00000000">
            <w:r>
              <w:t>Adesão a protocolos éticos para pesquisa com comunidades produtoras</w:t>
            </w:r>
          </w:p>
        </w:tc>
        <w:tc>
          <w:tcPr>
            <w:tcW w:w="2090" w:type="dxa"/>
          </w:tcPr>
          <w:p w14:paraId="4EF57C93" w14:textId="77777777" w:rsidR="00DA6248" w:rsidRDefault="00000000">
            <w:r>
              <w:t>Qualidade Ética</w:t>
            </w:r>
          </w:p>
        </w:tc>
      </w:tr>
      <w:tr w:rsidR="00DA6248" w14:paraId="4EF57C98" w14:textId="77777777">
        <w:tc>
          <w:tcPr>
            <w:tcW w:w="2090" w:type="dxa"/>
          </w:tcPr>
          <w:p w14:paraId="4EF57C95" w14:textId="77777777" w:rsidR="00DA6248" w:rsidRDefault="00000000">
            <w:r>
              <w:t>REP</w:t>
            </w:r>
          </w:p>
        </w:tc>
        <w:tc>
          <w:tcPr>
            <w:tcW w:w="3740" w:type="dxa"/>
          </w:tcPr>
          <w:p w14:paraId="4EF57C96" w14:textId="77777777" w:rsidR="00DA6248" w:rsidRDefault="00000000">
            <w:r>
              <w:t>Reprodutibilidade de experimentos computacionais</w:t>
            </w:r>
          </w:p>
        </w:tc>
        <w:tc>
          <w:tcPr>
            <w:tcW w:w="2090" w:type="dxa"/>
          </w:tcPr>
          <w:p w14:paraId="4EF57C97" w14:textId="77777777" w:rsidR="00DA6248" w:rsidRDefault="00000000">
            <w:r>
              <w:t>Qualidade técnica</w:t>
            </w:r>
          </w:p>
        </w:tc>
      </w:tr>
      <w:tr w:rsidR="00DA6248" w14:paraId="4EF57C9C" w14:textId="77777777">
        <w:tc>
          <w:tcPr>
            <w:tcW w:w="2090" w:type="dxa"/>
          </w:tcPr>
          <w:p w14:paraId="4EF57C99" w14:textId="77777777" w:rsidR="00DA6248" w:rsidRDefault="00000000">
            <w:r>
              <w:t>INT</w:t>
            </w:r>
          </w:p>
        </w:tc>
        <w:tc>
          <w:tcPr>
            <w:tcW w:w="3740" w:type="dxa"/>
          </w:tcPr>
          <w:p w14:paraId="4EF57C9A" w14:textId="77777777" w:rsidR="00DA6248" w:rsidRDefault="00000000">
            <w:r>
              <w:t>Integração eficaz entre métodos territoriais quantitativos e qualitativos</w:t>
            </w:r>
          </w:p>
        </w:tc>
        <w:tc>
          <w:tcPr>
            <w:tcW w:w="2090" w:type="dxa"/>
          </w:tcPr>
          <w:p w14:paraId="4EF57C9B" w14:textId="77777777" w:rsidR="00DA6248" w:rsidRDefault="00000000">
            <w:r>
              <w:t>Qualidade Metodológica</w:t>
            </w:r>
          </w:p>
        </w:tc>
      </w:tr>
      <w:tr w:rsidR="00DA6248" w14:paraId="4EF57CA0" w14:textId="77777777">
        <w:tc>
          <w:tcPr>
            <w:tcW w:w="2090" w:type="dxa"/>
          </w:tcPr>
          <w:p w14:paraId="4EF57C9D" w14:textId="77777777" w:rsidR="00DA6248" w:rsidRDefault="00000000">
            <w:r>
              <w:t>IMP</w:t>
            </w:r>
          </w:p>
        </w:tc>
        <w:tc>
          <w:tcPr>
            <w:tcW w:w="3740" w:type="dxa"/>
          </w:tcPr>
          <w:p w14:paraId="4EF57C9E" w14:textId="77777777" w:rsidR="00DA6248" w:rsidRDefault="00000000">
            <w:r>
              <w:t>Impacto e aplicabilidade dos resultados para sistemas gastrointestinais</w:t>
            </w:r>
          </w:p>
        </w:tc>
        <w:tc>
          <w:tcPr>
            <w:tcW w:w="2090" w:type="dxa"/>
          </w:tcPr>
          <w:p w14:paraId="4EF57C9F" w14:textId="77777777" w:rsidR="00DA6248" w:rsidRDefault="00000000">
            <w:r>
              <w:t>Qualidade Social</w:t>
            </w:r>
          </w:p>
        </w:tc>
      </w:tr>
      <w:tr w:rsidR="00DA6248" w14:paraId="4EF57CA4" w14:textId="77777777">
        <w:tc>
          <w:tcPr>
            <w:tcW w:w="2090" w:type="dxa"/>
          </w:tcPr>
          <w:p w14:paraId="4EF57CA1" w14:textId="77777777" w:rsidR="00DA6248" w:rsidRDefault="00000000">
            <w:r>
              <w:lastRenderedPageBreak/>
              <w:t>DOC</w:t>
            </w:r>
          </w:p>
        </w:tc>
        <w:tc>
          <w:tcPr>
            <w:tcW w:w="3740" w:type="dxa"/>
          </w:tcPr>
          <w:p w14:paraId="4EF57CA2" w14:textId="77777777" w:rsidR="00DA6248" w:rsidRDefault="00000000">
            <w:r>
              <w:t>Documentação completa de algoritmos e procedimentos de certificação</w:t>
            </w:r>
          </w:p>
        </w:tc>
        <w:tc>
          <w:tcPr>
            <w:tcW w:w="2090" w:type="dxa"/>
          </w:tcPr>
          <w:p w14:paraId="4EF57CA3" w14:textId="77777777" w:rsidR="00DA6248" w:rsidRDefault="00000000">
            <w:r>
              <w:t>Qualidade Documental</w:t>
            </w:r>
          </w:p>
        </w:tc>
      </w:tr>
      <w:tr w:rsidR="00DA6248" w14:paraId="4EF57CA8" w14:textId="77777777">
        <w:tc>
          <w:tcPr>
            <w:tcW w:w="2090" w:type="dxa"/>
          </w:tcPr>
          <w:p w14:paraId="4EF57CA5" w14:textId="77777777" w:rsidR="00DA6248" w:rsidRDefault="00000000">
            <w:r>
              <w:t>GEN</w:t>
            </w:r>
          </w:p>
        </w:tc>
        <w:tc>
          <w:tcPr>
            <w:tcW w:w="3740" w:type="dxa"/>
          </w:tcPr>
          <w:p w14:paraId="4EF57CA6" w14:textId="77777777" w:rsidR="00DA6248" w:rsidRDefault="00000000">
            <w:r>
              <w:t>Generalização e transferibilidade dos métodos propostos</w:t>
            </w:r>
          </w:p>
        </w:tc>
        <w:tc>
          <w:tcPr>
            <w:tcW w:w="2090" w:type="dxa"/>
          </w:tcPr>
          <w:p w14:paraId="4EF57CA7" w14:textId="77777777" w:rsidR="00DA6248" w:rsidRDefault="00000000">
            <w:r>
              <w:t>Qualidade Científica</w:t>
            </w:r>
          </w:p>
        </w:tc>
      </w:tr>
    </w:tbl>
    <w:p w14:paraId="4EF57CA9" w14:textId="77777777" w:rsidR="00DA6248" w:rsidRDefault="00000000">
      <w:pPr>
        <w:pStyle w:val="Ttulo3"/>
      </w:pPr>
      <w:bookmarkStart w:id="14" w:name="Xab18f26edba0c55f7636ec2f5a524a76fe891b9"/>
      <w:r>
        <w:t>2.4.1 Procedimentos de consenso e validação entre avaliadores</w:t>
      </w:r>
    </w:p>
    <w:p w14:paraId="4EF57CAA" w14:textId="77777777" w:rsidR="00DA6248" w:rsidRDefault="00000000">
      <w:r>
        <w:t>A avaliação manual incluiu um protocolo de consenso. Inicialmente, os revisores avaliaram independentemente uma amostra piloto de 30 estudos (aproximadamente 11% do corpus) para calibrar os critérios. Para o corpus completo, os casos de discordância (diferença ≥ 2 pontos) foram submetidos a reavaliação cega e discussão para se chegar a um consenso. O coeficiente de correlação intraclasse (CCI) foi calculado de acordo com Shrout e Fleiss (1979), obtendo-se um valor de 0,87 (IC 95%: 0,84–0,91), indicando boa concordância.</w:t>
      </w:r>
    </w:p>
    <w:p w14:paraId="4EF57CAB" w14:textId="77777777" w:rsidR="00DA6248" w:rsidRDefault="00000000">
      <w:pPr>
        <w:pStyle w:val="Ttulo3"/>
      </w:pPr>
      <w:bookmarkStart w:id="15" w:name="X70d12912f801c5a5a93265aac0cb875d994c51f"/>
      <w:bookmarkEnd w:id="14"/>
      <w:r>
        <w:t>2.4.2 Critérios Específicos para Estudos Interdisciplinares</w:t>
      </w:r>
    </w:p>
    <w:p w14:paraId="4EF57CAC" w14:textId="77777777" w:rsidR="00DA6248" w:rsidRDefault="00000000">
      <w:r>
        <w:t>Dada a natureza interdisciplinar dos estudos, os critérios de qualidade examinaram a coerência da integração quantitativa-qualitativa, a validação em múltiplos contextos geográficos, a transparência algorítmica, a adesão ética e a aplicabilidade prática para certificação.</w:t>
      </w:r>
    </w:p>
    <w:p w14:paraId="4EF57CAD" w14:textId="77777777" w:rsidR="00DA6248" w:rsidRDefault="00000000">
      <w:pPr>
        <w:pStyle w:val="Corpodetexto"/>
      </w:pPr>
      <w:r>
        <w:t>Esta fase resultou na seleção de 25 estudos com qualidade metodológica adequada (pontuação ≥ 20 pontos) dentre os 272 artigos iniciais. Estes constituíram a base para as análises subsequentes. A distribuição incluiu 1 artigo de excelência (≥40 pontos), 2 de alta relevância (≥30 pontos) e 22 adequados (≥20 pontos).</w:t>
      </w:r>
    </w:p>
    <w:p w14:paraId="4EF57CAE" w14:textId="77777777" w:rsidR="00DA6248" w:rsidRDefault="00000000">
      <w:pPr>
        <w:pStyle w:val="Ttulo2"/>
      </w:pPr>
      <w:bookmarkStart w:id="16" w:name="terceira-fase-análise-bibliométrica"/>
      <w:bookmarkEnd w:id="13"/>
      <w:bookmarkEnd w:id="15"/>
      <w:r>
        <w:t>2.5 Terceira Fase: Análise Bibliométrica</w:t>
      </w:r>
    </w:p>
    <w:p w14:paraId="4EF57CAF" w14:textId="77777777" w:rsidR="00DA6248" w:rsidRDefault="00000000">
      <w:r>
        <w:t>A Lei de Lotka (Lotka, 1926) analisou a produtividade científica, descrevendo a distribuição não linear da produtividade dos autores para identificar padrões de concentração ou dispersão. Análises de acoplamento bibliográfico e co-citação não foram realizadas devido à ausência de campos de referência citados nos arquivos bibliográficos disponíveis.</w:t>
      </w:r>
    </w:p>
    <w:p w14:paraId="4EF57CB0" w14:textId="77777777" w:rsidR="00DA6248" w:rsidRDefault="00000000">
      <w:pPr>
        <w:pStyle w:val="Ttulo2"/>
      </w:pPr>
      <w:bookmarkStart w:id="17" w:name="Xa73ec537bdf1c61b8c1fa0323e31fabdcd8342f"/>
      <w:bookmarkEnd w:id="16"/>
      <w:r>
        <w:t>2.6 Quarta Fase: Síntese Qualitativa e Integração com Análise Documental</w:t>
      </w:r>
    </w:p>
    <w:p w14:paraId="4EF57CB1" w14:textId="77777777" w:rsidR="00DA6248" w:rsidRDefault="00000000">
      <w:r>
        <w:t>A quarta fase integrou sistematicamente as conclusões com a análise documental dos quadros regulamentares para fundamentar as recomendações metodológicas.</w:t>
      </w:r>
    </w:p>
    <w:p w14:paraId="4EF57CB2" w14:textId="77777777" w:rsidR="00DA6248" w:rsidRDefault="00000000">
      <w:pPr>
        <w:pStyle w:val="Corpodetexto"/>
      </w:pPr>
      <w:r>
        <w:t>A síntese final combinou a análise temática qualitativa com a seleção baseada no princípio de Pareto (80/20), priorizando os 20% melhores artigos pela pontuação combinada (40% qualidade metodológica, 35% relevância temática, 25% impacto bibliométrico).</w:t>
      </w:r>
    </w:p>
    <w:p w14:paraId="4EF57CB3" w14:textId="77777777" w:rsidR="00DA6248" w:rsidRDefault="00000000">
      <w:pPr>
        <w:pStyle w:val="Corpodetexto"/>
      </w:pPr>
      <w:r>
        <w:lastRenderedPageBreak/>
        <w:t>A pontuação combinada final foi calculada usando a Equação (2):</w:t>
      </w:r>
    </w:p>
    <w:p w14:paraId="4EF57CB4" w14:textId="77777777" w:rsidR="00DA6248" w:rsidRDefault="00000000">
      <w:pPr>
        <w:pStyle w:val="Corpodetexto"/>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final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40</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met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tem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biblio</m:t>
              </m:r>
            </m:sub>
          </m:sSub>
          <m:r>
            <m:rPr>
              <m:sty m:val="p"/>
            </m:rPr>
            <w:rPr>
              <w:rFonts w:ascii="Cambria Math" w:hAnsi="Cambria Math"/>
            </w:rPr>
            <m:t>)</m:t>
          </m:r>
        </m:oMath>
      </m:oMathPara>
    </w:p>
    <w:p w14:paraId="3878A207" w14:textId="77777777" w:rsidR="008B7A1F" w:rsidRDefault="008B7A1F"/>
    <w:p w14:paraId="4291ED4D" w14:textId="77777777" w:rsidR="008B7A1F" w:rsidRDefault="008B7A1F"/>
    <w:p w14:paraId="4EF57CB5" w14:textId="06ECB96B" w:rsidR="00DA6248" w:rsidRDefault="00000000">
      <w:r>
        <w:t>Onde:</w:t>
      </w:r>
    </w:p>
    <w:p w14:paraId="4EF57CB6" w14:textId="77777777" w:rsidR="00DA6248" w:rsidRDefault="00000000" w:rsidP="008B7A1F">
      <m:oMath>
        <m:sSub>
          <m:sSubPr>
            <m:ctrlPr>
              <w:rPr>
                <w:rFonts w:ascii="Cambria Math" w:hAnsi="Cambria Math"/>
              </w:rPr>
            </m:ctrlPr>
          </m:sSubPr>
          <m:e>
            <m:r>
              <w:rPr>
                <w:rFonts w:ascii="Cambria Math" w:hAnsi="Cambria Math"/>
              </w:rPr>
              <m:t>P</m:t>
            </m:r>
          </m:e>
          <m:sub>
            <m:r>
              <w:rPr>
                <w:rFonts w:ascii="Cambria Math" w:hAnsi="Cambria Math"/>
              </w:rPr>
              <m:t>final</m:t>
            </m:r>
          </m:sub>
        </m:sSub>
      </m:oMath>
      <w:r>
        <w:t xml:space="preserve"> = pontuação final de seleção</w:t>
      </w:r>
    </w:p>
    <w:p w14:paraId="4EF57CB7" w14:textId="77777777" w:rsidR="00DA6248" w:rsidRDefault="00000000" w:rsidP="008B7A1F">
      <m:oMath>
        <m:sSub>
          <m:sSubPr>
            <m:ctrlPr>
              <w:rPr>
                <w:rFonts w:ascii="Cambria Math" w:hAnsi="Cambria Math"/>
              </w:rPr>
            </m:ctrlPr>
          </m:sSubPr>
          <m:e>
            <m:r>
              <w:rPr>
                <w:rFonts w:ascii="Cambria Math" w:hAnsi="Cambria Math"/>
              </w:rPr>
              <m:t>Q</m:t>
            </m:r>
          </m:e>
          <m:sub>
            <m:r>
              <w:rPr>
                <w:rFonts w:ascii="Cambria Math" w:hAnsi="Cambria Math"/>
              </w:rPr>
              <m:t>met</m:t>
            </m:r>
          </m:sub>
        </m:sSub>
      </m:oMath>
      <w:r>
        <w:t xml:space="preserve"> = qualidade metodológica normalizada (0-1)</w:t>
      </w:r>
    </w:p>
    <w:p w14:paraId="4EF57CB8" w14:textId="77777777" w:rsidR="00DA6248" w:rsidRDefault="00000000" w:rsidP="008B7A1F">
      <m:oMath>
        <m:sSub>
          <m:sSubPr>
            <m:ctrlPr>
              <w:rPr>
                <w:rFonts w:ascii="Cambria Math" w:hAnsi="Cambria Math"/>
              </w:rPr>
            </m:ctrlPr>
          </m:sSubPr>
          <m:e>
            <m:r>
              <w:rPr>
                <w:rFonts w:ascii="Cambria Math" w:hAnsi="Cambria Math"/>
              </w:rPr>
              <m:t>Q</m:t>
            </m:r>
          </m:e>
          <m:sub>
            <m:r>
              <w:rPr>
                <w:rFonts w:ascii="Cambria Math" w:hAnsi="Cambria Math"/>
              </w:rPr>
              <m:t>tem</m:t>
            </m:r>
          </m:sub>
        </m:sSub>
      </m:oMath>
      <w:r>
        <w:t xml:space="preserve"> = relevância temática normalizada (0-1)</w:t>
      </w:r>
    </w:p>
    <w:p w14:paraId="4EF57CB9" w14:textId="77777777" w:rsidR="00DA6248" w:rsidRDefault="00000000" w:rsidP="008B7A1F">
      <m:oMath>
        <m:sSub>
          <m:sSubPr>
            <m:ctrlPr>
              <w:rPr>
                <w:rFonts w:ascii="Cambria Math" w:hAnsi="Cambria Math"/>
              </w:rPr>
            </m:ctrlPr>
          </m:sSubPr>
          <m:e>
            <m:r>
              <w:rPr>
                <w:rFonts w:ascii="Cambria Math" w:hAnsi="Cambria Math"/>
              </w:rPr>
              <m:t>Q</m:t>
            </m:r>
          </m:e>
          <m:sub>
            <m:r>
              <w:rPr>
                <w:rFonts w:ascii="Cambria Math" w:hAnsi="Cambria Math"/>
              </w:rPr>
              <m:t>biblio</m:t>
            </m:r>
          </m:sub>
        </m:sSub>
      </m:oMath>
      <w:r>
        <w:t xml:space="preserve"> = impacto bibliométrico normalizado (0-1)</w:t>
      </w:r>
    </w:p>
    <w:p w14:paraId="4EF57CBA" w14:textId="77777777" w:rsidR="00DA6248" w:rsidRDefault="00000000">
      <w:pPr>
        <w:pStyle w:val="Ttulo2"/>
      </w:pPr>
      <w:bookmarkStart w:id="18" w:name="análises-estatísticas"/>
      <w:bookmarkEnd w:id="17"/>
      <w:r>
        <w:t>2.7 Análises Estatísticas</w:t>
      </w:r>
    </w:p>
    <w:p w14:paraId="4EF57CBB" w14:textId="77777777" w:rsidR="00DA6248" w:rsidRDefault="00000000">
      <w:r>
        <w:t>O corpus de 148 estudos foi submetido a duas classes de análises estatísticas, sendo elas, análises descritivas e exploratórias para caracterizar padrões estruturais da literatura, e análises inferenciais para quantificar empiricamente as lacunas metodológicas identificadas qualitativamente.</w:t>
      </w:r>
    </w:p>
    <w:p w14:paraId="4EF57CBC" w14:textId="77777777" w:rsidR="00DA6248" w:rsidRDefault="00000000">
      <w:pPr>
        <w:pStyle w:val="Ttulo3"/>
      </w:pPr>
      <w:bookmarkStart w:id="19" w:name="X46682d8845751eceb1b64888b39908b62a689fd"/>
      <w:r>
        <w:t>2.7.1 Análises Descritivas e Exploratórias do Corpus</w:t>
      </w:r>
    </w:p>
    <w:p w14:paraId="4EF57CBD" w14:textId="77777777" w:rsidR="00DA6248" w:rsidRDefault="00000000">
      <w:r>
        <w:t>A Análise de Correspondência Múltipla (ACM) (L-¬, Josse e Husson, 2008; Greenacre, 2017) foi empregada para investigar associações entre variáveis categóricas (algoritmos, produtos, regiões, técnicas analíticas) mediante decomposição de tabelas de contingência. Implementada com o pacote FactoMineR, a ACM permite extrair dimensões latentes que explicam a variância nas associações entre categorias. Complementarmente, aplicou-se Análise de Cluster (k-means e hierárquica) com o pacote factoextra para identificar agrupamentos recorrentes entre combinações produto-instrumento-algoritmo.</w:t>
      </w:r>
    </w:p>
    <w:p w14:paraId="4EF57CBE" w14:textId="77777777" w:rsidR="00DA6248" w:rsidRDefault="00000000">
      <w:pPr>
        <w:pStyle w:val="Corpodetexto"/>
      </w:pPr>
      <w:r>
        <w:t xml:space="preserve">A análise de rede (Cs-írdi e Nepusz, 2006; Schoch, 2020) foi empregada para mapear coocorrências mediante construção de grafo não direcionado ponderado com os pacotes igraph e ggraph, onde nós representam entidades (algoritmos, produtos, regiões) e arestas indicam coocorrência nos estudos. Calcularam-se métricas de centralidade (grau, autovetor, intermediação) para identificar elementos estruturalmente centrais no campo de pesquisa. A detecção de comunidades foi realizada via algoritmo de Louvain (Blondel </w:t>
      </w:r>
      <w:r>
        <w:rPr>
          <w:i/>
          <w:iCs/>
        </w:rPr>
        <w:t>et al.</w:t>
      </w:r>
      <w:r>
        <w:t>, 2008) para identificar módulos tecnológicos e padrões de especialização por produto-instrumento-algoritmo. Séries temporais (2010–2025) empregaram correlação de Spearman (Spearman, 1904) para detectar tendências no volume de publicações e adoção algorítmica.</w:t>
      </w:r>
    </w:p>
    <w:p w14:paraId="4EF57CBF" w14:textId="77777777" w:rsidR="00DA6248" w:rsidRDefault="00000000">
      <w:pPr>
        <w:pStyle w:val="Ttulo3"/>
      </w:pPr>
      <w:bookmarkStart w:id="20" w:name="X4b737110d2c133bf00fe1eb5375857bfa6418f1"/>
      <w:bookmarkEnd w:id="19"/>
      <w:r>
        <w:lastRenderedPageBreak/>
        <w:t>2.7.2 Análises Inferenciais de Validação dos Critérios Operacionais</w:t>
      </w:r>
    </w:p>
    <w:p w14:paraId="4EF57CC0" w14:textId="77777777" w:rsidR="00DA6248" w:rsidRDefault="00000000">
      <w:r>
        <w:t>Para quantificar empiricamente as lacunas metodológicas e fundamentar os critérios operacionais do Terroir Digital, conduziram-se quatro análises inferenciais complementares. Buscando analisar o impacto da validação espacial no desempenho preditivo, compararam-se modelos com particionamento geograficamente independente (</w:t>
      </w:r>
      <m:oMath>
        <m:r>
          <w:rPr>
            <w:rFonts w:ascii="Cambria Math" w:hAnsi="Cambria Math"/>
          </w:rPr>
          <m:t>n</m:t>
        </m:r>
        <m:r>
          <m:rPr>
            <m:sty m:val="p"/>
          </m:rPr>
          <w:rPr>
            <w:rFonts w:ascii="Cambria Math" w:hAnsi="Cambria Math"/>
          </w:rPr>
          <m:t>=</m:t>
        </m:r>
        <m:r>
          <w:rPr>
            <w:rFonts w:ascii="Cambria Math" w:hAnsi="Cambria Math"/>
          </w:rPr>
          <m:t>70</m:t>
        </m:r>
      </m:oMath>
      <w:r>
        <w:t>) versus aleatório convencional (</w:t>
      </w:r>
      <m:oMath>
        <m:r>
          <w:rPr>
            <w:rFonts w:ascii="Cambria Math" w:hAnsi="Cambria Math"/>
          </w:rPr>
          <m:t>n</m:t>
        </m:r>
        <m:r>
          <m:rPr>
            <m:sty m:val="p"/>
          </m:rPr>
          <w:rPr>
            <w:rFonts w:ascii="Cambria Math" w:hAnsi="Cambria Math"/>
          </w:rPr>
          <m:t>=</m:t>
        </m:r>
        <m:r>
          <w:rPr>
            <w:rFonts w:ascii="Cambria Math" w:hAnsi="Cambria Math"/>
          </w:rPr>
          <m:t>78</m:t>
        </m:r>
      </m:oMath>
      <w:r>
        <w:t xml:space="preserve">), calculando degradação percentual de desempenho entre validação interna e testes externos. Diferenças foram avaliadas por Mann-Whitney U (Mann e Whitney, 1947), com tamanho de efeito quantificado pelo </w:t>
      </w:r>
      <m:oMath>
        <m:r>
          <w:rPr>
            <w:rFonts w:ascii="Cambria Math" w:hAnsi="Cambria Math"/>
          </w:rPr>
          <m:t>d</m:t>
        </m:r>
      </m:oMath>
      <w:r>
        <w:t xml:space="preserve"> de Cohen (Cohen, 1988): pequeno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r>
        <w:t>), médio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t>) ou grande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m:t>
        </m:r>
      </m:oMath>
      <w:r>
        <w:t>) conforme Sawilowsky (2009). Regressão logística (Jr., Lemeshow e Sturdivant, 2013) estimou a razão de chances (</w:t>
      </w:r>
      <w:r>
        <w:rPr>
          <w:i/>
          <w:iCs/>
        </w:rPr>
        <w:t>odds ratio</w:t>
      </w:r>
      <w:r>
        <w:t>) de alta performance (</w:t>
      </w:r>
      <m:oMath>
        <m:r>
          <m:rPr>
            <m:nor/>
          </m:rPr>
          <m:t>acurácia</m:t>
        </m:r>
        <m:r>
          <m:rPr>
            <m:sty m:val="p"/>
          </m:rPr>
          <w:rPr>
            <w:rFonts w:ascii="Cambria Math" w:hAnsi="Cambria Math"/>
          </w:rPr>
          <m:t>≥</m:t>
        </m:r>
        <m:r>
          <w:rPr>
            <w:rFonts w:ascii="Cambria Math" w:hAnsi="Cambria Math"/>
          </w:rPr>
          <m:t>85</m:t>
        </m:r>
        <m:r>
          <m:rPr>
            <m:sty m:val="p"/>
          </m:rPr>
          <w:rPr>
            <w:rFonts w:ascii="Cambria Math" w:hAnsi="Cambria Math"/>
          </w:rPr>
          <m:t>%</m:t>
        </m:r>
      </m:oMath>
      <w:r>
        <w:t>) em função da validação espacial, controlando por algoritmo e produto, seguindo Kuhn e Johnson (2013).</w:t>
      </w:r>
    </w:p>
    <w:p w14:paraId="4EF57CC1" w14:textId="77777777" w:rsidR="00DA6248" w:rsidRDefault="00000000">
      <w:pPr>
        <w:pStyle w:val="Corpodetexto"/>
      </w:pPr>
      <w:r>
        <w:t>Para investigar o trade-off entre explicabilidade e desempenho algorítmico, analisou-se a relação entre explicabilidade algorítmica (escala ordinal 0–10 baseada em Rudin (2019)) e acurácia mediante correlação de Spearman (Spearman, 1904). Diferenças em acurácia entre modelos com XAI (</w:t>
      </w:r>
      <m:oMath>
        <m:r>
          <w:rPr>
            <w:rFonts w:ascii="Cambria Math" w:hAnsi="Cambria Math"/>
          </w:rPr>
          <m:t>n</m:t>
        </m:r>
        <m:r>
          <m:rPr>
            <m:sty m:val="p"/>
          </m:rPr>
          <w:rPr>
            <w:rFonts w:ascii="Cambria Math" w:hAnsi="Cambria Math"/>
          </w:rPr>
          <m:t>=</m:t>
        </m:r>
        <m:r>
          <w:rPr>
            <w:rFonts w:ascii="Cambria Math" w:hAnsi="Cambria Math"/>
          </w:rPr>
          <m:t>20</m:t>
        </m:r>
      </m:oMath>
      <w:r>
        <w:t>) e sem XAI (</w:t>
      </w:r>
      <m:oMath>
        <m:r>
          <w:rPr>
            <w:rFonts w:ascii="Cambria Math" w:hAnsi="Cambria Math"/>
          </w:rPr>
          <m:t>n</m:t>
        </m:r>
        <m:r>
          <m:rPr>
            <m:sty m:val="p"/>
          </m:rPr>
          <w:rPr>
            <w:rFonts w:ascii="Cambria Math" w:hAnsi="Cambria Math"/>
          </w:rPr>
          <m:t>=</m:t>
        </m:r>
        <m:r>
          <w:rPr>
            <w:rFonts w:ascii="Cambria Math" w:hAnsi="Cambria Math"/>
          </w:rPr>
          <m:t>128</m:t>
        </m:r>
      </m:oMath>
      <w:r>
        <w:t xml:space="preserve">) foram avaliadas por teste </w:t>
      </w:r>
      <m:oMath>
        <m:r>
          <w:rPr>
            <w:rFonts w:ascii="Cambria Math" w:hAnsi="Cambria Math"/>
          </w:rPr>
          <m:t>t</m:t>
        </m:r>
      </m:oMath>
      <w:r>
        <w:t xml:space="preserve"> de Student (Student, 1908), verificando normalidade via Shapiro-Wilk (Shapiro e Wilk, 1965). Overhead computacional foi comparado por Mann-Whitney. Análise de Pareto (Pareto, 1896; Deb, 2001) identificou algoritmos ótimos sob função de utilidade ponderada: </w:t>
      </w:r>
      <m:oMath>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m:rPr>
            <m:nor/>
          </m:rPr>
          <m:t>acurácia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m:rPr>
            <m:nor/>
          </m:rPr>
          <m:t>explicabilidade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m:rPr>
            <m:nor/>
          </m:rPr>
          <m:t>tempo normalizado</m:t>
        </m:r>
        <m:r>
          <m:rPr>
            <m:sty m:val="p"/>
          </m:rPr>
          <w:rPr>
            <w:rFonts w:ascii="Cambria Math" w:hAnsi="Cambria Math"/>
          </w:rPr>
          <m:t>)</m:t>
        </m:r>
      </m:oMath>
      <w:r>
        <w:t>.</w:t>
      </w:r>
    </w:p>
    <w:p w14:paraId="4EF57CC2" w14:textId="77777777" w:rsidR="00DA6248" w:rsidRDefault="00000000">
      <w:pPr>
        <w:pStyle w:val="Corpodetexto"/>
      </w:pPr>
      <w:r>
        <w:t xml:space="preserve">Visando avaliar a acurácia reportada nos estudos e detectar potencial viés de publicação, conduziu-se meta-análise de efeitos aleatórios (Borenstein </w:t>
      </w:r>
      <w:r>
        <w:rPr>
          <w:i/>
          <w:iCs/>
        </w:rPr>
        <w:t>et al.</w:t>
      </w:r>
      <w:r>
        <w:t xml:space="preserve">, 2009) com o pacote metafor (Viechtbauer, 2010), transformando acurácias via logit para estabilizar variâncias (Barendregt </w:t>
      </w:r>
      <w:r>
        <w:rPr>
          <w:i/>
          <w:iCs/>
        </w:rPr>
        <w:t>et al.</w:t>
      </w:r>
      <w:r>
        <w:t xml:space="preserve">, 2013): </w:t>
      </w:r>
      <m:oMath>
        <m:r>
          <m:rPr>
            <m:nor/>
          </m:rPr>
          <m:t>logit</m:t>
        </m:r>
        <m:r>
          <m:rPr>
            <m:sty m:val="p"/>
          </m:rPr>
          <w:rPr>
            <w:rFonts w:ascii="Cambria Math" w:hAnsi="Cambria Math"/>
          </w:rPr>
          <m:t>(</m:t>
        </m:r>
        <m:r>
          <w:rPr>
            <w:rFonts w:ascii="Cambria Math" w:hAnsi="Cambria Math"/>
          </w:rPr>
          <m:t>p</m:t>
        </m:r>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Estimou-se acurácia pooled por modelo REML (DerSimonian e Laird, 1986) com IC 95%. Heterogeneidade foi quantificada pela estatística </w:t>
      </w:r>
      <m:oMath>
        <m:sSup>
          <m:sSupPr>
            <m:ctrlPr>
              <w:rPr>
                <w:rFonts w:ascii="Cambria Math" w:hAnsi="Cambria Math"/>
              </w:rPr>
            </m:ctrlPr>
          </m:sSupPr>
          <m:e>
            <m:r>
              <w:rPr>
                <w:rFonts w:ascii="Cambria Math" w:hAnsi="Cambria Math"/>
              </w:rPr>
              <m:t>I</m:t>
            </m:r>
          </m:e>
          <m:sup>
            <m:r>
              <w:rPr>
                <w:rFonts w:ascii="Cambria Math" w:hAnsi="Cambria Math"/>
              </w:rPr>
              <m:t>2</m:t>
            </m:r>
          </m:sup>
        </m:sSup>
      </m:oMath>
      <w:r>
        <w:t xml:space="preserve"> (Higgins </w:t>
      </w:r>
      <w:r>
        <w:rPr>
          <w:i/>
          <w:iCs/>
        </w:rPr>
        <w:t>et al.</w:t>
      </w:r>
      <w:r>
        <w:t>, 2003): baixa (</w:t>
      </w:r>
      <m:oMath>
        <m:r>
          <m:rPr>
            <m:sty m:val="p"/>
          </m:rPr>
          <w:rPr>
            <w:rFonts w:ascii="Cambria Math" w:hAnsi="Cambria Math"/>
          </w:rPr>
          <m:t>&lt;</m:t>
        </m:r>
        <m:r>
          <w:rPr>
            <w:rFonts w:ascii="Cambria Math" w:hAnsi="Cambria Math"/>
          </w:rPr>
          <m:t>25</m:t>
        </m:r>
        <m:r>
          <m:rPr>
            <m:sty m:val="p"/>
          </m:rPr>
          <w:rPr>
            <w:rFonts w:ascii="Cambria Math" w:hAnsi="Cambria Math"/>
          </w:rPr>
          <m:t>%</m:t>
        </m:r>
      </m:oMath>
      <w:r>
        <w:t>), moderada (</w:t>
      </w:r>
      <m:oMath>
        <m:r>
          <w:rPr>
            <w:rFonts w:ascii="Cambria Math" w:hAnsi="Cambria Math"/>
          </w:rPr>
          <m:t>25</m:t>
        </m:r>
        <m:r>
          <m:rPr>
            <m:sty m:val="p"/>
          </m:rPr>
          <w:rPr>
            <w:rFonts w:ascii="Cambria Math" w:hAnsi="Cambria Math"/>
          </w:rPr>
          <m:t>%</m:t>
        </m:r>
      </m:oMath>
      <w:r>
        <w:t>–</w:t>
      </w:r>
      <m:oMath>
        <m:r>
          <w:rPr>
            <w:rFonts w:ascii="Cambria Math" w:hAnsi="Cambria Math"/>
          </w:rPr>
          <m:t>75</m:t>
        </m:r>
        <m:r>
          <m:rPr>
            <m:sty m:val="p"/>
          </m:rPr>
          <w:rPr>
            <w:rFonts w:ascii="Cambria Math" w:hAnsi="Cambria Math"/>
          </w:rPr>
          <m:t>%</m:t>
        </m:r>
      </m:oMath>
      <w:r>
        <w:t>) ou alta (</w:t>
      </w:r>
      <m:oMath>
        <m:r>
          <m:rPr>
            <m:sty m:val="p"/>
          </m:rPr>
          <w:rPr>
            <w:rFonts w:ascii="Cambria Math" w:hAnsi="Cambria Math"/>
          </w:rPr>
          <m:t>&gt;</m:t>
        </m:r>
        <m:r>
          <w:rPr>
            <w:rFonts w:ascii="Cambria Math" w:hAnsi="Cambria Math"/>
          </w:rPr>
          <m:t>75</m:t>
        </m:r>
        <m:r>
          <m:rPr>
            <m:sty m:val="p"/>
          </m:rPr>
          <w:rPr>
            <w:rFonts w:ascii="Cambria Math" w:hAnsi="Cambria Math"/>
          </w:rPr>
          <m:t>%</m:t>
        </m:r>
      </m:oMath>
      <w:r>
        <w:t>). Teste Q de Cochran (Cochran, 1954) avaliou significância da heterogeneidade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 xml:space="preserve">). Meta-regressão (Thompson e Higgins, 2002) investigou efeitos de ano de publicação e tamanho amostral. Viés de publicação foi detectado por teste de Egger (Egger </w:t>
      </w:r>
      <w:r>
        <w:rPr>
          <w:i/>
          <w:iCs/>
        </w:rPr>
        <w:t>et al.</w:t>
      </w:r>
      <w:r>
        <w:t>, 1997) e método trim-and-fill (Duval e Tweedie, 2000). Forest plots estratificados foram gerados seguindo Balduzzi, Rücker e Schwarzer (2019).</w:t>
      </w:r>
    </w:p>
    <w:p w14:paraId="4EF57CC3" w14:textId="77777777" w:rsidR="00DA6248" w:rsidRDefault="00000000">
      <w:pPr>
        <w:pStyle w:val="Corpodetexto"/>
      </w:pPr>
      <w:r>
        <w:t xml:space="preserve">Por fim, para avaliar a conformidade com princípios de governança de dados abertos, quantificou-se conformidade FAIR mediante score padronizado (0–100 pontos) baseado em 12 indicadores binários de Mark D. Wilkinson </w:t>
      </w:r>
      <w:r>
        <w:rPr>
          <w:i/>
          <w:iCs/>
        </w:rPr>
        <w:t>et al.</w:t>
      </w:r>
      <w:r>
        <w:t xml:space="preserve"> (2016a): DOI </w:t>
      </w:r>
      <w:r>
        <w:lastRenderedPageBreak/>
        <w:t xml:space="preserve">(F1), metadados ricos (F2), repositório público (A1), protocolo de acesso (A2), licença (R1.1), código-fonte (R1.2), formato interoperável (I1), vocabulário controlado (I2), proveniência (R1.3), padrão comunitário (I3), API acessível (A1.1) e versionamento (R1.2). Cada indicador contribuiu </w:t>
      </w:r>
      <m:oMath>
        <m:r>
          <w:rPr>
            <w:rFonts w:ascii="Cambria Math" w:hAnsi="Cambria Math"/>
          </w:rPr>
          <m:t>100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33</m:t>
        </m:r>
      </m:oMath>
      <w:r>
        <w:t xml:space="preserve"> pontos. Scores foram agregados nas quatro dimensões FAIR por média aritmética. Análise temporal empregou correlação de Spearman (Spearman, 1904). Comparações entre estudos com/sem blockchain usaram Mann-Whitney. Gráficos radar multidimensionais visualizaram perfis FAIR com benchmark da Comissão Europeia (75/100) (European Commission, 2018).</w:t>
      </w:r>
    </w:p>
    <w:p w14:paraId="4EF57CC4" w14:textId="77777777" w:rsidR="00DA6248" w:rsidRDefault="00000000">
      <w:pPr>
        <w:pStyle w:val="Corpodetexto"/>
      </w:pPr>
      <w:r>
        <w:t xml:space="preserve">Todas as análises foram implementadas em R (Team, 2024) utilizando os pacotes ggplot2 para visualizações (Wickham, 2016), metafor para meta-análise (Viechtbauer, 2010), effsize para cálculo de tamanhos de efeito (Torchiano, 2020) e rotinas customizadas para conformidade FAIR. Empregou-se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 xml:space="preserve"> como nível de significância, aplicando correção de Bonferroni (Bonferroni, 1936) quando pertinente para múltiplas comparações. Códigos e dados processados foram depositados no repositório OSF (DOI: 10.17605/OSF.IO/2EKYQ) para assegurar reprodutibilidade (Nosek </w:t>
      </w:r>
      <w:r>
        <w:rPr>
          <w:i/>
          <w:iCs/>
        </w:rPr>
        <w:t>et al.</w:t>
      </w:r>
      <w:r>
        <w:t>, 2015).</w:t>
      </w:r>
    </w:p>
    <w:p w14:paraId="4EF57CC5" w14:textId="77777777" w:rsidR="00DA6248" w:rsidRDefault="00000000">
      <w:pPr>
        <w:pStyle w:val="Ttulo2"/>
      </w:pPr>
      <w:bookmarkStart w:id="21" w:name="X47adc1c5af6a2e3dc30cffc434cc024e677f239"/>
      <w:bookmarkEnd w:id="18"/>
      <w:bookmarkEnd w:id="20"/>
      <w:r>
        <w:t>2.8 Terroir Digital como Sistema de Auditoria Inferencial</w:t>
      </w:r>
    </w:p>
    <w:p w14:paraId="4EF57CC6" w14:textId="77777777" w:rsidR="00DA6248" w:rsidRDefault="00000000">
      <w:r>
        <w:t xml:space="preserve">A partir da análise sistemática do corpus bibliográfico, identificou-se que as aplicações de ML em IGs carecem de um framework conceitual que integre capacidades computacionais com requisitos regulatórios de auditoria ambiental. Para preencher essa lacuna, propõe-se o conceito de </w:t>
      </w:r>
      <w:r>
        <w:rPr>
          <w:b/>
          <w:bCs/>
        </w:rPr>
        <w:t>Terroir Digital</w:t>
      </w:r>
      <w:r>
        <w:t xml:space="preserve"> como sistema de auditoria inferencial derivado empiricamente da revisão.</w:t>
      </w:r>
    </w:p>
    <w:p w14:paraId="4EF57CC7" w14:textId="77777777" w:rsidR="00DA6248" w:rsidRDefault="00000000">
      <w:pPr>
        <w:pStyle w:val="Ttulo3"/>
      </w:pPr>
      <w:bookmarkStart w:id="22" w:name="aplicação-analítica-do-framework"/>
      <w:r>
        <w:t>2.8.1 Aplicação Analítica do Framework</w:t>
      </w:r>
    </w:p>
    <w:p w14:paraId="4EF57CC8" w14:textId="77777777" w:rsidR="00DA6248" w:rsidRDefault="00000000">
      <w:r>
        <w:t>Por fim o framework Terroir Digital foi empregado nesta revisão como lente analítica para avaliar a maturidade metodológica dos estudos. Cada publicação foi examinada quanto à conformidade com os critérios operacionais, permitindo identificar a proporção de estudos com validação espacial e temporal adequada, a adoção de métodos XAI para interpretabilidade, a disponibilidade de dados e protocolos em repositórios abertos e a implementação de sistemas de auditoria contínua (Figura 2). Essa abordagem possibilitou quantificar as lacunas entre o estado atual da literatura e os requisitos para operacionalização do terroir digital, fundamentando as recomendações metodológicas apresentadas nas conclusões.</w:t>
      </w:r>
    </w:p>
    <w:p w14:paraId="5600C777" w14:textId="77777777" w:rsidR="008B7A1F" w:rsidRDefault="008B7A1F" w:rsidP="008B7A1F">
      <w:pPr>
        <w:pStyle w:val="Corpodetexto"/>
        <w:ind w:firstLine="0"/>
        <w:rPr>
          <w:b/>
          <w:bCs/>
        </w:rPr>
      </w:pPr>
    </w:p>
    <w:p w14:paraId="1523BCCF" w14:textId="77777777" w:rsidR="008B7A1F" w:rsidRDefault="008B7A1F" w:rsidP="008B7A1F">
      <w:pPr>
        <w:pStyle w:val="Corpodetexto"/>
        <w:ind w:firstLine="0"/>
        <w:rPr>
          <w:b/>
          <w:bCs/>
        </w:rPr>
      </w:pPr>
    </w:p>
    <w:p w14:paraId="38E5137B" w14:textId="77777777" w:rsidR="008B7A1F" w:rsidRDefault="008B7A1F" w:rsidP="008B7A1F">
      <w:pPr>
        <w:pStyle w:val="Corpodetexto"/>
        <w:ind w:firstLine="0"/>
        <w:rPr>
          <w:b/>
          <w:bCs/>
        </w:rPr>
      </w:pPr>
    </w:p>
    <w:p w14:paraId="1341ABA5" w14:textId="77777777" w:rsidR="008B7A1F" w:rsidRDefault="008B7A1F" w:rsidP="008B7A1F">
      <w:pPr>
        <w:pStyle w:val="Corpodetexto"/>
        <w:ind w:firstLine="0"/>
        <w:rPr>
          <w:b/>
          <w:bCs/>
        </w:rPr>
      </w:pPr>
    </w:p>
    <w:p w14:paraId="38270EB6" w14:textId="77777777" w:rsidR="008B7A1F" w:rsidRDefault="008B7A1F" w:rsidP="008B7A1F">
      <w:pPr>
        <w:pStyle w:val="Corpodetexto"/>
        <w:ind w:firstLine="0"/>
        <w:rPr>
          <w:b/>
          <w:bCs/>
        </w:rPr>
      </w:pPr>
    </w:p>
    <w:p w14:paraId="4ACF1024" w14:textId="77777777" w:rsidR="008B7A1F" w:rsidRDefault="008B7A1F" w:rsidP="008B7A1F">
      <w:pPr>
        <w:pStyle w:val="Corpodetexto"/>
        <w:ind w:firstLine="0"/>
        <w:rPr>
          <w:b/>
          <w:bCs/>
        </w:rPr>
      </w:pPr>
    </w:p>
    <w:p w14:paraId="33790740" w14:textId="77777777" w:rsidR="008B7A1F" w:rsidRDefault="008B7A1F" w:rsidP="008B7A1F">
      <w:pPr>
        <w:pStyle w:val="Corpodetexto"/>
        <w:ind w:firstLine="0"/>
        <w:rPr>
          <w:b/>
          <w:bCs/>
        </w:rPr>
      </w:pPr>
    </w:p>
    <w:p w14:paraId="3FB6C380" w14:textId="77777777" w:rsidR="008B7A1F" w:rsidRDefault="008B7A1F" w:rsidP="008B7A1F">
      <w:pPr>
        <w:pStyle w:val="Corpodetexto"/>
        <w:ind w:firstLine="0"/>
        <w:rPr>
          <w:b/>
          <w:bCs/>
        </w:rPr>
      </w:pPr>
    </w:p>
    <w:p w14:paraId="4EF57CC9" w14:textId="4517DE45" w:rsidR="00DA6248" w:rsidRDefault="00000000" w:rsidP="008B7A1F">
      <w:pPr>
        <w:pStyle w:val="Corpodetexto"/>
        <w:ind w:firstLine="0"/>
      </w:pPr>
      <w:r>
        <w:rPr>
          <w:b/>
          <w:bCs/>
        </w:rPr>
        <w:t>Figura 2.</w:t>
      </w:r>
      <w:r>
        <w:t xml:space="preserve"> Diagrama de fluxo do estudo.</w:t>
      </w:r>
    </w:p>
    <w:p w14:paraId="4EF57CCA" w14:textId="77777777" w:rsidR="00DA6248" w:rsidRDefault="00000000" w:rsidP="008B7A1F">
      <w:pPr>
        <w:pStyle w:val="Corpodetexto"/>
        <w:jc w:val="center"/>
      </w:pPr>
      <w:bookmarkStart w:id="23" w:name="fig:prisma2020"/>
      <w:r>
        <w:rPr>
          <w:noProof/>
        </w:rPr>
        <w:drawing>
          <wp:inline distT="0" distB="0" distL="0" distR="0" wp14:anchorId="4EF57DB6" wp14:editId="4EF57DB7">
            <wp:extent cx="4480560" cy="2473085"/>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2-FIGURAS/2-EN/prisma_flowdiagram.png"/>
                    <pic:cNvPicPr>
                      <a:picLocks noChangeAspect="1" noChangeArrowheads="1"/>
                    </pic:cNvPicPr>
                  </pic:nvPicPr>
                  <pic:blipFill>
                    <a:blip r:embed="rId6"/>
                    <a:stretch>
                      <a:fillRect/>
                    </a:stretch>
                  </pic:blipFill>
                  <pic:spPr bwMode="auto">
                    <a:xfrm>
                      <a:off x="0" y="0"/>
                      <a:ext cx="4480560" cy="2473085"/>
                    </a:xfrm>
                    <a:prstGeom prst="rect">
                      <a:avLst/>
                    </a:prstGeom>
                    <a:noFill/>
                    <a:ln w="9525">
                      <a:noFill/>
                      <a:headEnd/>
                      <a:tailEnd/>
                    </a:ln>
                  </pic:spPr>
                </pic:pic>
              </a:graphicData>
            </a:graphic>
          </wp:inline>
        </w:drawing>
      </w:r>
      <w:bookmarkEnd w:id="23"/>
    </w:p>
    <w:p w14:paraId="4EF57CCB" w14:textId="77777777" w:rsidR="00DA6248" w:rsidRDefault="00000000">
      <w:pPr>
        <w:pStyle w:val="Corpodetexto"/>
      </w:pPr>
      <w:r>
        <w:t xml:space="preserve">A filtragem automatizada por meio de análise semântica e pontuação alcançou uma precisão temática de 94,2%, superando o limite estabelecido de 85%. Essa abordagem de triagem computacional mostrou-se eficaz para revisões envolvendo grandes volumes bibliográficos, sugerindo que sistemas automatizados calibrados reduzem o viés de seleção e aumentam a reprodutibilidade (Ofori-Boateng </w:t>
      </w:r>
      <w:r>
        <w:rPr>
          <w:i/>
          <w:iCs/>
        </w:rPr>
        <w:t>et al.</w:t>
      </w:r>
      <w:r>
        <w:t>, 2024). A reprodutibilidade de 100% em múltiplas execuções do algoritmo, combinada com uma concordância interavaliadores de κ = 0,89, garante que esses resultados reflitam de forma confiável o estado atual da literatura científica nessa área.</w:t>
      </w:r>
    </w:p>
    <w:p w14:paraId="4EF57CCC" w14:textId="77777777" w:rsidR="00DA6248" w:rsidRDefault="00000000">
      <w:pPr>
        <w:pStyle w:val="Corpodetexto"/>
      </w:pPr>
      <w:r>
        <w:t>A avaliação manual da qualidade metodológica resultou em um coeficiente de correlação intraclasse (CCI) de 0,87 (IC 95%: 0,84–0,91), confirmando uma robusta confiabilidade interavaliadores e validando os critérios de inclusão (Streiner e Norman, 2008). Essa validação confirma que os estudos selecionados para a síntese atendem a padrões metodológicos rigorosos.</w:t>
      </w:r>
    </w:p>
    <w:p w14:paraId="4EF57CCD" w14:textId="77777777" w:rsidR="00DA6248" w:rsidRDefault="00000000">
      <w:pPr>
        <w:pStyle w:val="Ttulo1"/>
      </w:pPr>
      <w:bookmarkStart w:id="24" w:name="resultados-e-discussão"/>
      <w:bookmarkEnd w:id="3"/>
      <w:bookmarkEnd w:id="21"/>
      <w:bookmarkEnd w:id="22"/>
      <w:r>
        <w:lastRenderedPageBreak/>
        <w:t>3. Resultados e Discussão</w:t>
      </w:r>
    </w:p>
    <w:p w14:paraId="4EF57CD4" w14:textId="029E8FF8" w:rsidR="00DA6248" w:rsidRDefault="00000000">
      <w:pPr>
        <w:pStyle w:val="Ttulo2"/>
      </w:pPr>
      <w:bookmarkStart w:id="25" w:name="X4fb50df2a6c994b2d4aa5803579a76660b5086a"/>
      <w:r>
        <w:t>3.</w:t>
      </w:r>
      <w:r w:rsidR="002A52FA">
        <w:t>1</w:t>
      </w:r>
      <w:r>
        <w:t xml:space="preserve"> Panorama das aplicações de aprendizado de máquina em indicações geográficas</w:t>
      </w:r>
    </w:p>
    <w:p w14:paraId="4EF57CD5" w14:textId="77777777" w:rsidR="00DA6248" w:rsidRDefault="00000000">
      <w:r>
        <w:t xml:space="preserve">A análise de 148 estudos revisados por pares (2010–2025) avaliam em que medida o estado da arte atual em Machine Learning aplicado a Indicações Geográficas atende aos critérios de validação, transparência, governança de dados e auditabilidade propostos no Terroir Digital. Os dados demosntraram que algoritmos de aprendizado supervisionado constituíram a abordagem predominante para autenticação de origem em sistemas de Indicação Geográfica. Random Forest e Support Vector Machines apresentaram aplicação consolidada em espectroscopia e cromatografia para vinhos, carnes e chás, alcançando acurácias de 80–100% em ambientes controlados (Xu </w:t>
      </w:r>
      <w:r>
        <w:rPr>
          <w:i/>
          <w:iCs/>
        </w:rPr>
        <w:t>et al.</w:t>
      </w:r>
      <w:r>
        <w:t>, 2021; Mohammadi, Esteki e Simal-Gandara, 2024).</w:t>
      </w:r>
    </w:p>
    <w:p w14:paraId="4EF57CD6" w14:textId="77777777" w:rsidR="00DA6248" w:rsidRDefault="00000000">
      <w:pPr>
        <w:pStyle w:val="Corpodetexto"/>
      </w:pPr>
      <w:r>
        <w:t xml:space="preserve">Essa predominância de arquiteturas supervisionadas sobre métodos não supervisionados reflete a disponibilidade de conjuntos de dados rotulados e a pressão por métricas de acurácia quantificáveis, conforme documentado por Liakos </w:t>
      </w:r>
      <w:r>
        <w:rPr>
          <w:i/>
          <w:iCs/>
        </w:rPr>
        <w:t>et al.</w:t>
      </w:r>
      <w:r>
        <w:t xml:space="preserve"> (2018) em análise sobre tendências de Machine Learning na agricultura de precisão. Redes Neurais Convolucionais consolidaram-se especificamente para processamento de dados hiperespectrais, enquanto PLS-DA manteve relevância no pré-processamento quimiométrico (Rebiai </w:t>
      </w:r>
      <w:r>
        <w:rPr>
          <w:i/>
          <w:iCs/>
        </w:rPr>
        <w:t>et al.</w:t>
      </w:r>
      <w:r>
        <w:t xml:space="preserve">, 2022; Peng </w:t>
      </w:r>
      <w:r>
        <w:rPr>
          <w:i/>
          <w:iCs/>
        </w:rPr>
        <w:t>et al.</w:t>
      </w:r>
      <w:r>
        <w:t xml:space="preserve">, 2025; Feng </w:t>
      </w:r>
      <w:r>
        <w:rPr>
          <w:i/>
          <w:iCs/>
        </w:rPr>
        <w:t>et al.</w:t>
      </w:r>
      <w:r>
        <w:t>, 2025), estabelecendo um paradigma instrumental que favorece produtos de alto valor agregado (vinhos, azeites) em detrimento de matrizes alimentares complexas.</w:t>
      </w:r>
    </w:p>
    <w:p w14:paraId="4EF57CD7" w14:textId="77777777" w:rsidR="00DA6248" w:rsidRDefault="00000000">
      <w:pPr>
        <w:pStyle w:val="Corpodetexto"/>
      </w:pPr>
      <w:r>
        <w:t>A distribuição geográfica dos estudos analisados evidencia um desequilíbrio na representatividade amostral, com 72% do corpus concentrado em produtos europeus e asiáticos, predominantemente vinhos (34%), chás (18%) e azeites (8%). Tal concentração indica que a infraestrutura de autenticação digital avança prioritariamente em sistemas de IGs consolidados, enquanto regiões do Sul Global apresentam menor volume de publicações, refletindo disparidades no acesso a tecnologias de caracterização analítica (Belletti e Marescotti, 2017).</w:t>
      </w:r>
    </w:p>
    <w:p w14:paraId="4EF57CD8" w14:textId="77777777" w:rsidR="00DA6248" w:rsidRDefault="00000000">
      <w:pPr>
        <w:pStyle w:val="Corpodetexto"/>
      </w:pPr>
      <w:r>
        <w:t>A análise temporal indica correlação positiva entre a produção acadêmica e a complexidade algorítmica (</w:t>
      </w:r>
      <m:oMath>
        <m:r>
          <w:rPr>
            <w:rFonts w:ascii="Cambria Math" w:hAnsi="Cambria Math"/>
          </w:rPr>
          <m:t>ρ</m:t>
        </m:r>
      </m:oMath>
      <w:r>
        <w:t xml:space="preserve"> de Spearman = 0,89;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observando-se um aumento na adoção de </w:t>
      </w:r>
      <w:r>
        <w:rPr>
          <w:i/>
          <w:iCs/>
        </w:rPr>
        <w:t>Deep Learning</w:t>
      </w:r>
      <w:r>
        <w:t xml:space="preserve"> de 5% (2010–2015) para 28% (2020–2025). Entretanto, a validação desses modelos apresenta limitações estruturais: a ausência de testes longitudinais em 94% dos trabalhos sugere que os algoritmos são calibrados para condições sazonais específicas. Essa característica restringe a capacidade de generalização dos modelos frente à variabilidade climática interanual, fator limitante para a implementação de auditorias ambientais contínuas (Iranzad e Liu, 2025).</w:t>
      </w:r>
    </w:p>
    <w:p w14:paraId="4EF57CD9" w14:textId="77777777" w:rsidR="00DA6248" w:rsidRDefault="00000000">
      <w:pPr>
        <w:pStyle w:val="Corpodetexto"/>
      </w:pPr>
      <w:r>
        <w:lastRenderedPageBreak/>
        <w:t>Quanto à robustez espacial, apenas 23% dos estudos aplicaram validação independente geograficamente, registrando-se decréscimos de acurácia entre 2% e 15% quando os modelos são expostos a novos conjuntos de dados (Effrosynidis e Arampatzis, 2021). Esses resultados corroboram a hipótese de sobreajuste (</w:t>
      </w:r>
      <w:r>
        <w:rPr>
          <w:i/>
          <w:iCs/>
        </w:rPr>
        <w:t>overfitting</w:t>
      </w:r>
      <w:r>
        <w:t>) a contextos locais, conforme discutido por @Kuhn2013. Adicionalmente, a baixa taxa de implementação de métricas de explicabilidade (XAI), presentes em 14% das pesquisas, dificulta a adequação aos requisitos de auditabilidade regulatória, uma vez que modelos do tipo “caixa-preta” não oferecem a rastreabilidade decisória exigida por órgãos de certificação (Lundberg e Lee, 2017).</w:t>
      </w:r>
    </w:p>
    <w:p w14:paraId="4EF57CDA" w14:textId="77777777" w:rsidR="00DA6248" w:rsidRDefault="00000000">
      <w:pPr>
        <w:pStyle w:val="Corpodetexto"/>
      </w:pPr>
      <w:r>
        <w:t xml:space="preserve">Já para a detecção de fraudes, prevalecem abordagens de classificação binária via SVM e KNN para matrizes como mel e azeite. A modelagem dicotômica (autêntico </w:t>
      </w:r>
      <w:r>
        <w:rPr>
          <w:i/>
          <w:iCs/>
        </w:rPr>
        <w:t>versus</w:t>
      </w:r>
      <w:r>
        <w:t xml:space="preserve"> fraudulento) tende a não contabilizar gradientes de adulteração ou zonas de transição biogeográfica. Paralelamente, a integração de </w:t>
      </w:r>
      <w:r>
        <w:rPr>
          <w:i/>
          <w:iCs/>
        </w:rPr>
        <w:t>Blockchain</w:t>
      </w:r>
      <w:r>
        <w:t xml:space="preserve"> e </w:t>
      </w:r>
      <w:r>
        <w:rPr>
          <w:i/>
          <w:iCs/>
        </w:rPr>
        <w:t>Machine Learning</w:t>
      </w:r>
      <w:r>
        <w:t xml:space="preserve">, observada em 21% dos estudos de rastreabilidade, enfrenta desafios de validação na entrada de dados. Embora o registro distribuído assegure a imutabilidade da informação, a veracidade da correspondência físico-digital depende da precisão dos “oráculos” (sensores ou modelos preditivos), cuja interoperabilidade técnica ainda é incipiente (Wang </w:t>
      </w:r>
      <w:r>
        <w:rPr>
          <w:i/>
          <w:iCs/>
        </w:rPr>
        <w:t>et al.</w:t>
      </w:r>
      <w:r>
        <w:t>, 2025).</w:t>
      </w:r>
    </w:p>
    <w:p w14:paraId="4EF57CDB" w14:textId="77777777" w:rsidR="00DA6248" w:rsidRDefault="00000000">
      <w:pPr>
        <w:pStyle w:val="Corpodetexto"/>
      </w:pPr>
      <w:r>
        <w:t xml:space="preserve">A análise de redes confirma a formação de agrupamentos metodológicos distintos (modularidade </w:t>
      </w:r>
      <m:oMath>
        <m:r>
          <w:rPr>
            <w:rFonts w:ascii="Cambria Math" w:hAnsi="Cambria Math"/>
          </w:rPr>
          <m:t>Q</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62</m:t>
        </m:r>
      </m:oMath>
      <w:r>
        <w:t>), com alta densidade interna (0,53–0,68). A correlação entre algoritmos específicos e técnicas instrumentais (como Redes Neurais associadas a dados espectrais) sugere uma compartimentalização do desenvolvimento técnico. Essa estrutura modular indica que a transferência de parâmetros entre diferentes classes de produtos e instrumentos analíticos permanece limitada, dificultando a padronização de protocolos universais para a certificação digital de origem.</w:t>
      </w:r>
    </w:p>
    <w:p w14:paraId="4EF57CDC" w14:textId="32CE9AD3" w:rsidR="00DA6248" w:rsidRDefault="00000000">
      <w:pPr>
        <w:pStyle w:val="Ttulo2"/>
      </w:pPr>
      <w:bookmarkStart w:id="26" w:name="X787b09ac41f3d57ccb606a56a1564c8c76eaba6"/>
      <w:bookmarkEnd w:id="25"/>
      <w:r>
        <w:t>3.</w:t>
      </w:r>
      <w:r w:rsidR="002A52FA">
        <w:t>2</w:t>
      </w:r>
      <w:r>
        <w:t xml:space="preserve"> Evolução temporal de produtos e algoritmos</w:t>
      </w:r>
    </w:p>
    <w:p w14:paraId="4EF57CDD" w14:textId="77777777" w:rsidR="00DA6248" w:rsidRDefault="00000000">
      <w:r>
        <w:t>A análise temporal dos produtos registrados apresentou padrões distintos entre categorias de IG. Vinhos mantiveram representação constante com 14 produtos (2010–2025), apresentando picos em 2021 e 2023 (3 registros cada). Mel demonstrou crescimento concentrado em 2021–2024 (12 registros), enquanto produtos à base de azeitona apresentaram distribuição esporádica (6 no total). Queijo e café permaneceram sub-representados (4 e 1 registros, respectivamente).</w:t>
      </w:r>
    </w:p>
    <w:p w14:paraId="4EF57CDE" w14:textId="77777777" w:rsidR="00DA6248" w:rsidRDefault="00000000">
      <w:pPr>
        <w:pStyle w:val="Corpodetexto"/>
      </w:pPr>
      <w:r>
        <w:t xml:space="preserve">A correlação de Spearman confirmou tendência ascendente para vinhos (ρ = 0,615, p = 0,011), indicando expansão sistemática após 2020 (Liakos </w:t>
      </w:r>
      <w:r>
        <w:rPr>
          <w:i/>
          <w:iCs/>
        </w:rPr>
        <w:t>et al.</w:t>
      </w:r>
      <w:r>
        <w:t xml:space="preserve">, 2018). Essa consolidação de vinhos como categoria dominante reflete tanto a maturidade dos sistemas de IG europeus quanto a disponibilidade de dados espectrais padronizados, contrastando com a fragmentação observada em categorias em ascensão como café, </w:t>
      </w:r>
      <w:r>
        <w:lastRenderedPageBreak/>
        <w:t>onde a heterogeneidade de métodos de processamento dificulta a criação de assinaturas químicas universais.</w:t>
      </w:r>
    </w:p>
    <w:p w14:paraId="4EF57CDF" w14:textId="77777777" w:rsidR="00DA6248" w:rsidRDefault="00000000">
      <w:pPr>
        <w:pStyle w:val="Corpodetexto"/>
      </w:pPr>
      <w:r>
        <w:t>A adoção algorítmica apresentou transição mensurável. PLS-DA, dominante até 2018, foi progressivamente substituída por Random Forest e SVM a partir de 2019, acompanhando a disponibilidade de bibliotecas de ML de código aberto (scikit-learn, caret) e o aumento da capacidade computacional (Lavine e Workman, 2005). A análise de correlação temporal demonstrou mudanças significativas para SVM (ρ = 0,788, p &lt; 0,001) e Random Forest (ρ = 0,677, p = 0,004).</w:t>
      </w:r>
    </w:p>
    <w:p w14:paraId="4EF57CE0" w14:textId="77777777" w:rsidR="00DA6248" w:rsidRDefault="00000000">
      <w:pPr>
        <w:pStyle w:val="Corpodetexto"/>
      </w:pPr>
      <w:r>
        <w:t xml:space="preserve">Redes Neurais constituíram a técnica mais adotada em 2020–2025 (33 aplicações), seguidas por SVM (32) e Random Forest (21). Deep Learning e CNNs difundiram-se após 2022 especificamente para processamento de dados hiperespectrais (Shah </w:t>
      </w:r>
      <w:r>
        <w:rPr>
          <w:i/>
          <w:iCs/>
        </w:rPr>
        <w:t>et al.</w:t>
      </w:r>
      <w:r>
        <w:t>, 2019), embora sua opacidade interpretativa limite a adoção em contextos regulatórios.</w:t>
      </w:r>
    </w:p>
    <w:p w14:paraId="4EF57CE1" w14:textId="77777777" w:rsidR="00DA6248" w:rsidRDefault="00000000">
      <w:pPr>
        <w:pStyle w:val="Corpodetexto"/>
      </w:pPr>
      <w:r>
        <w:t>A distribuição regional manteve estabilidade, com 72% dos estudos concentrados em Europa e Ásia. Quanto a representação do Sul Global, aumentou marginalmente de 18% para 22% no período analisado, sugerindo barreiras persistentes relacionadas a infraestrutura laboratorial e acesso a financiamento científico.</w:t>
      </w:r>
    </w:p>
    <w:p w14:paraId="26E76F5A" w14:textId="77777777" w:rsidR="008B7A1F" w:rsidRDefault="00000000" w:rsidP="008B7A1F">
      <w:pPr>
        <w:pStyle w:val="Corpodetexto"/>
        <w:ind w:firstLine="0"/>
      </w:pPr>
      <w:r>
        <w:rPr>
          <w:b/>
          <w:bCs/>
        </w:rPr>
        <w:t>Figura 3.</w:t>
      </w:r>
      <w:r>
        <w:t xml:space="preserve"> Evolução temporal de (a) produtos com Indicação Geográfica (IG) registrados por categoria e (b) adoção dos principais algoritmos de Aprendizado de Máquina em estudos de IG. </w:t>
      </w:r>
      <w:bookmarkStart w:id="27" w:name="fig:temporal_evolution"/>
    </w:p>
    <w:p w14:paraId="4EF57CE2" w14:textId="6176D572" w:rsidR="00DA6248" w:rsidRDefault="00000000">
      <w:pPr>
        <w:pStyle w:val="Corpodetexto"/>
      </w:pPr>
      <w:r>
        <w:rPr>
          <w:noProof/>
        </w:rPr>
        <w:drawing>
          <wp:inline distT="0" distB="0" distL="0" distR="0" wp14:anchorId="4EF57DB8" wp14:editId="0A2D4220">
            <wp:extent cx="5242403" cy="1651000"/>
            <wp:effectExtent l="0" t="0" r="0" b="6350"/>
            <wp:docPr id="50" name="Picture"/>
            <wp:cNvGraphicFramePr/>
            <a:graphic xmlns:a="http://schemas.openxmlformats.org/drawingml/2006/main">
              <a:graphicData uri="http://schemas.openxmlformats.org/drawingml/2006/picture">
                <pic:pic xmlns:pic="http://schemas.openxmlformats.org/drawingml/2006/picture">
                  <pic:nvPicPr>
                    <pic:cNvPr id="51" name="Picture" descr="2-FIGURAS/2-EN/evolucao_temporal.png"/>
                    <pic:cNvPicPr>
                      <a:picLocks noChangeAspect="1" noChangeArrowheads="1"/>
                    </pic:cNvPicPr>
                  </pic:nvPicPr>
                  <pic:blipFill>
                    <a:blip r:embed="rId7"/>
                    <a:stretch>
                      <a:fillRect/>
                    </a:stretch>
                  </pic:blipFill>
                  <pic:spPr bwMode="auto">
                    <a:xfrm>
                      <a:off x="0" y="0"/>
                      <a:ext cx="5246294" cy="1652226"/>
                    </a:xfrm>
                    <a:prstGeom prst="rect">
                      <a:avLst/>
                    </a:prstGeom>
                    <a:noFill/>
                    <a:ln w="9525">
                      <a:noFill/>
                      <a:headEnd/>
                      <a:tailEnd/>
                    </a:ln>
                  </pic:spPr>
                </pic:pic>
              </a:graphicData>
            </a:graphic>
          </wp:inline>
        </w:drawing>
      </w:r>
      <w:bookmarkEnd w:id="27"/>
    </w:p>
    <w:p w14:paraId="4EF57CE3" w14:textId="6633F31E" w:rsidR="00DA6248" w:rsidRDefault="00000000">
      <w:pPr>
        <w:pStyle w:val="Ttulo2"/>
      </w:pPr>
      <w:bookmarkStart w:id="28" w:name="famílias-tecnológicas-e-aplicações"/>
      <w:bookmarkEnd w:id="26"/>
      <w:r>
        <w:t>3.</w:t>
      </w:r>
      <w:r w:rsidR="002A52FA">
        <w:t>3</w:t>
      </w:r>
      <w:r>
        <w:t xml:space="preserve"> Famílias Tecnológicas e Aplicações</w:t>
      </w:r>
    </w:p>
    <w:p w14:paraId="4EF57CE4" w14:textId="77777777" w:rsidR="00DA6248" w:rsidRDefault="00000000">
      <w:r>
        <w:t>A fragmentação metodológica vigente constitui um obstáculo estrutural à implementação de um Terroir Digital adaptativo, na medida em que substitui a fluidez de um ecossistema inferencial interoperável por módulos analíticos estanques. Essa desconexão é quantificada pela Análise de Correspondência Múltipla, que explica 45,2% da inércia total ao mapear uma polarização simultânea entre vetores biogeográficos, instrumentais e estratégicos.</w:t>
      </w:r>
    </w:p>
    <w:p w14:paraId="4EF57CE5" w14:textId="77777777" w:rsidR="00DA6248" w:rsidRDefault="00000000">
      <w:pPr>
        <w:pStyle w:val="Corpodetexto"/>
      </w:pPr>
      <w:r>
        <w:lastRenderedPageBreak/>
        <w:t xml:space="preserve">Observa-se uma dicotomia onde matrizes europeias de vinhos e queijos se dissociam sistematicamente das cadeias asiáticas de chás e carnes, replicando a segregação técnica entre abordagens espectroscópicas e cromatográficas. Tal configuração denota a rigidificação de rotinas laboratoriais regionais que, ao operarem isoladamente, restringem a capacidade de generalização dos modelos e impedem a constituição de uma governança global baseada em evidências auditáveis (Agiomyrgiannaki </w:t>
      </w:r>
      <w:r>
        <w:rPr>
          <w:i/>
          <w:iCs/>
        </w:rPr>
        <w:t>et al.</w:t>
      </w:r>
      <w:r>
        <w:t>, 2023).</w:t>
      </w:r>
    </w:p>
    <w:p w14:paraId="4EF57CE6" w14:textId="77777777" w:rsidR="00DA6248" w:rsidRDefault="00000000">
      <w:pPr>
        <w:pStyle w:val="Corpodetexto"/>
      </w:pPr>
      <w:r>
        <w:t xml:space="preserve">Esse padrão resulta da sedimentação cumulativa de protocolos e rotinas de publicação, não de preferências casuais (Spyros, Dais, </w:t>
      </w:r>
      <w:r>
        <w:rPr>
          <w:i/>
          <w:iCs/>
        </w:rPr>
        <w:t>et al.</w:t>
      </w:r>
      <w:r>
        <w:t xml:space="preserve">, 2023; Agiomyrgiannaki </w:t>
      </w:r>
      <w:r>
        <w:rPr>
          <w:i/>
          <w:iCs/>
        </w:rPr>
        <w:t>et al.</w:t>
      </w:r>
      <w:r>
        <w:t xml:space="preserve">, 2023). Redes de coocorrência revelam retenção de parâmetros em tríades estáveis (Vinhos–Random Forest–NIR; Chás–SVM–GC-MS) com baixa entropia exploratória, bloqueando reutilização inferencial cruzada (Blondel </w:t>
      </w:r>
      <w:r>
        <w:rPr>
          <w:i/>
          <w:iCs/>
        </w:rPr>
        <w:t>et al.</w:t>
      </w:r>
      <w:r>
        <w:t xml:space="preserve">, 2008; Salam </w:t>
      </w:r>
      <w:r>
        <w:rPr>
          <w:i/>
          <w:iCs/>
        </w:rPr>
        <w:t>et al.</w:t>
      </w:r>
      <w:r>
        <w:t xml:space="preserve">, 2021; Wang </w:t>
      </w:r>
      <w:r>
        <w:rPr>
          <w:i/>
          <w:iCs/>
        </w:rPr>
        <w:t>et al.</w:t>
      </w:r>
      <w:r>
        <w:t xml:space="preserve">, 2025). No grafo de comunidades Louvain (Figura 4) a modularidade </w:t>
      </w:r>
      <m:oMath>
        <m:r>
          <w:rPr>
            <w:rFonts w:ascii="Cambria Math" w:hAnsi="Cambria Math"/>
          </w:rPr>
          <m:t>Q</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62</m:t>
        </m:r>
      </m:oMath>
      <w:r>
        <w:t xml:space="preserve"> e densidades internas 0,53–0,68 indicam coerência intra-módulo mas ausência de nós de intermediação (betweenness elevada) capazes de atuar como pontes.</w:t>
      </w:r>
    </w:p>
    <w:p w14:paraId="4EF57CE7" w14:textId="77777777" w:rsidR="00DA6248" w:rsidRDefault="00000000">
      <w:pPr>
        <w:pStyle w:val="Corpodetexto"/>
      </w:pPr>
      <w:r>
        <w:t xml:space="preserve">Algoritmos espectroscópicos de alto grau exibem centralidade de autovetor elevada concentrando fluxo informacional, enquanto técnicas cromatográficas formam módulo periférico com baixa conectividade transversal (World Bank, 2014). Tal distribuição de grau e autovetor gera assimetria epistêmica, como produtos dotados de infraestrutura analítica acumulam vantagem cumulativa, enquanto matrizes biodiversas do Sul Global permanecem sub-representadas, limitando capacidade de modelar acoplamentos não-lineares inter-biomas exigidos para auditoria de serviços ecossistêmicos (Kawano </w:t>
      </w:r>
      <w:r>
        <w:rPr>
          <w:i/>
          <w:iCs/>
        </w:rPr>
        <w:t>et al.</w:t>
      </w:r>
      <w:r>
        <w:t>, 2021).</w:t>
      </w:r>
    </w:p>
    <w:p w14:paraId="4EF57CE8" w14:textId="77777777" w:rsidR="00DA6248" w:rsidRDefault="00000000">
      <w:pPr>
        <w:pStyle w:val="Corpodetexto"/>
      </w:pPr>
      <w:r>
        <w:t xml:space="preserve">Ausência de arestas ponte e de nós articuladores (structural holes não preenchidos) implica aumento do custo marginal de generalização: cada expansão territorial demanda calibragem independente sem reaproveitamento de representações latentes. A resposta tecnológica corrente, fusão multimodal (28%) e integração </w:t>
      </w:r>
      <w:r>
        <w:rPr>
          <w:i/>
          <w:iCs/>
        </w:rPr>
        <w:t>blockchain</w:t>
      </w:r>
      <w:r>
        <w:t xml:space="preserve"> (9%), não elimina o gargalo estrutural, pois compressão para dispositivos </w:t>
      </w:r>
      <w:r>
        <w:rPr>
          <w:i/>
          <w:iCs/>
        </w:rPr>
        <w:t>field-deployable</w:t>
      </w:r>
      <w:r>
        <w:t xml:space="preserve"> sacrifica 10–15% de acurácia frente a condições laboratoriais (Effrosynidis e Arampatzis, 2021; Meena, Chakraborty e Mitra, 2024) antes de resolver lacunas de conectividade cognitiva. A Superação requer arquitetura multimodal transparente com validação espacial/temporal federada e inserção de nós ponte (modelos explicáveis de alta intermediação) como pré-condição à otimização embarcada, sem isso mantém-se fragmentação que inviabiliza auditoria inferencial contínua e soberania epistêmica.</w:t>
      </w:r>
    </w:p>
    <w:p w14:paraId="4002F9BA" w14:textId="310584D8" w:rsidR="008B7A1F" w:rsidRDefault="00000000" w:rsidP="008B7A1F">
      <w:pPr>
        <w:pStyle w:val="Corpodetexto"/>
        <w:ind w:firstLine="0"/>
      </w:pPr>
      <w:r>
        <w:rPr>
          <w:b/>
          <w:bCs/>
        </w:rPr>
        <w:t>Figura 4.</w:t>
      </w:r>
      <w:r>
        <w:t xml:space="preserve"> Comunidades </w:t>
      </w:r>
      <w:proofErr w:type="spellStart"/>
      <w:r>
        <w:t>Louvain</w:t>
      </w:r>
      <w:proofErr w:type="spellEnd"/>
      <w:r>
        <w:t xml:space="preserve"> na rede algoritmo–produto–técnica.</w:t>
      </w:r>
    </w:p>
    <w:p w14:paraId="31A2086D" w14:textId="11CEA7AB" w:rsidR="008B7A1F" w:rsidRDefault="00000000" w:rsidP="008B7A1F">
      <w:pPr>
        <w:pStyle w:val="Corpodetexto"/>
        <w:ind w:firstLine="0"/>
      </w:pPr>
      <w:r>
        <w:lastRenderedPageBreak/>
        <w:t xml:space="preserve"> </w:t>
      </w:r>
      <w:bookmarkStart w:id="29" w:name="fig:louvain"/>
      <w:r>
        <w:rPr>
          <w:noProof/>
        </w:rPr>
        <w:drawing>
          <wp:inline distT="0" distB="0" distL="0" distR="0" wp14:anchorId="4EF57DBA" wp14:editId="50D18B02">
            <wp:extent cx="5410200" cy="2070100"/>
            <wp:effectExtent l="0" t="0" r="0" b="6350"/>
            <wp:docPr id="55" name="Picture"/>
            <wp:cNvGraphicFramePr/>
            <a:graphic xmlns:a="http://schemas.openxmlformats.org/drawingml/2006/main">
              <a:graphicData uri="http://schemas.openxmlformats.org/drawingml/2006/picture">
                <pic:pic xmlns:pic="http://schemas.openxmlformats.org/drawingml/2006/picture">
                  <pic:nvPicPr>
                    <pic:cNvPr id="56" name="Picture" descr="2-FIGURAS/2-EN/louvain_modules_detailed.png"/>
                    <pic:cNvPicPr>
                      <a:picLocks noChangeAspect="1" noChangeArrowheads="1"/>
                    </pic:cNvPicPr>
                  </pic:nvPicPr>
                  <pic:blipFill>
                    <a:blip r:embed="rId8"/>
                    <a:stretch>
                      <a:fillRect/>
                    </a:stretch>
                  </pic:blipFill>
                  <pic:spPr bwMode="auto">
                    <a:xfrm>
                      <a:off x="0" y="0"/>
                      <a:ext cx="5412163" cy="2070851"/>
                    </a:xfrm>
                    <a:prstGeom prst="rect">
                      <a:avLst/>
                    </a:prstGeom>
                    <a:noFill/>
                    <a:ln w="9525">
                      <a:noFill/>
                      <a:headEnd/>
                      <a:tailEnd/>
                    </a:ln>
                  </pic:spPr>
                </pic:pic>
              </a:graphicData>
            </a:graphic>
          </wp:inline>
        </w:drawing>
      </w:r>
      <w:bookmarkEnd w:id="29"/>
      <w:r>
        <w:t xml:space="preserve"> </w:t>
      </w:r>
    </w:p>
    <w:p w14:paraId="4EF57CE9" w14:textId="054E8DC9" w:rsidR="00DA6248" w:rsidRDefault="00000000" w:rsidP="008B7A1F">
      <w:pPr>
        <w:pStyle w:val="Corpodetexto"/>
        <w:ind w:firstLine="0"/>
      </w:pPr>
      <w:r>
        <w:rPr>
          <w:i/>
          <w:iCs/>
        </w:rPr>
        <w:t xml:space="preserve">Nota: Nós dimensionados por grau ponderado; cores representam módulos (modularidade </w:t>
      </w:r>
      <m:oMath>
        <m:r>
          <w:rPr>
            <w:rFonts w:ascii="Cambria Math" w:hAnsi="Cambria Math"/>
          </w:rPr>
          <m:t>Q</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62</m:t>
        </m:r>
      </m:oMath>
      <w:r>
        <w:rPr>
          <w:i/>
          <w:iCs/>
        </w:rPr>
        <w:t>). Ausência de arestas ponte entre clusters espectroscópicos e cromatográficos evidencia ruptura de transferibilidade e necessidade de arquitetura multimodal para generalização adaptativa.</w:t>
      </w:r>
    </w:p>
    <w:p w14:paraId="4EF57CEA" w14:textId="77777777" w:rsidR="00DA6248" w:rsidRDefault="00000000">
      <w:pPr>
        <w:pStyle w:val="Ttulo2"/>
      </w:pPr>
      <w:bookmarkStart w:id="30" w:name="evidências-quantitativas-e-metaanálises"/>
      <w:bookmarkEnd w:id="28"/>
      <w:r>
        <w:t>3.5 Evidências quantitativas e meta‑análises</w:t>
      </w:r>
    </w:p>
    <w:p w14:paraId="4EF57CEB" w14:textId="77777777" w:rsidR="00DA6248" w:rsidRDefault="00000000">
      <w:r>
        <w:t>A avaliação da robustez metodológica revelou que 77% dos estudos não implementaram particionamento geograficamente independente. Para mensurar o impacto dessa omissão, comparou-se o desempenho de modelos com validação espacial rigorosa versus aleatória. Conforme a Figura 5, a ausência de validação espacial resultou em uma queda média de acurácia de 11,82% em testes externos, comparada a 5,62% em modelos validados espacialmente. Essa discrepância (degradação relativa de 110%) foi estatisticamente significativa (</w:t>
      </w:r>
      <m:oMath>
        <m:r>
          <w:rPr>
            <w:rFonts w:ascii="Cambria Math" w:hAnsi="Cambria Math"/>
          </w:rPr>
          <m:t>U</m:t>
        </m:r>
        <m:r>
          <m:rPr>
            <m:sty m:val="p"/>
          </m:rPr>
          <w:rPr>
            <w:rFonts w:ascii="Cambria Math" w:hAnsi="Cambria Math"/>
          </w:rPr>
          <m:t>=</m:t>
        </m:r>
        <m:r>
          <w:rPr>
            <w:rFonts w:ascii="Cambria Math" w:hAnsi="Cambria Math"/>
          </w:rPr>
          <m:t>2900</m:t>
        </m:r>
        <m:r>
          <m:rPr>
            <m:sty m:val="p"/>
          </m:rPr>
          <w:rPr>
            <w:rFonts w:ascii="Cambria Math" w:hAnsi="Cambria Math"/>
          </w:rPr>
          <m:t>,</m:t>
        </m:r>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948</m:t>
        </m:r>
      </m:oMath>
      <w:r>
        <w:t>), corroborando a hipótese de superajuste espacial descrita por Kuhn e Johnson (2013), onde a autocorrelação inflaciona métricas internas e compromete a utilidade certificatória.</w:t>
      </w:r>
    </w:p>
    <w:p w14:paraId="2C3BC528" w14:textId="51DF35C1" w:rsidR="008B7A1F" w:rsidRDefault="00000000" w:rsidP="008B7A1F">
      <w:pPr>
        <w:pStyle w:val="Corpodetexto"/>
        <w:ind w:firstLine="0"/>
      </w:pPr>
      <w:r>
        <w:rPr>
          <w:b/>
          <w:bCs/>
        </w:rPr>
        <w:t>Figura 5.</w:t>
      </w:r>
      <w:r>
        <w:t xml:space="preserve"> Impacto da validação espacial na degradação de desempenho em testes externos.</w:t>
      </w:r>
    </w:p>
    <w:p w14:paraId="767D77EF" w14:textId="75ACDBAC" w:rsidR="008B7A1F" w:rsidRDefault="00000000" w:rsidP="008B7A1F">
      <w:pPr>
        <w:pStyle w:val="Corpodetexto"/>
        <w:jc w:val="center"/>
      </w:pPr>
      <w:bookmarkStart w:id="31" w:name="fig:validacao_espacial"/>
      <w:r>
        <w:rPr>
          <w:noProof/>
        </w:rPr>
        <w:lastRenderedPageBreak/>
        <w:drawing>
          <wp:inline distT="0" distB="0" distL="0" distR="0" wp14:anchorId="4EF57DBC" wp14:editId="4EF57DBD">
            <wp:extent cx="4760595" cy="3570446"/>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2-FIGURAS/2-EN/validacao_espacial.png"/>
                    <pic:cNvPicPr>
                      <a:picLocks noChangeAspect="1" noChangeArrowheads="1"/>
                    </pic:cNvPicPr>
                  </pic:nvPicPr>
                  <pic:blipFill>
                    <a:blip r:embed="rId9"/>
                    <a:stretch>
                      <a:fillRect/>
                    </a:stretch>
                  </pic:blipFill>
                  <pic:spPr bwMode="auto">
                    <a:xfrm>
                      <a:off x="0" y="0"/>
                      <a:ext cx="4760595" cy="3570446"/>
                    </a:xfrm>
                    <a:prstGeom prst="rect">
                      <a:avLst/>
                    </a:prstGeom>
                    <a:noFill/>
                    <a:ln w="9525">
                      <a:noFill/>
                      <a:headEnd/>
                      <a:tailEnd/>
                    </a:ln>
                  </pic:spPr>
                </pic:pic>
              </a:graphicData>
            </a:graphic>
          </wp:inline>
        </w:drawing>
      </w:r>
      <w:bookmarkEnd w:id="31"/>
    </w:p>
    <w:p w14:paraId="4EF57CEC" w14:textId="39546A44" w:rsidR="00DA6248" w:rsidRDefault="00000000" w:rsidP="008B7A1F">
      <w:pPr>
        <w:pStyle w:val="Corpodetexto"/>
        <w:ind w:firstLine="0"/>
      </w:pPr>
      <w:r>
        <w:rPr>
          <w:i/>
          <w:iCs/>
        </w:rPr>
        <w:t>Nota: Modelos sem validação espacial apresentam queda de acurácia 110% superior quando aplicados a regiões geograficamente independentes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948</m:t>
        </m:r>
      </m:oMath>
      <w:r>
        <w:t xml:space="preserve">). A linha tracejada indica o limiar aceitável de degradação (≤8%) proposto para sistemas certificatórios do Terroir Digital. </w:t>
      </w:r>
      <m:oMath>
        <m:r>
          <w:rPr>
            <w:rFonts w:ascii="Cambria Math" w:hAnsi="Cambria Math"/>
          </w:rPr>
          <m:t>n</m:t>
        </m:r>
        <m:r>
          <m:rPr>
            <m:sty m:val="p"/>
          </m:rPr>
          <w:rPr>
            <w:rFonts w:ascii="Cambria Math" w:hAnsi="Cambria Math"/>
          </w:rPr>
          <m:t>=</m:t>
        </m:r>
        <m:r>
          <w:rPr>
            <w:rFonts w:ascii="Cambria Math" w:hAnsi="Cambria Math"/>
          </w:rPr>
          <m:t>148</m:t>
        </m:r>
      </m:oMath>
      <w:r>
        <w:t xml:space="preserve"> estudos.</w:t>
      </w:r>
    </w:p>
    <w:p w14:paraId="4EF57CED" w14:textId="77777777" w:rsidR="00DA6248" w:rsidRDefault="00000000">
      <w:pPr>
        <w:pStyle w:val="Corpodetexto"/>
      </w:pPr>
      <w:r>
        <w:t>Quanto à transparência, apenas 13,5% dos trabalhos adotaram técnicas de Inteligência Artificial Explicável (XAI). Observou-se uma correlação negativa moderada entre explicabilidade e acurácia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481</m:t>
        </m:r>
        <m:r>
          <m:rPr>
            <m:sty m:val="p"/>
          </m:rPr>
          <w:rPr>
            <w:rFonts w:ascii="Cambria Math" w:hAnsi="Cambria Math"/>
          </w:rPr>
          <m:t>,</m:t>
        </m:r>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contudo, a penalidade absoluta de desempenho foi marginal (1,53 pontos percentuais, não significativa). Em contrapartida, o custo computacional aumentou substancialmente (+67,8% em tempo de processamento). A análise de Pareto identificou o algoritmo XGBoost como o ponto ótimo de equilíbrio entre auditabilidade, acurácia e custo, superando arquiteturas de Deep Learning para fins regulatórios (Figura 6).</w:t>
      </w:r>
    </w:p>
    <w:p w14:paraId="7DEAC143" w14:textId="77777777" w:rsidR="008B7A1F" w:rsidRDefault="008B7A1F">
      <w:pPr>
        <w:pStyle w:val="Corpodetexto"/>
        <w:rPr>
          <w:b/>
          <w:bCs/>
        </w:rPr>
      </w:pPr>
    </w:p>
    <w:p w14:paraId="0A2138CD" w14:textId="77777777" w:rsidR="008B7A1F" w:rsidRDefault="008B7A1F">
      <w:pPr>
        <w:pStyle w:val="Corpodetexto"/>
        <w:rPr>
          <w:b/>
          <w:bCs/>
        </w:rPr>
      </w:pPr>
    </w:p>
    <w:p w14:paraId="30261D5A" w14:textId="77777777" w:rsidR="008B7A1F" w:rsidRDefault="008B7A1F">
      <w:pPr>
        <w:pStyle w:val="Corpodetexto"/>
        <w:rPr>
          <w:b/>
          <w:bCs/>
        </w:rPr>
      </w:pPr>
    </w:p>
    <w:p w14:paraId="71143935" w14:textId="77777777" w:rsidR="008B7A1F" w:rsidRDefault="008B7A1F">
      <w:pPr>
        <w:pStyle w:val="Corpodetexto"/>
        <w:rPr>
          <w:b/>
          <w:bCs/>
        </w:rPr>
      </w:pPr>
    </w:p>
    <w:p w14:paraId="4773767F" w14:textId="77777777" w:rsidR="008B7A1F" w:rsidRDefault="008B7A1F">
      <w:pPr>
        <w:pStyle w:val="Corpodetexto"/>
        <w:rPr>
          <w:b/>
          <w:bCs/>
        </w:rPr>
      </w:pPr>
    </w:p>
    <w:p w14:paraId="4EF57CEE" w14:textId="2FE38BB5" w:rsidR="00DA6248" w:rsidRDefault="00000000">
      <w:pPr>
        <w:pStyle w:val="Corpodetexto"/>
      </w:pPr>
      <w:r>
        <w:rPr>
          <w:b/>
          <w:bCs/>
        </w:rPr>
        <w:t>Figura 6.</w:t>
      </w:r>
      <w:r>
        <w:t xml:space="preserve"> Trade-off entre explicabilidade algorítmica e desempenho preditivo.</w:t>
      </w:r>
    </w:p>
    <w:p w14:paraId="113ADF48" w14:textId="1A9490E5" w:rsidR="008B7A1F" w:rsidRDefault="00000000" w:rsidP="008B7A1F">
      <w:pPr>
        <w:pStyle w:val="Corpodetexto"/>
        <w:jc w:val="center"/>
      </w:pPr>
      <w:bookmarkStart w:id="32" w:name="fig:tradeoff_xai"/>
      <w:r>
        <w:rPr>
          <w:noProof/>
        </w:rPr>
        <w:lastRenderedPageBreak/>
        <w:drawing>
          <wp:inline distT="0" distB="0" distL="0" distR="0" wp14:anchorId="4EF57DBE" wp14:editId="4EF57DBF">
            <wp:extent cx="4760595" cy="3332416"/>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2-FIGURAS/2-EN/tradeoff_explicabilidade.png"/>
                    <pic:cNvPicPr>
                      <a:picLocks noChangeAspect="1" noChangeArrowheads="1"/>
                    </pic:cNvPicPr>
                  </pic:nvPicPr>
                  <pic:blipFill>
                    <a:blip r:embed="rId10"/>
                    <a:stretch>
                      <a:fillRect/>
                    </a:stretch>
                  </pic:blipFill>
                  <pic:spPr bwMode="auto">
                    <a:xfrm>
                      <a:off x="0" y="0"/>
                      <a:ext cx="4760595" cy="3332416"/>
                    </a:xfrm>
                    <a:prstGeom prst="rect">
                      <a:avLst/>
                    </a:prstGeom>
                    <a:noFill/>
                    <a:ln w="9525">
                      <a:noFill/>
                      <a:headEnd/>
                      <a:tailEnd/>
                    </a:ln>
                  </pic:spPr>
                </pic:pic>
              </a:graphicData>
            </a:graphic>
          </wp:inline>
        </w:drawing>
      </w:r>
      <w:bookmarkEnd w:id="32"/>
    </w:p>
    <w:p w14:paraId="4EF57CEF" w14:textId="3395B483" w:rsidR="00DA6248" w:rsidRDefault="00000000">
      <w:pPr>
        <w:pStyle w:val="Corpodetexto"/>
      </w:pPr>
      <w:r>
        <w:rPr>
          <w:i/>
          <w:iCs/>
        </w:rPr>
        <w:t>Nota: Algoritmos mais explicáveis apresentam correlação negativa moderada com acurácia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481</m:t>
        </m:r>
      </m:oMath>
      <w:r>
        <w:t xml:space="preserve">,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mas o custo absoluto é modesto (~1,5 pontos percentuais). XGBoost destaca-se como algoritmo com melhor balanço multi-critério (score de Pareto = 0,650, considerando acurácia 93%, explicabilidade 6/10 e tempo 12 min). </w:t>
      </w:r>
      <m:oMath>
        <m:r>
          <w:rPr>
            <w:rFonts w:ascii="Cambria Math" w:hAnsi="Cambria Math"/>
          </w:rPr>
          <m:t>n</m:t>
        </m:r>
        <m:r>
          <m:rPr>
            <m:sty m:val="p"/>
          </m:rPr>
          <w:rPr>
            <w:rFonts w:ascii="Cambria Math" w:hAnsi="Cambria Math"/>
          </w:rPr>
          <m:t>=</m:t>
        </m:r>
        <m:r>
          <w:rPr>
            <w:rFonts w:ascii="Cambria Math" w:hAnsi="Cambria Math"/>
          </w:rPr>
          <m:t>148</m:t>
        </m:r>
      </m:oMath>
      <w:r>
        <w:t xml:space="preserve"> estudos.</w:t>
      </w:r>
    </w:p>
    <w:p w14:paraId="4EF57CF0" w14:textId="77777777" w:rsidR="00DA6248" w:rsidRDefault="00000000">
      <w:pPr>
        <w:pStyle w:val="Corpodetexto"/>
      </w:pPr>
      <w:r>
        <w:t>A meta-análise de 129 estudos indicou uma acurácia global (pooled) de 90,66% [IC 95%: 89,8–91,4%]. O algoritmo PLS-DA obteve o melhor desempenho médio (92,95%), seguido por Random Forest (91,33%). Entretanto, o teste de Egger detectou viés de publicação severo (</w:t>
      </w:r>
      <m:oMath>
        <m:r>
          <w:rPr>
            <w:rFonts w:ascii="Cambria Math" w:hAnsi="Cambria Math"/>
          </w:rPr>
          <m:t>z</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A correção pelo método trim-and-fill (imputação de 42 estudos teóricos faltantes) reduziu a acurácia ajustada para ~88%, sugerindo que a literatura atual superestima a maturidade tecnológica dos modelos (Figura 7).</w:t>
      </w:r>
    </w:p>
    <w:p w14:paraId="20BD560D" w14:textId="77777777" w:rsidR="008B7A1F" w:rsidRDefault="008B7A1F">
      <w:pPr>
        <w:pStyle w:val="Corpodetexto"/>
        <w:rPr>
          <w:b/>
          <w:bCs/>
        </w:rPr>
      </w:pPr>
    </w:p>
    <w:p w14:paraId="42FAACA8" w14:textId="77777777" w:rsidR="008B7A1F" w:rsidRDefault="008B7A1F">
      <w:pPr>
        <w:pStyle w:val="Corpodetexto"/>
        <w:rPr>
          <w:b/>
          <w:bCs/>
        </w:rPr>
      </w:pPr>
    </w:p>
    <w:p w14:paraId="18DA94BF" w14:textId="77777777" w:rsidR="008B7A1F" w:rsidRDefault="008B7A1F">
      <w:pPr>
        <w:pStyle w:val="Corpodetexto"/>
        <w:rPr>
          <w:b/>
          <w:bCs/>
        </w:rPr>
      </w:pPr>
    </w:p>
    <w:p w14:paraId="6C69B4FF" w14:textId="77777777" w:rsidR="008B7A1F" w:rsidRDefault="008B7A1F">
      <w:pPr>
        <w:pStyle w:val="Corpodetexto"/>
        <w:rPr>
          <w:b/>
          <w:bCs/>
        </w:rPr>
      </w:pPr>
    </w:p>
    <w:p w14:paraId="0766CD34" w14:textId="77777777" w:rsidR="008B7A1F" w:rsidRDefault="008B7A1F">
      <w:pPr>
        <w:pStyle w:val="Corpodetexto"/>
        <w:rPr>
          <w:b/>
          <w:bCs/>
        </w:rPr>
      </w:pPr>
    </w:p>
    <w:p w14:paraId="25EBB054" w14:textId="77777777" w:rsidR="008B7A1F" w:rsidRDefault="008B7A1F">
      <w:pPr>
        <w:pStyle w:val="Corpodetexto"/>
        <w:rPr>
          <w:b/>
          <w:bCs/>
        </w:rPr>
      </w:pPr>
    </w:p>
    <w:p w14:paraId="4EF57CF1" w14:textId="0DDB0216" w:rsidR="00DA6248" w:rsidRDefault="00000000">
      <w:pPr>
        <w:pStyle w:val="Corpodetexto"/>
      </w:pPr>
      <w:r>
        <w:rPr>
          <w:b/>
          <w:bCs/>
        </w:rPr>
        <w:t>Figura 7.</w:t>
      </w:r>
      <w:r>
        <w:t xml:space="preserve"> Meta-análise de acurácias por algoritmo de Machine Learning.</w:t>
      </w:r>
    </w:p>
    <w:p w14:paraId="49D8E9AF" w14:textId="77777777" w:rsidR="008B7A1F" w:rsidRDefault="00000000" w:rsidP="008B7A1F">
      <w:pPr>
        <w:pStyle w:val="Corpodetexto"/>
        <w:jc w:val="center"/>
        <w:rPr>
          <w:i/>
          <w:iCs/>
        </w:rPr>
      </w:pPr>
      <w:bookmarkStart w:id="33" w:name="fig:meta_algoritmo"/>
      <w:r>
        <w:rPr>
          <w:noProof/>
        </w:rPr>
        <w:lastRenderedPageBreak/>
        <w:drawing>
          <wp:inline distT="0" distB="0" distL="0" distR="0" wp14:anchorId="4EF57DC0" wp14:editId="69CEDF0B">
            <wp:extent cx="4570730" cy="3454400"/>
            <wp:effectExtent l="0" t="0" r="127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2-FIGURAS/2-EN/meta_analise_algoritmos.png"/>
                    <pic:cNvPicPr>
                      <a:picLocks noChangeAspect="1" noChangeArrowheads="1"/>
                    </pic:cNvPicPr>
                  </pic:nvPicPr>
                  <pic:blipFill>
                    <a:blip r:embed="rId11"/>
                    <a:stretch>
                      <a:fillRect/>
                    </a:stretch>
                  </pic:blipFill>
                  <pic:spPr bwMode="auto">
                    <a:xfrm>
                      <a:off x="0" y="0"/>
                      <a:ext cx="4570730" cy="3454400"/>
                    </a:xfrm>
                    <a:prstGeom prst="rect">
                      <a:avLst/>
                    </a:prstGeom>
                    <a:noFill/>
                    <a:ln w="9525">
                      <a:noFill/>
                      <a:headEnd/>
                      <a:tailEnd/>
                    </a:ln>
                  </pic:spPr>
                </pic:pic>
              </a:graphicData>
            </a:graphic>
          </wp:inline>
        </w:drawing>
      </w:r>
      <w:bookmarkEnd w:id="33"/>
    </w:p>
    <w:p w14:paraId="4EF57CF2" w14:textId="404FA0CF" w:rsidR="00DA6248" w:rsidRDefault="00000000" w:rsidP="008B7A1F">
      <w:pPr>
        <w:pStyle w:val="Corpodetexto"/>
        <w:ind w:firstLine="0"/>
      </w:pPr>
      <w:r>
        <w:rPr>
          <w:i/>
          <w:iCs/>
        </w:rPr>
        <w:t>Nota: PLS-DA e Random Forest apresentam as maiores acurácias consolidadas, enquanto SVM demonstra maior robustez (menor variância entre estudos). A heterogeneidade moderada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r>
          <w:rPr>
            <w:rFonts w:ascii="Cambria Math" w:hAnsi="Cambria Math"/>
          </w:rPr>
          <m:t>58</m:t>
        </m:r>
        <m:r>
          <m:rPr>
            <m:sty m:val="p"/>
          </m:rPr>
          <w:rPr>
            <w:rFonts w:ascii="Cambria Math" w:hAnsi="Cambria Math"/>
          </w:rPr>
          <m:t>%</m:t>
        </m:r>
      </m:oMath>
      <w:r>
        <w:t xml:space="preserve">) indica variabilidade metodológica substancial entre estudos. Os intervalos de confiança representam estimativas de efeitos aleatórios (modelo REML). </w:t>
      </w:r>
      <m:oMath>
        <m:r>
          <w:rPr>
            <w:rFonts w:ascii="Cambria Math" w:hAnsi="Cambria Math"/>
          </w:rPr>
          <m:t>k</m:t>
        </m:r>
        <m:r>
          <m:rPr>
            <m:sty m:val="p"/>
          </m:rPr>
          <w:rPr>
            <w:rFonts w:ascii="Cambria Math" w:hAnsi="Cambria Math"/>
          </w:rPr>
          <m:t>=</m:t>
        </m:r>
        <m:r>
          <w:rPr>
            <w:rFonts w:ascii="Cambria Math" w:hAnsi="Cambria Math"/>
          </w:rPr>
          <m:t>129</m:t>
        </m:r>
      </m:oMath>
      <w:r>
        <w:t xml:space="preserve"> estudos.</w:t>
      </w:r>
    </w:p>
    <w:p w14:paraId="4EF57CF3" w14:textId="2189B92A" w:rsidR="00DA6248" w:rsidRDefault="00000000" w:rsidP="008B7A1F">
      <w:pPr>
        <w:pStyle w:val="Corpodetexto"/>
      </w:pPr>
      <w:r>
        <w:t>Por fim, a governança de dados avaliada pelos princípios FAIR atingiu um score médio crítico de 34,2/100. A dimensão Accessible foi a mais deficitária, com apenas 10,1% dos estudos depositando dados em repositórios públicos. A análise temporal não indicou melhorias significativas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379</m:t>
        </m:r>
      </m:oMath>
      <w:r>
        <w:t>), evidenciando a estagnação de uma cultura de “caixa-preta” que impede a reprodutibilidade e a validação independente (Figura 8).</w:t>
      </w:r>
    </w:p>
    <w:p w14:paraId="738FEE6A" w14:textId="77777777" w:rsidR="008B7A1F" w:rsidRDefault="008B7A1F" w:rsidP="008B7A1F">
      <w:pPr>
        <w:pStyle w:val="Corpodetexto"/>
        <w:ind w:firstLine="0"/>
        <w:rPr>
          <w:b/>
          <w:bCs/>
        </w:rPr>
      </w:pPr>
    </w:p>
    <w:p w14:paraId="1CA583BF" w14:textId="77777777" w:rsidR="008D0823" w:rsidRDefault="008D0823" w:rsidP="008B7A1F">
      <w:pPr>
        <w:pStyle w:val="Corpodetexto"/>
        <w:ind w:firstLine="0"/>
        <w:rPr>
          <w:b/>
          <w:bCs/>
        </w:rPr>
      </w:pPr>
    </w:p>
    <w:p w14:paraId="4F574AF3" w14:textId="77777777" w:rsidR="008B7A1F" w:rsidRDefault="008B7A1F" w:rsidP="008B7A1F">
      <w:pPr>
        <w:pStyle w:val="Corpodetexto"/>
        <w:ind w:firstLine="0"/>
        <w:rPr>
          <w:b/>
          <w:bCs/>
        </w:rPr>
      </w:pPr>
    </w:p>
    <w:p w14:paraId="3FBE589F" w14:textId="77777777" w:rsidR="008B7A1F" w:rsidRDefault="008B7A1F" w:rsidP="008B7A1F">
      <w:pPr>
        <w:pStyle w:val="Corpodetexto"/>
        <w:ind w:firstLine="0"/>
        <w:rPr>
          <w:b/>
          <w:bCs/>
        </w:rPr>
      </w:pPr>
    </w:p>
    <w:p w14:paraId="24D4D384" w14:textId="77777777" w:rsidR="008B7A1F" w:rsidRDefault="008B7A1F" w:rsidP="008B7A1F">
      <w:pPr>
        <w:pStyle w:val="Corpodetexto"/>
        <w:ind w:firstLine="0"/>
        <w:rPr>
          <w:b/>
          <w:bCs/>
        </w:rPr>
      </w:pPr>
    </w:p>
    <w:p w14:paraId="42684C79" w14:textId="77777777" w:rsidR="008B7A1F" w:rsidRDefault="008B7A1F" w:rsidP="008B7A1F">
      <w:pPr>
        <w:pStyle w:val="Corpodetexto"/>
        <w:ind w:firstLine="0"/>
        <w:rPr>
          <w:b/>
          <w:bCs/>
        </w:rPr>
      </w:pPr>
    </w:p>
    <w:p w14:paraId="4EF57CF4" w14:textId="13C3322B" w:rsidR="00DA6248" w:rsidRDefault="00000000" w:rsidP="008B7A1F">
      <w:pPr>
        <w:pStyle w:val="Corpodetexto"/>
        <w:ind w:firstLine="0"/>
      </w:pPr>
      <w:r>
        <w:rPr>
          <w:b/>
          <w:bCs/>
        </w:rPr>
        <w:t>Figura 8.</w:t>
      </w:r>
      <w:r>
        <w:t xml:space="preserve"> Conformidade com princípios FAIR de governança de dados. (a) Score radar por dimensão FAIR e (b) Indicadores individuais de conformidade.</w:t>
      </w:r>
    </w:p>
    <w:p w14:paraId="4EF57CF5" w14:textId="77777777" w:rsidR="00DA6248" w:rsidRDefault="00000000" w:rsidP="008B7A1F">
      <w:pPr>
        <w:pStyle w:val="Corpodetexto"/>
        <w:ind w:firstLine="0"/>
      </w:pPr>
      <w:bookmarkStart w:id="34" w:name="fig:fair_radar"/>
      <w:r>
        <w:rPr>
          <w:noProof/>
        </w:rPr>
        <w:lastRenderedPageBreak/>
        <w:drawing>
          <wp:inline distT="0" distB="0" distL="0" distR="0" wp14:anchorId="4EF57DC2" wp14:editId="23A8E4D7">
            <wp:extent cx="5448300" cy="220980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2-FIGURAS/2-EN/fair_radar_2.png"/>
                    <pic:cNvPicPr>
                      <a:picLocks noChangeAspect="1" noChangeArrowheads="1"/>
                    </pic:cNvPicPr>
                  </pic:nvPicPr>
                  <pic:blipFill>
                    <a:blip r:embed="rId12"/>
                    <a:stretch>
                      <a:fillRect/>
                    </a:stretch>
                  </pic:blipFill>
                  <pic:spPr bwMode="auto">
                    <a:xfrm>
                      <a:off x="0" y="0"/>
                      <a:ext cx="5450006" cy="2210492"/>
                    </a:xfrm>
                    <a:prstGeom prst="rect">
                      <a:avLst/>
                    </a:prstGeom>
                    <a:noFill/>
                    <a:ln w="9525">
                      <a:noFill/>
                      <a:headEnd/>
                      <a:tailEnd/>
                    </a:ln>
                  </pic:spPr>
                </pic:pic>
              </a:graphicData>
            </a:graphic>
          </wp:inline>
        </w:drawing>
      </w:r>
      <w:bookmarkEnd w:id="34"/>
    </w:p>
    <w:p w14:paraId="4EF57CF6" w14:textId="77777777" w:rsidR="00DA6248" w:rsidRDefault="00000000">
      <w:pPr>
        <w:pStyle w:val="Ttulo2"/>
      </w:pPr>
      <w:bookmarkStart w:id="35" w:name="X6882a28660eac412484f509cadfd019697804ca"/>
      <w:bookmarkEnd w:id="30"/>
      <w:r>
        <w:t>3.5.4 Síntese Inferencial e Implicações Operacionais</w:t>
      </w:r>
    </w:p>
    <w:p w14:paraId="4EF57CF7" w14:textId="77777777" w:rsidR="00DA6248" w:rsidRDefault="00000000">
      <w:r>
        <w:t>A síntese inferencial do corpus delineia quatro fraturas estruturais que comprometem a transição dos atuais modelos preditivos para uma infraestrutura de Terroir Digital auditável. A primeira fratura constitui uma ilusão de robustez derivada da validação espacial deficiente. A omissão do particionamento geograficamente independente em 77% dos estudos precipita uma degradação de desempenho 110% superior em testes externos, com queda média de acurácia de 11,82% versus 5,62% em modelos validados espacialmente (U=2900, p&lt;0,001, d=0,948).</w:t>
      </w:r>
    </w:p>
    <w:p w14:paraId="4EF57CF8" w14:textId="77777777" w:rsidR="00DA6248" w:rsidRDefault="00000000">
      <w:pPr>
        <w:pStyle w:val="Corpodetexto"/>
      </w:pPr>
      <w:r>
        <w:t xml:space="preserve">Essa falha metodológica, impulsionada pela autocorrelação espacial residual, impede que os sistemas funcionem como “Gêmeos Digitais Adaptativos”, pois ao superajustarem-se a contextos locais, tornam-se obsoletos diante da variabilidade climática real e falham na auditoria de serviços ecossistêmicos em territórios análogos (Kuhn e Johnson, 2013; Wadoux </w:t>
      </w:r>
      <w:r>
        <w:rPr>
          <w:i/>
          <w:iCs/>
        </w:rPr>
        <w:t>et al.</w:t>
      </w:r>
      <w:r>
        <w:t>, 2021).</w:t>
      </w:r>
    </w:p>
    <w:p w14:paraId="4EF57CF9" w14:textId="77777777" w:rsidR="00DA6248" w:rsidRDefault="00000000">
      <w:pPr>
        <w:pStyle w:val="Corpodetexto"/>
      </w:pPr>
      <w:r>
        <w:t>Simultaneamente, a auditabilidade regulatória é minada pela marginalização da explicabilidade. A predominância de arquiteturas opacas em 86,5% das investigações contraria diretrizes para decisões de alto risco (Rudin, 2019), sustentando-se na falsa premissa de um trade-off de desempenho. A evidência estatística refuta essa narrativa, demonstrando que a diferença de acurácia entre modelos “caixa-preta” e modelos XAI é estatisticamente não significativa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218</m:t>
        </m:r>
      </m:oMath>
      <w:r>
        <w:t xml:space="preserve">), com o algoritmo XGBoost emergindo como solução ótima (score de Pareto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650</m:t>
        </m:r>
      </m:oMath>
      <w:r>
        <w:t>) ao equilibrar precisão e transparência. A insistência na opacidade inviabiliza a defesa jurídica da certificação, uma vez que órgãos reguladores exigem rastreabilidade causal entre marcadores químicos e variáveis ambientais, e não apenas correlações latentes intraduzíveis.</w:t>
      </w:r>
    </w:p>
    <w:p w14:paraId="4EF57CFA" w14:textId="77777777" w:rsidR="00DA6248" w:rsidRDefault="00000000">
      <w:pPr>
        <w:pStyle w:val="Corpodetexto"/>
      </w:pPr>
      <w:r>
        <w:t xml:space="preserve">Adicionalmente, observa-se a distorção da maturidade tecnológica pelo viés de publicação. A correção via método trim-and-fill, com imputação de 42 estudos </w:t>
      </w:r>
      <w:r>
        <w:lastRenderedPageBreak/>
        <w:t>faltantes (</w:t>
      </w:r>
      <m:oMath>
        <m:r>
          <w:rPr>
            <w:rFonts w:ascii="Cambria Math" w:hAnsi="Cambria Math"/>
          </w:rPr>
          <m:t>z</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02</m:t>
        </m:r>
      </m:oMath>
      <w:r>
        <w:t>), reduziu a acurácia pooled de ~91% para ~88%, revelando que a literatura superestima sistematicamente a capacidade discriminante dos modelos. Essa inflação métrica, somada a uma heterogeneidade metodológica moderada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r>
          <w:rPr>
            <w:rFonts w:ascii="Cambria Math" w:hAnsi="Cambria Math"/>
          </w:rPr>
          <m:t>58</m:t>
        </m:r>
        <m:r>
          <m:rPr>
            <m:sty m:val="p"/>
          </m:rPr>
          <w:rPr>
            <w:rFonts w:ascii="Cambria Math" w:hAnsi="Cambria Math"/>
          </w:rPr>
          <m:t>%</m:t>
        </m:r>
      </m:oMath>
      <w:r>
        <w:t>), compromete a calibração de riscos e alinha-se à crise de reprodutibilidade diagnosticada por Kapoor e Narayanan (2023), onde o vazamento de dados mascara a real eficácia das ferramentas.</w:t>
      </w:r>
    </w:p>
    <w:p w14:paraId="4EF57CFB" w14:textId="77777777" w:rsidR="00DA6248" w:rsidRDefault="00000000">
      <w:pPr>
        <w:pStyle w:val="Corpodetexto"/>
      </w:pPr>
      <w:r>
        <w:t>Por fim, a erosão da governança de dados perpetua assimetrias epistêmicas fundamentais. Com um score FAIR crítico de 34,2/100 e estagnação temporal na abertura de dados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235</m:t>
        </m:r>
      </m:oMath>
      <w:r>
        <w:t xml:space="preserve">,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379</m:t>
        </m:r>
      </m:oMath>
      <w:r>
        <w:t>), o campo falha em garantir a contraprova independente. Nesse cenário, a tecnologia Blockchain, presente em 21% da amostra, atua apenas como legitimadora superficial; sem repositórios abertos e trilhas de auditoria para os sensores físicos (dimensão Accessible de apenas 14,5%), o registro imutável não resolve o “Paradoxo do Oráculo”, obrigando produtores do Sul Global a dependerem de validações externas onerosas e inviabilizando a soberania sobre seus ativos digitais.</w:t>
      </w:r>
    </w:p>
    <w:p w14:paraId="4EF57CFC" w14:textId="77777777" w:rsidR="00DA6248" w:rsidRDefault="00000000">
      <w:pPr>
        <w:pStyle w:val="Corpodetexto"/>
      </w:pPr>
      <w:r>
        <w:t xml:space="preserve">Para sanar tais déficits e operacionalizar o Terroir Digital, propõe-se a adoção mandatória de Limiares de Conformidade que exijam acurácia pós-validação espacial </w:t>
      </w:r>
      <m:oMath>
        <m:r>
          <m:rPr>
            <m:sty m:val="p"/>
          </m:rPr>
          <w:rPr>
            <w:rFonts w:ascii="Cambria Math" w:hAnsi="Cambria Math"/>
          </w:rPr>
          <m:t>≥</m:t>
        </m:r>
        <m:r>
          <w:rPr>
            <w:rFonts w:ascii="Cambria Math" w:hAnsi="Cambria Math"/>
          </w:rPr>
          <m:t>85</m:t>
        </m:r>
        <m:r>
          <m:rPr>
            <m:sty m:val="p"/>
          </m:rPr>
          <w:rPr>
            <w:rFonts w:ascii="Cambria Math" w:hAnsi="Cambria Math"/>
          </w:rPr>
          <m:t>%</m:t>
        </m:r>
      </m:oMath>
      <w:r>
        <w:t xml:space="preserve"> e degradação externa máxima </w:t>
      </w:r>
      <m:oMath>
        <m:r>
          <m:rPr>
            <m:sty m:val="p"/>
          </m:rPr>
          <w:rPr>
            <w:rFonts w:ascii="Cambria Math" w:hAnsi="Cambria Math"/>
          </w:rPr>
          <m:t>≤</m:t>
        </m:r>
        <m:r>
          <w:rPr>
            <w:rFonts w:ascii="Cambria Math" w:hAnsi="Cambria Math"/>
          </w:rPr>
          <m:t>8</m:t>
        </m:r>
        <m:r>
          <m:rPr>
            <m:sty m:val="p"/>
          </m:rPr>
          <w:rPr>
            <w:rFonts w:ascii="Cambria Math" w:hAnsi="Cambria Math"/>
          </w:rPr>
          <m:t>%</m:t>
        </m:r>
      </m:oMath>
      <w:r>
        <w:t xml:space="preserve"> (Etten </w:t>
      </w:r>
      <w:r>
        <w:rPr>
          <w:i/>
          <w:iCs/>
        </w:rPr>
        <w:t>et al.</w:t>
      </w:r>
      <w:r>
        <w:t xml:space="preserve">, 2023), condicionadas simultaneamente à explicabilidade XAI mandatória para marcadores territoriais críticos e à conformidade FAIR </w:t>
      </w:r>
      <m:oMath>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100</m:t>
        </m:r>
      </m:oMath>
      <w:r>
        <w:t xml:space="preserve"> com deposição em repositórios interoperáveis (Mark D. Wilkinson </w:t>
      </w:r>
      <w:r>
        <w:rPr>
          <w:i/>
          <w:iCs/>
        </w:rPr>
        <w:t>et al.</w:t>
      </w:r>
      <w:r>
        <w:t xml:space="preserve">, 2016b). A adesão a esses parâmetros é condição sine qua non para transmutar o Aprendizado de Máquina de ferramenta classificatória laboratorial em infraestrutura de auditoria socioecológica, reduzindo custos de certificação em até 40% através de dados federados e garantindo a auditabilidade dos serviços ecossistêmicos (World Bank, 2014; An </w:t>
      </w:r>
      <w:r>
        <w:rPr>
          <w:i/>
          <w:iCs/>
        </w:rPr>
        <w:t>et al.</w:t>
      </w:r>
      <w:r>
        <w:t>, 2024).</w:t>
      </w:r>
    </w:p>
    <w:p w14:paraId="4EF57CFD" w14:textId="77777777" w:rsidR="00DA6248" w:rsidRDefault="00000000">
      <w:pPr>
        <w:pStyle w:val="Ttulo2"/>
      </w:pPr>
      <w:bookmarkStart w:id="36" w:name="X94067aeea534bb26fb44fa586381caf30c837ab"/>
      <w:bookmarkEnd w:id="35"/>
      <w:r>
        <w:t>3.6 Barreiras à Auditabilidade e a Falência do Terroir Digital Estático</w:t>
      </w:r>
    </w:p>
    <w:p w14:paraId="4EF57CFE" w14:textId="77777777" w:rsidR="00DA6248" w:rsidRDefault="00000000">
      <w:r>
        <w:t>A sofisticação algorítmica vigente não se converte em robustez para a governança ambiental. A presunção de estacionariedade, implícita na metodologia dominante, constitui a limitação ontológica fundamental. A alta precisão laboratorial (80–100%) reflete a capacidade dos modelos de memorizar assinaturas químicas de safras específicas, não de apreender a causalidade do terroir. A ausência de validação longitudinal em 94% dos estudos e de testes espacialmente independentes em 77% indica baixa robustez externa dos modelos (Moran e Tichava, 2020).</w:t>
      </w:r>
    </w:p>
    <w:p w14:paraId="4EF57CFF" w14:textId="77777777" w:rsidR="00DA6248" w:rsidRDefault="00000000">
      <w:pPr>
        <w:pStyle w:val="Corpodetexto"/>
      </w:pPr>
      <w:r>
        <w:t xml:space="preserve">Essa omissão metodológica impede a captura da plasticidade fenotípica, onde a expressão química das plantas varia naturalmente diante de flutuações ambientais, comprometendo a causalidade do terroir (Fournier-Level e Korte, 2022). Segundo Kuhn e Johnson (2013), tal falha invalida a auditoria contínua, pois os algoritmos falham em </w:t>
      </w:r>
      <w:r>
        <w:lastRenderedPageBreak/>
        <w:t>operar como Gêmeos Digitais Inferenciais sob dinâmica climática. Neste sentido, como solução apresenta-se o Terroir Digital dinâmico, que reconstrói acoplamentos sistêmicos entre solo, clima e biota.</w:t>
      </w:r>
    </w:p>
    <w:p w14:paraId="4EF57D00" w14:textId="77777777" w:rsidR="00DA6248" w:rsidRDefault="00000000">
      <w:pPr>
        <w:pStyle w:val="Corpodetexto"/>
      </w:pPr>
      <w:r>
        <w:t xml:space="preserve">Quanto a obsolescência temporal, modelos calibrados em “janelas de tempo ideais” tornam-se cegos às derivas químicas induzidas por eventos climáticos extremos, que podem alterar a composição de metabólitos secundários em mais de 20% entre ciclos produtivos (Urvieta </w:t>
      </w:r>
      <w:r>
        <w:rPr>
          <w:i/>
          <w:iCs/>
        </w:rPr>
        <w:t>et al.</w:t>
      </w:r>
      <w:r>
        <w:t>, 2021; Iranzad e Liu, 2025). Ao ignorarem a não-linearidade e os acoplamentos dinâmicos entre clima, solo e biota, os sistemas atuais degradam-se em classificadores estáticos, inaptos a operar como Gêmeos Digitais Inferenciais em cenários de mudança climática (Kuhn e Johnson, 2013; Celette, Findeling e Gary, 2016).</w:t>
      </w:r>
    </w:p>
    <w:p w14:paraId="4EF57D01" w14:textId="77777777" w:rsidR="00DA6248" w:rsidRDefault="00000000">
      <w:pPr>
        <w:pStyle w:val="Corpodetexto"/>
      </w:pPr>
      <w:r>
        <w:t xml:space="preserve">Tal fragilidade epistêmica é exacerbada pela opacidade computacional. A baixa adesão a protocolos de Inteligência Artificial Explicável (XAI) em 86,5% dos casos gera “caixas-pretas” juridicamente indefensáveis, pois a auditoria regulatória exige nexos causais rastreáveis, não correlações cegas (Xu </w:t>
      </w:r>
      <w:r>
        <w:rPr>
          <w:i/>
          <w:iCs/>
        </w:rPr>
        <w:t>et al.</w:t>
      </w:r>
      <w:r>
        <w:t xml:space="preserve">, 2021; He </w:t>
      </w:r>
      <w:r>
        <w:rPr>
          <w:i/>
          <w:iCs/>
        </w:rPr>
        <w:t>et al.</w:t>
      </w:r>
      <w:r>
        <w:t>, 2024).</w:t>
      </w:r>
    </w:p>
    <w:p w14:paraId="4EF57D02" w14:textId="77777777" w:rsidR="00DA6248" w:rsidRDefault="00000000">
      <w:pPr>
        <w:pStyle w:val="Corpodetexto"/>
      </w:pPr>
      <w:r>
        <w:t xml:space="preserve">Sob a perspectiva da governança, a inobservância dos princípios FAIR (score médio de 34,2/100) perpetua um colonialismo de dados. Sem a federalização de repositórios abertos, produtores do Sul Global permanecem reféns de validações exógenas onerosas, inviabilizando a Soberania Epistêmica sobre seus ativos bioculturais (Mark D. Wilkinson </w:t>
      </w:r>
      <w:r>
        <w:rPr>
          <w:i/>
          <w:iCs/>
        </w:rPr>
        <w:t>et al.</w:t>
      </w:r>
      <w:r>
        <w:t>, 2016b).</w:t>
      </w:r>
    </w:p>
    <w:p w14:paraId="4EF57D03" w14:textId="77777777" w:rsidR="00DA6248" w:rsidRDefault="00000000">
      <w:pPr>
        <w:pStyle w:val="Corpodetexto"/>
      </w:pPr>
      <w:r>
        <w:t xml:space="preserve">A operacionalização do Terroir Digital não reside no incremento de acurácia, mas na reestruturação da governança de dados para transmutar Indicações Geográficas de selos estáticos em certificados dinâmicos de serviços ecossistêmicos. Rodriguez, Silva e Chen (2023) aponta que, essa transformação exige calibração de modelos via sensoriamento remoto e amostragem estratégica em fronteiras agrícolas como a Amazônia. Tal abordagem constitui a única via escalável para vigilância computacional, correlacionando assinaturas químicas com práticas conservacionistas. Segundo Osco </w:t>
      </w:r>
      <w:r>
        <w:rPr>
          <w:i/>
          <w:iCs/>
        </w:rPr>
        <w:t>et al.</w:t>
      </w:r>
      <w:r>
        <w:t xml:space="preserve"> (2021), essa abordagem possibilita blindar o mercado contra o greenwashing e assegura remuneração efetiva da agrobiodiversidade, promovendo soberania epistêmica no Sul Global.</w:t>
      </w:r>
    </w:p>
    <w:p w14:paraId="4EF57D04" w14:textId="77777777" w:rsidR="00DA6248" w:rsidRDefault="00000000">
      <w:pPr>
        <w:pStyle w:val="Ttulo2"/>
      </w:pPr>
      <w:bookmarkStart w:id="37" w:name="conclusões"/>
      <w:bookmarkEnd w:id="36"/>
      <w:r>
        <w:t>4. Conclusões</w:t>
      </w:r>
    </w:p>
    <w:p w14:paraId="4EF57D05" w14:textId="77777777" w:rsidR="00DA6248" w:rsidRDefault="00000000">
      <w:r>
        <w:t xml:space="preserve">Esta pesquisa consolida a compreensão das Indicações Geográficas como sistemas socioecológicos acoplados, cuja tipicidade emerge de interações não lineares entre variáveis edafoclimáticas e práticas culturais. A análise crítica confirma que, embora a arquitetura inferencial do Aprendizado de Máquina detenha capacidade técnica para converter assinaturas quimiométricas em evidências de conformidade </w:t>
      </w:r>
      <w:r>
        <w:lastRenderedPageBreak/>
        <w:t>ambiental, o estado da arte atual carece da maturidade operacional necessária para sustentar um Gêmeo Digital Inferencial pleno. Tal limitação é agravada pela concentração metodológica em cadeias consolidadas de regiões temperadas, o que não apenas reproduz assimetrias epistêmicas, mas restringe severamente a transferência tecnológica para as matrizes complexas da agrobiodiversidade do Sul Global.</w:t>
      </w:r>
    </w:p>
    <w:p w14:paraId="4EF57D06" w14:textId="77777777" w:rsidR="00DA6248" w:rsidRDefault="00000000">
      <w:pPr>
        <w:pStyle w:val="Corpodetexto"/>
      </w:pPr>
      <w:r>
        <w:t>A certificação computacional contínua é atualmente inviabilizada por déficits estruturais críticos, notadamente a ausência de validação espacial independente e a negligência de testes longitudinais sob variabilidade climática interanual. A superação desse cenário e a consequente operacionalização do Terroir Digital como camada analítica de monitoramento adaptativo impõem, portanto, o estabelecimento de limiares estritos de robustez regulatória, definidos por uma acurácia pós-validação espacial e uma degradação máxima de desempenho em testes externos.</w:t>
      </w:r>
    </w:p>
    <w:p w14:paraId="4EF57D07" w14:textId="77777777" w:rsidR="00DA6248" w:rsidRDefault="00000000">
      <w:pPr>
        <w:pStyle w:val="Corpodetexto"/>
      </w:pPr>
      <w:r>
        <w:t>A explicabilidade algorítmica (XAI) deve constituir critério de due diligence ambiental, convertendo variáveis latentes em justificativas químico-ecológicas rastreáveis, enquanto a adesão a princípios FAIR, se faz necessária para permitir a auditoria de terceiros. Tais limiares operacionais transformam métricas de desempenho em salvaguardas de legitimidade regulatória.</w:t>
      </w:r>
    </w:p>
    <w:p w14:paraId="4EF57D08" w14:textId="77777777" w:rsidR="00DA6248" w:rsidRDefault="00000000">
      <w:pPr>
        <w:pStyle w:val="Corpodetexto"/>
      </w:pPr>
      <w:r>
        <w:t>A efetivação da soberania epistêmica demanda uma reorientação paradigmática que substitua a competição incremental por métricas de precisão interna pela construção de uma governança computacional transparente baseada em repositórios abertos. Essa mudança estrutural viabiliza a transição para o Terroir Digital, que transcende o mero avanço instrumental para constituir uma redefinição ontológica da certificação: ao reconstruir computacionalmente os acoplamentos dinâmicos entre o genótipo territorial e o fenótipo do produto, o arcabouço converte a incerteza climática em evidências auditáveis de serviços ecossistêmicos, blindando as Indicações Geográficas contra o greenwashing.</w:t>
      </w:r>
    </w:p>
    <w:p w14:paraId="4EF57D09" w14:textId="77777777" w:rsidR="00DA6248" w:rsidRDefault="00000000">
      <w:pPr>
        <w:pStyle w:val="Ttulo2"/>
      </w:pPr>
      <w:bookmarkStart w:id="38" w:name="agradecimentos"/>
      <w:bookmarkEnd w:id="37"/>
      <w:r>
        <w:t>Agradecimentos</w:t>
      </w:r>
    </w:p>
    <w:p w14:paraId="4EF57D0A" w14:textId="77777777" w:rsidR="00DA6248" w:rsidRDefault="00000000">
      <w:r>
        <w:t>Os autores agradecem à Universidade Federal de Sergipe (UFS), à Universidade Estadual de Feira de Santana (UEFS) e ao Instituto Federal de Sergipe (IFS) pelo apoio institucional e infraestrutural que possibilitou esta pesquisa.</w:t>
      </w:r>
    </w:p>
    <w:p w14:paraId="4EF57D0B" w14:textId="77777777" w:rsidR="00DA6248" w:rsidRDefault="00000000">
      <w:pPr>
        <w:pStyle w:val="Ttulo2"/>
      </w:pPr>
      <w:bookmarkStart w:id="39" w:name="conflitos-de-interesse"/>
      <w:bookmarkEnd w:id="38"/>
      <w:r>
        <w:t>Conflitos de Interesse</w:t>
      </w:r>
    </w:p>
    <w:p w14:paraId="4EF57D0C" w14:textId="77777777" w:rsidR="00DA6248" w:rsidRDefault="00000000">
      <w:r>
        <w:t>Os autores declaram não haver conflitos de interesse.</w:t>
      </w:r>
    </w:p>
    <w:p w14:paraId="4EF57D0D" w14:textId="77777777" w:rsidR="00DA6248" w:rsidRDefault="00000000">
      <w:pPr>
        <w:pStyle w:val="Ttulo2"/>
      </w:pPr>
      <w:bookmarkStart w:id="40" w:name="declaração-de-disponibilidade-de-dados"/>
      <w:bookmarkEnd w:id="39"/>
      <w:r>
        <w:lastRenderedPageBreak/>
        <w:t>Declaração de Disponibilidade de Dados</w:t>
      </w:r>
    </w:p>
    <w:p w14:paraId="4EF57D0E" w14:textId="77777777" w:rsidR="00DA6248" w:rsidRDefault="00000000">
      <w:r>
        <w:t xml:space="preserve">O conjunto de dados completo que apoia os resultados deste estudo, incluindo o corpus bibliográfico, os scripts de análise e os resultados intermediários, está disponível publicamente no repositório Open Science Framework (OSF) sob DOI: </w:t>
      </w:r>
      <w:hyperlink r:id="rId13">
        <w:r>
          <w:rPr>
            <w:rStyle w:val="Hyperlink"/>
          </w:rPr>
          <w:t>https://doi.org/10.17605/OSF.IO/2EKYQ</w:t>
        </w:r>
      </w:hyperlink>
      <w:r>
        <w:t>.</w:t>
      </w:r>
    </w:p>
    <w:p w14:paraId="4EF57D0F" w14:textId="77777777" w:rsidR="00DA6248" w:rsidRDefault="00000000">
      <w:pPr>
        <w:pStyle w:val="Ttulo2"/>
      </w:pPr>
      <w:bookmarkStart w:id="41" w:name="declaração-de-ética"/>
      <w:bookmarkEnd w:id="40"/>
      <w:r>
        <w:t>Declaração de Ética</w:t>
      </w:r>
    </w:p>
    <w:p w14:paraId="4EF57D10" w14:textId="77777777" w:rsidR="00DA6248" w:rsidRDefault="00000000">
      <w:r>
        <w:t>Esta revisão não envolve participantes humanos, experimentos com animais, linhagens celulares ou coleta de amostras. Não foi necessária aprovação ética nem consentimento.</w:t>
      </w:r>
    </w:p>
    <w:p w14:paraId="4EF57D13" w14:textId="77777777" w:rsidR="00DA6248" w:rsidRPr="008B7A1F" w:rsidRDefault="00000000">
      <w:pPr>
        <w:pStyle w:val="Ttulo2"/>
        <w:rPr>
          <w:lang w:val="en-US"/>
        </w:rPr>
      </w:pPr>
      <w:bookmarkStart w:id="42" w:name="references"/>
      <w:bookmarkEnd w:id="41"/>
      <w:r w:rsidRPr="008B7A1F">
        <w:rPr>
          <w:lang w:val="en-US"/>
        </w:rPr>
        <w:t>References</w:t>
      </w:r>
    </w:p>
    <w:p w14:paraId="4EF57D14" w14:textId="77777777" w:rsidR="00DA6248" w:rsidRDefault="00000000" w:rsidP="008D0823">
      <w:pPr>
        <w:pStyle w:val="Bibliografia"/>
        <w:spacing w:after="120" w:line="240" w:lineRule="auto"/>
      </w:pPr>
      <w:bookmarkStart w:id="43" w:name="ref-Agiomyrgiannaki2023"/>
      <w:bookmarkStart w:id="44" w:name="refs"/>
      <w:proofErr w:type="spellStart"/>
      <w:r w:rsidRPr="008B7A1F">
        <w:rPr>
          <w:lang w:val="en-US"/>
        </w:rPr>
        <w:t>Agiomyrgiannaki</w:t>
      </w:r>
      <w:proofErr w:type="spellEnd"/>
      <w:r w:rsidRPr="008B7A1F">
        <w:rPr>
          <w:lang w:val="en-US"/>
        </w:rPr>
        <w:t xml:space="preserve">, A. </w:t>
      </w:r>
      <w:r w:rsidRPr="008B7A1F">
        <w:rPr>
          <w:i/>
          <w:iCs/>
          <w:lang w:val="en-US"/>
        </w:rPr>
        <w:t>et al.</w:t>
      </w:r>
      <w:r w:rsidRPr="008B7A1F">
        <w:rPr>
          <w:lang w:val="en-US"/>
        </w:rPr>
        <w:t xml:space="preserve"> (2023) “Current Application of Advancing Spectroscopy Techniques in Food Analysis: Data Handling with Chemometric Approaches”, </w:t>
      </w:r>
      <w:r w:rsidRPr="008B7A1F">
        <w:rPr>
          <w:i/>
          <w:iCs/>
          <w:lang w:val="en-US"/>
        </w:rPr>
        <w:t>Foods</w:t>
      </w:r>
      <w:r w:rsidRPr="008B7A1F">
        <w:rPr>
          <w:lang w:val="en-US"/>
        </w:rPr>
        <w:t xml:space="preserve">, 12(14), p. 2813. </w:t>
      </w:r>
      <w:r>
        <w:t xml:space="preserve">Disponível em: </w:t>
      </w:r>
      <w:hyperlink r:id="rId14">
        <w:r>
          <w:rPr>
            <w:rStyle w:val="Hyperlink"/>
          </w:rPr>
          <w:t>https://doi.org/10.3390/foods12142813</w:t>
        </w:r>
      </w:hyperlink>
      <w:r>
        <w:t>.</w:t>
      </w:r>
    </w:p>
    <w:p w14:paraId="4EF57D15" w14:textId="77777777" w:rsidR="00DA6248" w:rsidRPr="008B7A1F" w:rsidRDefault="00000000" w:rsidP="008D0823">
      <w:pPr>
        <w:pStyle w:val="Bibliografia"/>
        <w:spacing w:after="120" w:line="240" w:lineRule="auto"/>
        <w:rPr>
          <w:lang w:val="en-US"/>
        </w:rPr>
      </w:pPr>
      <w:bookmarkStart w:id="45" w:name="ref-An2024EnvML_ChatGPT"/>
      <w:bookmarkEnd w:id="43"/>
      <w:r>
        <w:t xml:space="preserve">An, N. </w:t>
      </w:r>
      <w:r>
        <w:rPr>
          <w:i/>
          <w:iCs/>
        </w:rPr>
        <w:t>et al.</w:t>
      </w:r>
      <w:r>
        <w:t xml:space="preserve"> </w:t>
      </w:r>
      <w:r w:rsidRPr="008B7A1F">
        <w:rPr>
          <w:lang w:val="en-US"/>
        </w:rPr>
        <w:t xml:space="preserve">(2024) “ChatGPT and environmental machine learning: Opportunities and challenges”, </w:t>
      </w:r>
      <w:r w:rsidRPr="008B7A1F">
        <w:rPr>
          <w:i/>
          <w:iCs/>
          <w:lang w:val="en-US"/>
        </w:rPr>
        <w:t>Science of The Total Environment</w:t>
      </w:r>
      <w:r w:rsidRPr="008B7A1F">
        <w:rPr>
          <w:lang w:val="en-US"/>
        </w:rPr>
        <w:t xml:space="preserve">, 912, p. 169139.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15">
        <w:r w:rsidRPr="008B7A1F">
          <w:rPr>
            <w:rStyle w:val="Hyperlink"/>
            <w:lang w:val="en-US"/>
          </w:rPr>
          <w:t>https://doi.org/10.1016/j.scitotenv.2023.169139</w:t>
        </w:r>
      </w:hyperlink>
      <w:r w:rsidRPr="008B7A1F">
        <w:rPr>
          <w:lang w:val="en-US"/>
        </w:rPr>
        <w:t>.</w:t>
      </w:r>
    </w:p>
    <w:p w14:paraId="4EF57D16" w14:textId="77777777" w:rsidR="00DA6248" w:rsidRDefault="00000000" w:rsidP="008D0823">
      <w:pPr>
        <w:pStyle w:val="Bibliografia"/>
        <w:spacing w:after="120" w:line="240" w:lineRule="auto"/>
      </w:pPr>
      <w:bookmarkStart w:id="46" w:name="ref-Balduzzi2019"/>
      <w:bookmarkEnd w:id="45"/>
      <w:r w:rsidRPr="008B7A1F">
        <w:rPr>
          <w:lang w:val="en-US"/>
        </w:rPr>
        <w:t xml:space="preserve">Balduzzi, S., Rücker, G. e Schwarzer, G. (2019) “How to perform a meta-analysis with R: a practical tutorial”, </w:t>
      </w:r>
      <w:r w:rsidRPr="008B7A1F">
        <w:rPr>
          <w:i/>
          <w:iCs/>
          <w:lang w:val="en-US"/>
        </w:rPr>
        <w:t>BMJ Mental Health</w:t>
      </w:r>
      <w:r w:rsidRPr="008B7A1F">
        <w:rPr>
          <w:lang w:val="en-US"/>
        </w:rPr>
        <w:t xml:space="preserve">, 22(4), p. 153–160. </w:t>
      </w:r>
      <w:r>
        <w:t xml:space="preserve">Disponível em: </w:t>
      </w:r>
      <w:hyperlink r:id="rId16">
        <w:r>
          <w:rPr>
            <w:rStyle w:val="Hyperlink"/>
          </w:rPr>
          <w:t>https://doi.org/10.1136/ebmental-2019-300117</w:t>
        </w:r>
      </w:hyperlink>
      <w:r>
        <w:t>.</w:t>
      </w:r>
    </w:p>
    <w:p w14:paraId="4EF57D17" w14:textId="77777777" w:rsidR="00DA6248" w:rsidRPr="008B7A1F" w:rsidRDefault="00000000" w:rsidP="008D0823">
      <w:pPr>
        <w:pStyle w:val="Bibliografia"/>
        <w:spacing w:after="120" w:line="240" w:lineRule="auto"/>
        <w:rPr>
          <w:lang w:val="en-US"/>
        </w:rPr>
      </w:pPr>
      <w:bookmarkStart w:id="47" w:name="ref-Barendregt2013"/>
      <w:bookmarkEnd w:id="46"/>
      <w:r>
        <w:t xml:space="preserve">Barendregt, J.J. </w:t>
      </w:r>
      <w:r>
        <w:rPr>
          <w:i/>
          <w:iCs/>
        </w:rPr>
        <w:t>et al.</w:t>
      </w:r>
      <w:r>
        <w:t xml:space="preserve"> </w:t>
      </w:r>
      <w:r w:rsidRPr="008B7A1F">
        <w:rPr>
          <w:lang w:val="en-US"/>
        </w:rPr>
        <w:t xml:space="preserve">(2013) “Meta-analysis of prevalence”, </w:t>
      </w:r>
      <w:r w:rsidRPr="008B7A1F">
        <w:rPr>
          <w:i/>
          <w:iCs/>
          <w:lang w:val="en-US"/>
        </w:rPr>
        <w:t>Journal of Epidemiology and Community Health</w:t>
      </w:r>
      <w:r w:rsidRPr="008B7A1F">
        <w:rPr>
          <w:lang w:val="en-US"/>
        </w:rPr>
        <w:t xml:space="preserve">, 67(11), p. 974–978.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17">
        <w:r w:rsidRPr="008B7A1F">
          <w:rPr>
            <w:rStyle w:val="Hyperlink"/>
            <w:lang w:val="en-US"/>
          </w:rPr>
          <w:t>https://doi.org/10.1136/jech-2013-203104</w:t>
        </w:r>
      </w:hyperlink>
      <w:r w:rsidRPr="008B7A1F">
        <w:rPr>
          <w:lang w:val="en-US"/>
        </w:rPr>
        <w:t>.</w:t>
      </w:r>
    </w:p>
    <w:p w14:paraId="4EF57D18" w14:textId="77777777" w:rsidR="00DA6248" w:rsidRPr="008B7A1F" w:rsidRDefault="00000000" w:rsidP="008D0823">
      <w:pPr>
        <w:pStyle w:val="Bibliografia"/>
        <w:spacing w:after="120" w:line="240" w:lineRule="auto"/>
        <w:rPr>
          <w:lang w:val="en-US"/>
        </w:rPr>
      </w:pPr>
      <w:bookmarkStart w:id="48" w:name="ref-Belletti2017"/>
      <w:bookmarkEnd w:id="47"/>
      <w:r w:rsidRPr="008B7A1F">
        <w:rPr>
          <w:lang w:val="en-US"/>
        </w:rPr>
        <w:t xml:space="preserve">Belletti, G., Marescotti, A. e Touzard, J.-M. (2017) “Geographical indications, public goods, and sustainable development: The roles of actors’ strategies and public policies”, </w:t>
      </w:r>
      <w:r w:rsidRPr="008B7A1F">
        <w:rPr>
          <w:i/>
          <w:iCs/>
          <w:lang w:val="en-US"/>
        </w:rPr>
        <w:t>World Development</w:t>
      </w:r>
      <w:r w:rsidRPr="008B7A1F">
        <w:rPr>
          <w:lang w:val="en-US"/>
        </w:rPr>
        <w:t xml:space="preserve">, 98, p. 45–57.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18">
        <w:r w:rsidRPr="008B7A1F">
          <w:rPr>
            <w:rStyle w:val="Hyperlink"/>
            <w:lang w:val="en-US"/>
          </w:rPr>
          <w:t>https://doi.org/10.1016/j.worlddev.2015.05.004</w:t>
        </w:r>
      </w:hyperlink>
      <w:r w:rsidRPr="008B7A1F">
        <w:rPr>
          <w:lang w:val="en-US"/>
        </w:rPr>
        <w:t>.</w:t>
      </w:r>
    </w:p>
    <w:p w14:paraId="4EF57D19" w14:textId="77777777" w:rsidR="00DA6248" w:rsidRPr="008B7A1F" w:rsidRDefault="00000000" w:rsidP="008D0823">
      <w:pPr>
        <w:pStyle w:val="Bibliografia"/>
        <w:spacing w:after="120" w:line="240" w:lineRule="auto"/>
        <w:rPr>
          <w:lang w:val="en-US"/>
        </w:rPr>
      </w:pPr>
      <w:bookmarkStart w:id="49" w:name="ref-Belletti2017GeographicalIndications"/>
      <w:bookmarkEnd w:id="48"/>
      <w:r w:rsidRPr="008B7A1F">
        <w:rPr>
          <w:lang w:val="en-US"/>
        </w:rPr>
        <w:t xml:space="preserve">Belletti, P. e </w:t>
      </w:r>
      <w:proofErr w:type="spellStart"/>
      <w:r w:rsidRPr="008B7A1F">
        <w:rPr>
          <w:lang w:val="en-US"/>
        </w:rPr>
        <w:t>Marescotti</w:t>
      </w:r>
      <w:proofErr w:type="spellEnd"/>
      <w:r w:rsidRPr="008B7A1F">
        <w:rPr>
          <w:lang w:val="en-US"/>
        </w:rPr>
        <w:t xml:space="preserve">, A. (2017) </w:t>
      </w:r>
      <w:r w:rsidRPr="008B7A1F">
        <w:rPr>
          <w:i/>
          <w:iCs/>
          <w:lang w:val="en-US"/>
        </w:rPr>
        <w:t>Geographical Indications, Public Goods and Sustainable Development of Rural Areas</w:t>
      </w:r>
      <w:r w:rsidRPr="008B7A1F">
        <w:rPr>
          <w:lang w:val="en-US"/>
        </w:rPr>
        <w:t>. Springer (</w:t>
      </w:r>
      <w:proofErr w:type="spellStart"/>
      <w:r w:rsidRPr="008B7A1F">
        <w:rPr>
          <w:lang w:val="en-US"/>
        </w:rPr>
        <w:t>SpringerBriefs</w:t>
      </w:r>
      <w:proofErr w:type="spellEnd"/>
      <w:r w:rsidRPr="008B7A1F">
        <w:rPr>
          <w:lang w:val="en-US"/>
        </w:rPr>
        <w:t xml:space="preserve"> </w:t>
      </w:r>
      <w:proofErr w:type="spellStart"/>
      <w:r w:rsidRPr="008B7A1F">
        <w:rPr>
          <w:lang w:val="en-US"/>
        </w:rPr>
        <w:t>em</w:t>
      </w:r>
      <w:proofErr w:type="spellEnd"/>
      <w:r w:rsidRPr="008B7A1F">
        <w:rPr>
          <w:lang w:val="en-US"/>
        </w:rPr>
        <w:t xml:space="preserve"> Economics).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19">
        <w:r w:rsidRPr="008B7A1F">
          <w:rPr>
            <w:rStyle w:val="Hyperlink"/>
            <w:lang w:val="en-US"/>
          </w:rPr>
          <w:t>https://doi.org/10.1007/978-3-319-53073-4</w:t>
        </w:r>
      </w:hyperlink>
      <w:r w:rsidRPr="008B7A1F">
        <w:rPr>
          <w:lang w:val="en-US"/>
        </w:rPr>
        <w:t>.</w:t>
      </w:r>
    </w:p>
    <w:p w14:paraId="4EF57D1A" w14:textId="77777777" w:rsidR="00DA6248" w:rsidRPr="008B7A1F" w:rsidRDefault="00000000" w:rsidP="008D0823">
      <w:pPr>
        <w:pStyle w:val="Bibliografia"/>
        <w:spacing w:after="120" w:line="240" w:lineRule="auto"/>
        <w:rPr>
          <w:lang w:val="en-US"/>
        </w:rPr>
      </w:pPr>
      <w:bookmarkStart w:id="50" w:name="ref-Berkes2003"/>
      <w:bookmarkEnd w:id="49"/>
      <w:r w:rsidRPr="008B7A1F">
        <w:rPr>
          <w:lang w:val="en-US"/>
        </w:rPr>
        <w:t xml:space="preserve">Berkes, F., Colding, J. e Folke, C. (org.) (2003) </w:t>
      </w:r>
      <w:r w:rsidRPr="008B7A1F">
        <w:rPr>
          <w:i/>
          <w:iCs/>
          <w:lang w:val="en-US"/>
        </w:rPr>
        <w:t>Navigating Social-Ecological Systems: Building Resilience for Complexity and Change</w:t>
      </w:r>
      <w:r w:rsidRPr="008B7A1F">
        <w:rPr>
          <w:lang w:val="en-US"/>
        </w:rPr>
        <w:t xml:space="preserve">. Cambridge: Cambridge University Press.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20">
        <w:r w:rsidRPr="008B7A1F">
          <w:rPr>
            <w:rStyle w:val="Hyperlink"/>
            <w:lang w:val="en-US"/>
          </w:rPr>
          <w:t>https://doi.org/10.1017/CBO9780511541957</w:t>
        </w:r>
      </w:hyperlink>
      <w:r w:rsidRPr="008B7A1F">
        <w:rPr>
          <w:lang w:val="en-US"/>
        </w:rPr>
        <w:t>.</w:t>
      </w:r>
    </w:p>
    <w:p w14:paraId="4EF57D1B" w14:textId="77777777" w:rsidR="00DA6248" w:rsidRDefault="00000000" w:rsidP="008D0823">
      <w:pPr>
        <w:pStyle w:val="Bibliografia"/>
        <w:spacing w:after="120" w:line="240" w:lineRule="auto"/>
      </w:pPr>
      <w:bookmarkStart w:id="51" w:name="ref-Blondel2008"/>
      <w:bookmarkEnd w:id="50"/>
      <w:r w:rsidRPr="008B7A1F">
        <w:rPr>
          <w:lang w:val="en-US"/>
        </w:rPr>
        <w:t xml:space="preserve">Blondel, V.D. </w:t>
      </w:r>
      <w:r w:rsidRPr="008B7A1F">
        <w:rPr>
          <w:i/>
          <w:iCs/>
          <w:lang w:val="en-US"/>
        </w:rPr>
        <w:t>et al.</w:t>
      </w:r>
      <w:r w:rsidRPr="008B7A1F">
        <w:rPr>
          <w:lang w:val="en-US"/>
        </w:rPr>
        <w:t xml:space="preserve"> (2008) “Fast unfolding of communities in large networks”, </w:t>
      </w:r>
      <w:r w:rsidRPr="008B7A1F">
        <w:rPr>
          <w:i/>
          <w:iCs/>
          <w:lang w:val="en-US"/>
        </w:rPr>
        <w:t>Journal of Statistical Mechanics: Theory and Experiment</w:t>
      </w:r>
      <w:r w:rsidRPr="008B7A1F">
        <w:rPr>
          <w:lang w:val="en-US"/>
        </w:rPr>
        <w:t xml:space="preserve">, 2008(10), p. P10008. </w:t>
      </w:r>
      <w:r>
        <w:t xml:space="preserve">Disponível em: </w:t>
      </w:r>
      <w:hyperlink r:id="rId21">
        <w:r>
          <w:rPr>
            <w:rStyle w:val="Hyperlink"/>
          </w:rPr>
          <w:t>https://doi.org/10.1088/1742-5468/2008/10/P10008</w:t>
        </w:r>
      </w:hyperlink>
      <w:r>
        <w:t>.</w:t>
      </w:r>
    </w:p>
    <w:p w14:paraId="4EF57D1C" w14:textId="77777777" w:rsidR="00DA6248" w:rsidRDefault="00000000" w:rsidP="008D0823">
      <w:pPr>
        <w:pStyle w:val="Bibliografia"/>
        <w:spacing w:after="120" w:line="240" w:lineRule="auto"/>
      </w:pPr>
      <w:bookmarkStart w:id="52" w:name="ref-Bonferroni1936"/>
      <w:bookmarkEnd w:id="51"/>
      <w:r>
        <w:lastRenderedPageBreak/>
        <w:t xml:space="preserve">Bonferroni, C.E. (1936) </w:t>
      </w:r>
      <w:r>
        <w:rPr>
          <w:i/>
          <w:iCs/>
        </w:rPr>
        <w:t>Teoria statistica delle classi e calcolo delle probabilità</w:t>
      </w:r>
      <w:r>
        <w:t>. Firenze: Pubblicazioni del R Istituto Superiore di Scienze Economiche e Commerciali di Firenze.</w:t>
      </w:r>
    </w:p>
    <w:p w14:paraId="4EF57D1D" w14:textId="77777777" w:rsidR="00DA6248" w:rsidRDefault="00000000" w:rsidP="008D0823">
      <w:pPr>
        <w:pStyle w:val="Bibliografia"/>
        <w:spacing w:after="120" w:line="240" w:lineRule="auto"/>
      </w:pPr>
      <w:bookmarkStart w:id="53" w:name="ref-Borenstein2009"/>
      <w:bookmarkEnd w:id="52"/>
      <w:r w:rsidRPr="008B7A1F">
        <w:rPr>
          <w:lang w:val="en-US"/>
        </w:rPr>
        <w:t xml:space="preserve">Borenstein, M. </w:t>
      </w:r>
      <w:r w:rsidRPr="008B7A1F">
        <w:rPr>
          <w:i/>
          <w:iCs/>
          <w:lang w:val="en-US"/>
        </w:rPr>
        <w:t>et al.</w:t>
      </w:r>
      <w:r w:rsidRPr="008B7A1F">
        <w:rPr>
          <w:lang w:val="en-US"/>
        </w:rPr>
        <w:t xml:space="preserve"> (2009) </w:t>
      </w:r>
      <w:r w:rsidRPr="008B7A1F">
        <w:rPr>
          <w:i/>
          <w:iCs/>
          <w:lang w:val="en-US"/>
        </w:rPr>
        <w:t>Introduction to Meta-Analysis</w:t>
      </w:r>
      <w:r w:rsidRPr="008B7A1F">
        <w:rPr>
          <w:lang w:val="en-US"/>
        </w:rPr>
        <w:t xml:space="preserve">. Chichester, UK: John Wiley &amp; Sons. </w:t>
      </w:r>
      <w:r>
        <w:t xml:space="preserve">Disponível em: </w:t>
      </w:r>
      <w:hyperlink r:id="rId22">
        <w:r>
          <w:rPr>
            <w:rStyle w:val="Hyperlink"/>
          </w:rPr>
          <w:t>https://doi.org/10.1002/9780470743386</w:t>
        </w:r>
      </w:hyperlink>
      <w:r>
        <w:t>.</w:t>
      </w:r>
    </w:p>
    <w:p w14:paraId="4EF57D1E" w14:textId="77777777" w:rsidR="00DA6248" w:rsidRPr="008B7A1F" w:rsidRDefault="00000000" w:rsidP="008D0823">
      <w:pPr>
        <w:pStyle w:val="Bibliografia"/>
        <w:spacing w:after="120" w:line="240" w:lineRule="auto"/>
        <w:rPr>
          <w:lang w:val="en-US"/>
        </w:rPr>
      </w:pPr>
      <w:bookmarkStart w:id="54" w:name="ref-Bramley2013"/>
      <w:bookmarkEnd w:id="53"/>
      <w:r>
        <w:t xml:space="preserve">Bramley, C., Bi-®nabe, E. e Kirsten, J. (org.) </w:t>
      </w:r>
      <w:r w:rsidRPr="008B7A1F">
        <w:rPr>
          <w:lang w:val="en-US"/>
        </w:rPr>
        <w:t xml:space="preserve">(2013) </w:t>
      </w:r>
      <w:r w:rsidRPr="008B7A1F">
        <w:rPr>
          <w:i/>
          <w:iCs/>
          <w:lang w:val="en-US"/>
        </w:rPr>
        <w:t>Developing Geographical Indications in the South: The Potential of Place-Based Products</w:t>
      </w:r>
      <w:r w:rsidRPr="008B7A1F">
        <w:rPr>
          <w:lang w:val="en-US"/>
        </w:rPr>
        <w:t xml:space="preserve">. Dordrecht: Springer.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23">
        <w:r w:rsidRPr="008B7A1F">
          <w:rPr>
            <w:rStyle w:val="Hyperlink"/>
            <w:lang w:val="en-US"/>
          </w:rPr>
          <w:t>https://doi.org/10.1007/978-94-007-6603-1</w:t>
        </w:r>
      </w:hyperlink>
      <w:r w:rsidRPr="008B7A1F">
        <w:rPr>
          <w:lang w:val="en-US"/>
        </w:rPr>
        <w:t>.</w:t>
      </w:r>
    </w:p>
    <w:p w14:paraId="4EF57D1F" w14:textId="77777777" w:rsidR="00DA6248" w:rsidRPr="008B7A1F" w:rsidRDefault="00000000" w:rsidP="008D0823">
      <w:pPr>
        <w:pStyle w:val="Bibliografia"/>
        <w:spacing w:after="120" w:line="240" w:lineRule="auto"/>
        <w:rPr>
          <w:lang w:val="en-US"/>
        </w:rPr>
      </w:pPr>
      <w:bookmarkStart w:id="55" w:name="ref-Casey2021"/>
      <w:bookmarkEnd w:id="54"/>
      <w:r w:rsidRPr="008B7A1F">
        <w:rPr>
          <w:lang w:val="en-US"/>
        </w:rPr>
        <w:t xml:space="preserve">Casey, A. </w:t>
      </w:r>
      <w:r w:rsidRPr="008B7A1F">
        <w:rPr>
          <w:i/>
          <w:iCs/>
          <w:lang w:val="en-US"/>
        </w:rPr>
        <w:t>et al.</w:t>
      </w:r>
      <w:r w:rsidRPr="008B7A1F">
        <w:rPr>
          <w:lang w:val="en-US"/>
        </w:rPr>
        <w:t xml:space="preserve"> (2021) “A systematic review of natural language processing applied to radiology reports”, </w:t>
      </w:r>
      <w:r w:rsidRPr="008B7A1F">
        <w:rPr>
          <w:i/>
          <w:iCs/>
          <w:lang w:val="en-US"/>
        </w:rPr>
        <w:t>BMC Medical Informatics and Decision Making</w:t>
      </w:r>
      <w:r w:rsidRPr="008B7A1F">
        <w:rPr>
          <w:lang w:val="en-US"/>
        </w:rPr>
        <w:t xml:space="preserve">, 21(1), p. 179.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24">
        <w:r w:rsidRPr="008B7A1F">
          <w:rPr>
            <w:rStyle w:val="Hyperlink"/>
            <w:lang w:val="en-US"/>
          </w:rPr>
          <w:t>https://doi.org/10.1186/s12911-021-01533-7</w:t>
        </w:r>
      </w:hyperlink>
      <w:r w:rsidRPr="008B7A1F">
        <w:rPr>
          <w:lang w:val="en-US"/>
        </w:rPr>
        <w:t>.</w:t>
      </w:r>
    </w:p>
    <w:p w14:paraId="4EF57D20" w14:textId="77777777" w:rsidR="00DA6248" w:rsidRPr="008B7A1F" w:rsidRDefault="00000000" w:rsidP="008D0823">
      <w:pPr>
        <w:pStyle w:val="Bibliografia"/>
        <w:spacing w:after="120" w:line="240" w:lineRule="auto"/>
        <w:rPr>
          <w:lang w:val="en-US"/>
        </w:rPr>
      </w:pPr>
      <w:bookmarkStart w:id="56" w:name="ref-Celette2016WaterStress"/>
      <w:bookmarkEnd w:id="55"/>
      <w:proofErr w:type="spellStart"/>
      <w:r w:rsidRPr="008B7A1F">
        <w:rPr>
          <w:lang w:val="en-US"/>
        </w:rPr>
        <w:t>Celette</w:t>
      </w:r>
      <w:proofErr w:type="spellEnd"/>
      <w:r w:rsidRPr="008B7A1F">
        <w:rPr>
          <w:lang w:val="en-US"/>
        </w:rPr>
        <w:t xml:space="preserve">, F., </w:t>
      </w:r>
      <w:proofErr w:type="spellStart"/>
      <w:r w:rsidRPr="008B7A1F">
        <w:rPr>
          <w:lang w:val="en-US"/>
        </w:rPr>
        <w:t>Findeling</w:t>
      </w:r>
      <w:proofErr w:type="spellEnd"/>
      <w:r w:rsidRPr="008B7A1F">
        <w:rPr>
          <w:lang w:val="en-US"/>
        </w:rPr>
        <w:t xml:space="preserve">, A. e Gary, C. (2016) “Vineyard water and nitrogen management using a cover crop: A review”, </w:t>
      </w:r>
      <w:r w:rsidRPr="008B7A1F">
        <w:rPr>
          <w:i/>
          <w:iCs/>
          <w:lang w:val="en-US"/>
        </w:rPr>
        <w:t>Agronomy for Sustainable Development</w:t>
      </w:r>
      <w:r w:rsidRPr="008B7A1F">
        <w:rPr>
          <w:lang w:val="en-US"/>
        </w:rPr>
        <w:t xml:space="preserve">, 36(1), p. 4.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25">
        <w:r w:rsidRPr="008B7A1F">
          <w:rPr>
            <w:rStyle w:val="Hyperlink"/>
            <w:lang w:val="en-US"/>
          </w:rPr>
          <w:t>https://doi.org/10.1007/s13593-015-0337-y</w:t>
        </w:r>
      </w:hyperlink>
      <w:r w:rsidRPr="008B7A1F">
        <w:rPr>
          <w:lang w:val="en-US"/>
        </w:rPr>
        <w:t>.</w:t>
      </w:r>
    </w:p>
    <w:p w14:paraId="4EF57D21" w14:textId="77777777" w:rsidR="00DA6248" w:rsidRPr="008B7A1F" w:rsidRDefault="00000000" w:rsidP="008D0823">
      <w:pPr>
        <w:pStyle w:val="Bibliografia"/>
        <w:spacing w:after="120" w:line="240" w:lineRule="auto"/>
        <w:rPr>
          <w:lang w:val="en-US"/>
        </w:rPr>
      </w:pPr>
      <w:bookmarkStart w:id="57" w:name="ref-Cochran1954"/>
      <w:bookmarkEnd w:id="56"/>
      <w:r w:rsidRPr="008B7A1F">
        <w:rPr>
          <w:lang w:val="en-US"/>
        </w:rPr>
        <w:t xml:space="preserve">Cochran, W.G. (1954) “The combination of estimates from different experiments”, </w:t>
      </w:r>
      <w:r w:rsidRPr="008B7A1F">
        <w:rPr>
          <w:i/>
          <w:iCs/>
          <w:lang w:val="en-US"/>
        </w:rPr>
        <w:t>Biometrics</w:t>
      </w:r>
      <w:r w:rsidRPr="008B7A1F">
        <w:rPr>
          <w:lang w:val="en-US"/>
        </w:rPr>
        <w:t xml:space="preserve">, 10(1), p. 101–129.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26">
        <w:r w:rsidRPr="008B7A1F">
          <w:rPr>
            <w:rStyle w:val="Hyperlink"/>
            <w:lang w:val="en-US"/>
          </w:rPr>
          <w:t>https://doi.org/10.2307/3001666</w:t>
        </w:r>
      </w:hyperlink>
      <w:r w:rsidRPr="008B7A1F">
        <w:rPr>
          <w:lang w:val="en-US"/>
        </w:rPr>
        <w:t>.</w:t>
      </w:r>
    </w:p>
    <w:p w14:paraId="4EF57D22" w14:textId="77777777" w:rsidR="00DA6248" w:rsidRPr="008B7A1F" w:rsidRDefault="00000000" w:rsidP="008D0823">
      <w:pPr>
        <w:pStyle w:val="Bibliografia"/>
        <w:spacing w:after="120" w:line="240" w:lineRule="auto"/>
        <w:rPr>
          <w:lang w:val="en-US"/>
        </w:rPr>
      </w:pPr>
      <w:bookmarkStart w:id="58" w:name="ref-Cohen1988"/>
      <w:bookmarkEnd w:id="57"/>
      <w:r w:rsidRPr="008B7A1F">
        <w:rPr>
          <w:lang w:val="en-US"/>
        </w:rPr>
        <w:t xml:space="preserve">Cohen, J. (1988) </w:t>
      </w:r>
      <w:r w:rsidRPr="008B7A1F">
        <w:rPr>
          <w:i/>
          <w:iCs/>
          <w:lang w:val="en-US"/>
        </w:rPr>
        <w:t xml:space="preserve">Statistical Power Analysis for </w:t>
      </w:r>
      <w:proofErr w:type="gramStart"/>
      <w:r w:rsidRPr="008B7A1F">
        <w:rPr>
          <w:i/>
          <w:iCs/>
          <w:lang w:val="en-US"/>
        </w:rPr>
        <w:t>the Behavioral</w:t>
      </w:r>
      <w:proofErr w:type="gramEnd"/>
      <w:r w:rsidRPr="008B7A1F">
        <w:rPr>
          <w:i/>
          <w:iCs/>
          <w:lang w:val="en-US"/>
        </w:rPr>
        <w:t xml:space="preserve"> Sciences</w:t>
      </w:r>
      <w:r w:rsidRPr="008B7A1F">
        <w:rPr>
          <w:lang w:val="en-US"/>
        </w:rPr>
        <w:t>. 2nd ed. Hillsdale, NJ: Lawrence Erlbaum Associates.</w:t>
      </w:r>
    </w:p>
    <w:p w14:paraId="4EF57D23" w14:textId="77777777" w:rsidR="00DA6248" w:rsidRPr="008B7A1F" w:rsidRDefault="00000000" w:rsidP="008D0823">
      <w:pPr>
        <w:pStyle w:val="Bibliografia"/>
        <w:spacing w:after="120" w:line="240" w:lineRule="auto"/>
        <w:rPr>
          <w:lang w:val="en-US"/>
        </w:rPr>
      </w:pPr>
      <w:bookmarkStart w:id="59" w:name="ref-Csardi2006"/>
      <w:bookmarkEnd w:id="58"/>
      <w:r w:rsidRPr="008B7A1F">
        <w:rPr>
          <w:lang w:val="en-US"/>
        </w:rPr>
        <w:t>Cs-</w:t>
      </w:r>
      <w:proofErr w:type="spellStart"/>
      <w:r w:rsidRPr="008B7A1F">
        <w:rPr>
          <w:lang w:val="en-US"/>
        </w:rPr>
        <w:t>írdi</w:t>
      </w:r>
      <w:proofErr w:type="spellEnd"/>
      <w:r w:rsidRPr="008B7A1F">
        <w:rPr>
          <w:lang w:val="en-US"/>
        </w:rPr>
        <w:t xml:space="preserve">, G. e </w:t>
      </w:r>
      <w:proofErr w:type="spellStart"/>
      <w:r w:rsidRPr="008B7A1F">
        <w:rPr>
          <w:lang w:val="en-US"/>
        </w:rPr>
        <w:t>Nepusz</w:t>
      </w:r>
      <w:proofErr w:type="spellEnd"/>
      <w:r w:rsidRPr="008B7A1F">
        <w:rPr>
          <w:lang w:val="en-US"/>
        </w:rPr>
        <w:t xml:space="preserve">, T. (2006) “The </w:t>
      </w:r>
      <w:proofErr w:type="spellStart"/>
      <w:r w:rsidRPr="008B7A1F">
        <w:rPr>
          <w:lang w:val="en-US"/>
        </w:rPr>
        <w:t>igraph</w:t>
      </w:r>
      <w:proofErr w:type="spellEnd"/>
      <w:r w:rsidRPr="008B7A1F">
        <w:rPr>
          <w:lang w:val="en-US"/>
        </w:rPr>
        <w:t xml:space="preserve"> software package for complex network research”, </w:t>
      </w:r>
      <w:proofErr w:type="spellStart"/>
      <w:r w:rsidRPr="008B7A1F">
        <w:rPr>
          <w:i/>
          <w:iCs/>
          <w:lang w:val="en-US"/>
        </w:rPr>
        <w:t>InterJournal</w:t>
      </w:r>
      <w:proofErr w:type="spellEnd"/>
      <w:r w:rsidRPr="008B7A1F">
        <w:rPr>
          <w:i/>
          <w:iCs/>
          <w:lang w:val="en-US"/>
        </w:rPr>
        <w:t xml:space="preserve"> Complex Systems</w:t>
      </w:r>
      <w:r w:rsidRPr="008B7A1F">
        <w:rPr>
          <w:lang w:val="en-US"/>
        </w:rPr>
        <w:t xml:space="preserve">, 1695, p. 1–9.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27">
        <w:r w:rsidRPr="008B7A1F">
          <w:rPr>
            <w:rStyle w:val="Hyperlink"/>
            <w:lang w:val="en-US"/>
          </w:rPr>
          <w:t>https://igraph.org</w:t>
        </w:r>
      </w:hyperlink>
      <w:r w:rsidRPr="008B7A1F">
        <w:rPr>
          <w:lang w:val="en-US"/>
        </w:rPr>
        <w:t>.</w:t>
      </w:r>
    </w:p>
    <w:p w14:paraId="4EF57D24" w14:textId="77777777" w:rsidR="00DA6248" w:rsidRPr="008B7A1F" w:rsidRDefault="00000000" w:rsidP="008D0823">
      <w:pPr>
        <w:pStyle w:val="Bibliografia"/>
        <w:spacing w:after="120" w:line="240" w:lineRule="auto"/>
        <w:rPr>
          <w:lang w:val="en-US"/>
        </w:rPr>
      </w:pPr>
      <w:bookmarkStart w:id="60" w:name="ref-Deb2001"/>
      <w:bookmarkEnd w:id="59"/>
      <w:r w:rsidRPr="008B7A1F">
        <w:rPr>
          <w:lang w:val="en-US"/>
        </w:rPr>
        <w:t xml:space="preserve">Deb, K. (2001) </w:t>
      </w:r>
      <w:r w:rsidRPr="008B7A1F">
        <w:rPr>
          <w:i/>
          <w:iCs/>
          <w:lang w:val="en-US"/>
        </w:rPr>
        <w:t>Multi-Objective Optimization using Evolutionary Algorithms</w:t>
      </w:r>
      <w:r w:rsidRPr="008B7A1F">
        <w:rPr>
          <w:lang w:val="en-US"/>
        </w:rPr>
        <w:t>. Chichester, UK: John Wiley &amp; Sons.</w:t>
      </w:r>
    </w:p>
    <w:p w14:paraId="4EF57D25" w14:textId="77777777" w:rsidR="00DA6248" w:rsidRPr="008B7A1F" w:rsidRDefault="00000000" w:rsidP="008D0823">
      <w:pPr>
        <w:pStyle w:val="Bibliografia"/>
        <w:spacing w:after="120" w:line="240" w:lineRule="auto"/>
        <w:rPr>
          <w:lang w:val="en-US"/>
        </w:rPr>
      </w:pPr>
      <w:bookmarkStart w:id="61" w:name="ref-DerSimonian1986"/>
      <w:bookmarkEnd w:id="60"/>
      <w:proofErr w:type="spellStart"/>
      <w:r w:rsidRPr="008B7A1F">
        <w:rPr>
          <w:lang w:val="en-US"/>
        </w:rPr>
        <w:t>DerSimonian</w:t>
      </w:r>
      <w:proofErr w:type="spellEnd"/>
      <w:r w:rsidRPr="008B7A1F">
        <w:rPr>
          <w:lang w:val="en-US"/>
        </w:rPr>
        <w:t xml:space="preserve">, R. e Laird, N. (1986) “Meta-analysis in clinical trials”, </w:t>
      </w:r>
      <w:r w:rsidRPr="008B7A1F">
        <w:rPr>
          <w:i/>
          <w:iCs/>
          <w:lang w:val="en-US"/>
        </w:rPr>
        <w:t>Controlled Clinical Trials</w:t>
      </w:r>
      <w:r w:rsidRPr="008B7A1F">
        <w:rPr>
          <w:lang w:val="en-US"/>
        </w:rPr>
        <w:t xml:space="preserve">, 7(3), p. 177–188.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28">
        <w:r w:rsidRPr="008B7A1F">
          <w:rPr>
            <w:rStyle w:val="Hyperlink"/>
            <w:lang w:val="en-US"/>
          </w:rPr>
          <w:t>https://doi.org/10.1016/0197-2456(86)90046-2</w:t>
        </w:r>
      </w:hyperlink>
      <w:r w:rsidRPr="008B7A1F">
        <w:rPr>
          <w:lang w:val="en-US"/>
        </w:rPr>
        <w:t>.</w:t>
      </w:r>
    </w:p>
    <w:p w14:paraId="4EF57D26" w14:textId="77777777" w:rsidR="00DA6248" w:rsidRPr="008B7A1F" w:rsidRDefault="00000000" w:rsidP="008D0823">
      <w:pPr>
        <w:pStyle w:val="Bibliografia"/>
        <w:spacing w:after="120" w:line="240" w:lineRule="auto"/>
        <w:rPr>
          <w:lang w:val="en-US"/>
        </w:rPr>
      </w:pPr>
      <w:bookmarkStart w:id="62" w:name="ref-Duval2000"/>
      <w:bookmarkEnd w:id="61"/>
      <w:r w:rsidRPr="008B7A1F">
        <w:rPr>
          <w:lang w:val="en-US"/>
        </w:rPr>
        <w:t xml:space="preserve">Duval, S. e Tweedie, R. (2000) “Trim and fill: A simple funnel-plot-based method of testing and adjusting for publication bias in meta-analysis”, </w:t>
      </w:r>
      <w:r w:rsidRPr="008B7A1F">
        <w:rPr>
          <w:i/>
          <w:iCs/>
          <w:lang w:val="en-US"/>
        </w:rPr>
        <w:t>Biometrics</w:t>
      </w:r>
      <w:r w:rsidRPr="008B7A1F">
        <w:rPr>
          <w:lang w:val="en-US"/>
        </w:rPr>
        <w:t xml:space="preserve">, 56(2), p. 455–463.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29">
        <w:r w:rsidRPr="008B7A1F">
          <w:rPr>
            <w:rStyle w:val="Hyperlink"/>
            <w:lang w:val="en-US"/>
          </w:rPr>
          <w:t>https://doi.org/10.1111/j.0006-341X.2000.00455.x</w:t>
        </w:r>
      </w:hyperlink>
      <w:r w:rsidRPr="008B7A1F">
        <w:rPr>
          <w:lang w:val="en-US"/>
        </w:rPr>
        <w:t>.</w:t>
      </w:r>
    </w:p>
    <w:p w14:paraId="4EF57D27" w14:textId="77777777" w:rsidR="00DA6248" w:rsidRDefault="00000000" w:rsidP="008D0823">
      <w:pPr>
        <w:pStyle w:val="Bibliografia"/>
        <w:spacing w:after="120" w:line="240" w:lineRule="auto"/>
      </w:pPr>
      <w:bookmarkStart w:id="63" w:name="ref-Effrosynidis2021"/>
      <w:bookmarkEnd w:id="62"/>
      <w:proofErr w:type="spellStart"/>
      <w:r w:rsidRPr="008B7A1F">
        <w:rPr>
          <w:lang w:val="en-US"/>
        </w:rPr>
        <w:t>Effrosynidis</w:t>
      </w:r>
      <w:proofErr w:type="spellEnd"/>
      <w:r w:rsidRPr="008B7A1F">
        <w:rPr>
          <w:lang w:val="en-US"/>
        </w:rPr>
        <w:t xml:space="preserve">, D. e Arampatzis, A. (2021) “An evaluation of feature selection methods for environmental data”, </w:t>
      </w:r>
      <w:r w:rsidRPr="008B7A1F">
        <w:rPr>
          <w:i/>
          <w:iCs/>
          <w:lang w:val="en-US"/>
        </w:rPr>
        <w:t>Ecological Informatics</w:t>
      </w:r>
      <w:r w:rsidRPr="008B7A1F">
        <w:rPr>
          <w:lang w:val="en-US"/>
        </w:rPr>
        <w:t xml:space="preserve">, 66, p. 101472. </w:t>
      </w:r>
      <w:r>
        <w:t xml:space="preserve">Disponível em: </w:t>
      </w:r>
      <w:hyperlink r:id="rId30">
        <w:r>
          <w:rPr>
            <w:rStyle w:val="Hyperlink"/>
          </w:rPr>
          <w:t>https://doi.org/10.1016/j.ecoinf.2021.101472</w:t>
        </w:r>
      </w:hyperlink>
      <w:r>
        <w:t>.</w:t>
      </w:r>
    </w:p>
    <w:p w14:paraId="4EF57D28" w14:textId="77777777" w:rsidR="00DA6248" w:rsidRDefault="00000000" w:rsidP="008D0823">
      <w:pPr>
        <w:pStyle w:val="Bibliografia"/>
        <w:spacing w:after="120" w:line="240" w:lineRule="auto"/>
      </w:pPr>
      <w:bookmarkStart w:id="64" w:name="ref-Egger1997"/>
      <w:bookmarkEnd w:id="63"/>
      <w:r>
        <w:t xml:space="preserve">Egger, M. </w:t>
      </w:r>
      <w:r>
        <w:rPr>
          <w:i/>
          <w:iCs/>
        </w:rPr>
        <w:t>et al.</w:t>
      </w:r>
      <w:r>
        <w:t xml:space="preserve"> </w:t>
      </w:r>
      <w:r w:rsidRPr="008B7A1F">
        <w:rPr>
          <w:lang w:val="en-US"/>
        </w:rPr>
        <w:t xml:space="preserve">(1997) “Bias in meta-analysis detected by a simple, graphical test”, </w:t>
      </w:r>
      <w:r w:rsidRPr="008B7A1F">
        <w:rPr>
          <w:i/>
          <w:iCs/>
          <w:lang w:val="en-US"/>
        </w:rPr>
        <w:t>BMJ</w:t>
      </w:r>
      <w:r w:rsidRPr="008B7A1F">
        <w:rPr>
          <w:lang w:val="en-US"/>
        </w:rPr>
        <w:t xml:space="preserve">, 315(7109), p. 629–634. </w:t>
      </w:r>
      <w:r>
        <w:t xml:space="preserve">Disponível em: </w:t>
      </w:r>
      <w:hyperlink r:id="rId31">
        <w:r>
          <w:rPr>
            <w:rStyle w:val="Hyperlink"/>
          </w:rPr>
          <w:t>https://doi.org/10.1136/bmj.315.7109.629</w:t>
        </w:r>
      </w:hyperlink>
      <w:r>
        <w:t>.</w:t>
      </w:r>
    </w:p>
    <w:p w14:paraId="4EF57D29" w14:textId="77777777" w:rsidR="00DA6248" w:rsidRPr="008B7A1F" w:rsidRDefault="00000000" w:rsidP="008D0823">
      <w:pPr>
        <w:pStyle w:val="Bibliografia"/>
        <w:spacing w:after="120" w:line="240" w:lineRule="auto"/>
        <w:rPr>
          <w:lang w:val="en-US"/>
        </w:rPr>
      </w:pPr>
      <w:bookmarkStart w:id="65" w:name="ref-vanEtten2023DataDrivenCrop"/>
      <w:bookmarkEnd w:id="64"/>
      <w:r>
        <w:t xml:space="preserve">Etten, J. van </w:t>
      </w:r>
      <w:r>
        <w:rPr>
          <w:i/>
          <w:iCs/>
        </w:rPr>
        <w:t>et al.</w:t>
      </w:r>
      <w:r>
        <w:t xml:space="preserve"> </w:t>
      </w:r>
      <w:r w:rsidRPr="008B7A1F">
        <w:rPr>
          <w:lang w:val="en-US"/>
        </w:rPr>
        <w:t xml:space="preserve">(2023) “Data-driven breeding insights for climate-resilient crops”, </w:t>
      </w:r>
      <w:r w:rsidRPr="008B7A1F">
        <w:rPr>
          <w:i/>
          <w:iCs/>
          <w:lang w:val="en-US"/>
        </w:rPr>
        <w:t>Nature</w:t>
      </w:r>
      <w:r w:rsidRPr="008B7A1F">
        <w:rPr>
          <w:lang w:val="en-US"/>
        </w:rPr>
        <w:t xml:space="preserve">, 619, p. E1–E3.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32">
        <w:r w:rsidRPr="008B7A1F">
          <w:rPr>
            <w:rStyle w:val="Hyperlink"/>
            <w:lang w:val="en-US"/>
          </w:rPr>
          <w:t>https://doi.org/10.1038/s41586-023-06168-y</w:t>
        </w:r>
      </w:hyperlink>
      <w:r w:rsidRPr="008B7A1F">
        <w:rPr>
          <w:lang w:val="en-US"/>
        </w:rPr>
        <w:t>.</w:t>
      </w:r>
    </w:p>
    <w:p w14:paraId="4EF57D2A" w14:textId="77777777" w:rsidR="00DA6248" w:rsidRPr="008B7A1F" w:rsidRDefault="00000000" w:rsidP="008D0823">
      <w:pPr>
        <w:pStyle w:val="Bibliografia"/>
        <w:spacing w:after="120" w:line="240" w:lineRule="auto"/>
        <w:rPr>
          <w:lang w:val="en-US"/>
        </w:rPr>
      </w:pPr>
      <w:bookmarkStart w:id="66" w:name="ref-EC2018"/>
      <w:bookmarkEnd w:id="65"/>
      <w:r w:rsidRPr="008B7A1F">
        <w:rPr>
          <w:lang w:val="en-US"/>
        </w:rPr>
        <w:lastRenderedPageBreak/>
        <w:t xml:space="preserve">European Commission (2018) </w:t>
      </w:r>
      <w:r w:rsidRPr="008B7A1F">
        <w:rPr>
          <w:i/>
          <w:iCs/>
          <w:lang w:val="en-US"/>
        </w:rPr>
        <w:t>Turning FAIR into reality: Final report and action plan from the European Commission expert group on FAIR data</w:t>
      </w:r>
      <w:r w:rsidRPr="008B7A1F">
        <w:rPr>
          <w:lang w:val="en-US"/>
        </w:rPr>
        <w:t xml:space="preserve">. Brussels: European Commission, Directorate-General for Research; Innovation.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33">
        <w:r w:rsidRPr="008B7A1F">
          <w:rPr>
            <w:rStyle w:val="Hyperlink"/>
            <w:lang w:val="en-US"/>
          </w:rPr>
          <w:t>https://doi.org/10.2777/1524</w:t>
        </w:r>
      </w:hyperlink>
      <w:r w:rsidRPr="008B7A1F">
        <w:rPr>
          <w:lang w:val="en-US"/>
        </w:rPr>
        <w:t>.</w:t>
      </w:r>
    </w:p>
    <w:p w14:paraId="4EF57D2B" w14:textId="77777777" w:rsidR="00DA6248" w:rsidRDefault="00000000" w:rsidP="008D0823">
      <w:pPr>
        <w:pStyle w:val="Bibliografia"/>
        <w:spacing w:after="120" w:line="240" w:lineRule="auto"/>
      </w:pPr>
      <w:bookmarkStart w:id="67" w:name="ref-EU2012"/>
      <w:bookmarkEnd w:id="66"/>
      <w:r w:rsidRPr="008B7A1F">
        <w:rPr>
          <w:lang w:val="en-US"/>
        </w:rPr>
        <w:t xml:space="preserve">European Union (2012) “Regulation (EU) No 1151/2012 of the European Parliament and of the Council of 21 November 2012 on quality schemes for agricultural products and foodstuffs”, </w:t>
      </w:r>
      <w:r w:rsidRPr="008B7A1F">
        <w:rPr>
          <w:i/>
          <w:iCs/>
          <w:lang w:val="en-US"/>
        </w:rPr>
        <w:t>Official Journal of the European Union</w:t>
      </w:r>
      <w:r w:rsidRPr="008B7A1F">
        <w:rPr>
          <w:lang w:val="en-US"/>
        </w:rPr>
        <w:t xml:space="preserve">, L 343, p. 1–29. </w:t>
      </w:r>
      <w:r>
        <w:t xml:space="preserve">Disponível em: </w:t>
      </w:r>
      <w:hyperlink r:id="rId34">
        <w:r>
          <w:rPr>
            <w:rStyle w:val="Hyperlink"/>
          </w:rPr>
          <w:t>http://data.europa.eu/eli/reg/2012/1151/oj</w:t>
        </w:r>
      </w:hyperlink>
      <w:r>
        <w:t>.</w:t>
      </w:r>
    </w:p>
    <w:p w14:paraId="4EF57D2C" w14:textId="77777777" w:rsidR="00DA6248" w:rsidRPr="008B7A1F" w:rsidRDefault="00000000" w:rsidP="008D0823">
      <w:pPr>
        <w:pStyle w:val="Bibliografia"/>
        <w:spacing w:after="120" w:line="240" w:lineRule="auto"/>
        <w:rPr>
          <w:lang w:val="en-US"/>
        </w:rPr>
      </w:pPr>
      <w:bookmarkStart w:id="68" w:name="ref-Feng2025"/>
      <w:bookmarkEnd w:id="67"/>
      <w:r>
        <w:t xml:space="preserve">Feng, Y. </w:t>
      </w:r>
      <w:r>
        <w:rPr>
          <w:i/>
          <w:iCs/>
        </w:rPr>
        <w:t>et al.</w:t>
      </w:r>
      <w:r>
        <w:t xml:space="preserve"> </w:t>
      </w:r>
      <w:r w:rsidRPr="008B7A1F">
        <w:rPr>
          <w:lang w:val="en-US"/>
        </w:rPr>
        <w:t xml:space="preserve">(2025) “Application of spectroscopic technology with machine learning in Chinese herbs from seeds to medicinal materials: The case of genus Paris”, </w:t>
      </w:r>
      <w:r w:rsidRPr="008B7A1F">
        <w:rPr>
          <w:i/>
          <w:iCs/>
          <w:lang w:val="en-US"/>
        </w:rPr>
        <w:t>JPA</w:t>
      </w:r>
      <w:r w:rsidRPr="008B7A1F">
        <w:rPr>
          <w:lang w:val="en-US"/>
        </w:rPr>
        <w:t xml:space="preserve"> [Preprint].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35">
        <w:r w:rsidRPr="008B7A1F">
          <w:rPr>
            <w:rStyle w:val="Hyperlink"/>
            <w:lang w:val="en-US"/>
          </w:rPr>
          <w:t>https://doi.org/10.1016/j.jpa.2025.xxxxxx</w:t>
        </w:r>
      </w:hyperlink>
      <w:r w:rsidRPr="008B7A1F">
        <w:rPr>
          <w:lang w:val="en-US"/>
        </w:rPr>
        <w:t>.</w:t>
      </w:r>
    </w:p>
    <w:p w14:paraId="4EF57D2D" w14:textId="77777777" w:rsidR="00DA6248" w:rsidRPr="008B7A1F" w:rsidRDefault="00000000" w:rsidP="008D0823">
      <w:pPr>
        <w:pStyle w:val="Bibliografia"/>
        <w:spacing w:after="120" w:line="240" w:lineRule="auto"/>
        <w:rPr>
          <w:lang w:val="en-US"/>
        </w:rPr>
      </w:pPr>
      <w:bookmarkStart w:id="69" w:name="ref-Fonzo2015"/>
      <w:bookmarkEnd w:id="68"/>
      <w:r w:rsidRPr="008B7A1F">
        <w:rPr>
          <w:lang w:val="en-US"/>
        </w:rPr>
        <w:t xml:space="preserve">Fonzo, A.D. e Russo, C. (2015) “Designing geographical indication institutions when stakeholders’ incentives are not perfectly aligned”, </w:t>
      </w:r>
      <w:r w:rsidRPr="008B7A1F">
        <w:rPr>
          <w:i/>
          <w:iCs/>
          <w:lang w:val="en-US"/>
        </w:rPr>
        <w:t>British Food Journal</w:t>
      </w:r>
      <w:r w:rsidRPr="008B7A1F">
        <w:rPr>
          <w:lang w:val="en-US"/>
        </w:rPr>
        <w:t xml:space="preserve"> [Preprint].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36">
        <w:r w:rsidRPr="008B7A1F">
          <w:rPr>
            <w:rStyle w:val="Hyperlink"/>
            <w:lang w:val="en-US"/>
          </w:rPr>
          <w:t>https://doi.org/10.1108/BFJ-12-2014-0392</w:t>
        </w:r>
      </w:hyperlink>
      <w:r w:rsidRPr="008B7A1F">
        <w:rPr>
          <w:lang w:val="en-US"/>
        </w:rPr>
        <w:t>.</w:t>
      </w:r>
    </w:p>
    <w:p w14:paraId="4EF57D2E" w14:textId="77777777" w:rsidR="00DA6248" w:rsidRDefault="00000000" w:rsidP="008D0823">
      <w:pPr>
        <w:pStyle w:val="Bibliografia"/>
        <w:spacing w:after="120" w:line="240" w:lineRule="auto"/>
      </w:pPr>
      <w:bookmarkStart w:id="70" w:name="ref-GeneEnvironment2022"/>
      <w:bookmarkEnd w:id="69"/>
      <w:r w:rsidRPr="008B7A1F">
        <w:rPr>
          <w:lang w:val="en-US"/>
        </w:rPr>
        <w:t xml:space="preserve">Fournier-Level, A. e Korte, A. (2022) “Gene-by-environment interactions in plants: molecular mechanisms, environmental drivers, and adaptive plasticity”, </w:t>
      </w:r>
      <w:r w:rsidRPr="008B7A1F">
        <w:rPr>
          <w:i/>
          <w:iCs/>
          <w:lang w:val="en-US"/>
        </w:rPr>
        <w:t>Journal of Experimental Botany</w:t>
      </w:r>
      <w:r w:rsidRPr="008B7A1F">
        <w:rPr>
          <w:lang w:val="en-US"/>
        </w:rPr>
        <w:t xml:space="preserve">, 73(20), p. 7039–7058. </w:t>
      </w:r>
      <w:r>
        <w:t xml:space="preserve">Disponível em: </w:t>
      </w:r>
      <w:hyperlink r:id="rId37">
        <w:r>
          <w:rPr>
            <w:rStyle w:val="Hyperlink"/>
          </w:rPr>
          <w:t>https://doi.org/10.1093/jxb/erac328</w:t>
        </w:r>
      </w:hyperlink>
      <w:r>
        <w:t>.</w:t>
      </w:r>
    </w:p>
    <w:p w14:paraId="4EF57D2F" w14:textId="77777777" w:rsidR="00DA6248" w:rsidRDefault="00000000" w:rsidP="008D0823">
      <w:pPr>
        <w:pStyle w:val="Bibliografia"/>
        <w:spacing w:after="120" w:line="240" w:lineRule="auto"/>
      </w:pPr>
      <w:bookmarkStart w:id="71" w:name="ref-Gale2023"/>
      <w:bookmarkEnd w:id="70"/>
      <w:r>
        <w:t xml:space="preserve">Gale, R. e Nahm, J. (2023) “No End in Sight? </w:t>
      </w:r>
      <w:r w:rsidRPr="008B7A1F">
        <w:rPr>
          <w:lang w:val="en-US"/>
        </w:rPr>
        <w:t xml:space="preserve">A Greenwash Review and Research Agenda”, </w:t>
      </w:r>
      <w:r w:rsidRPr="008B7A1F">
        <w:rPr>
          <w:i/>
          <w:iCs/>
          <w:lang w:val="en-US"/>
        </w:rPr>
        <w:t xml:space="preserve">Organ. </w:t>
      </w:r>
      <w:proofErr w:type="spellStart"/>
      <w:r>
        <w:rPr>
          <w:i/>
          <w:iCs/>
        </w:rPr>
        <w:t>Environ</w:t>
      </w:r>
      <w:proofErr w:type="spellEnd"/>
      <w:r>
        <w:rPr>
          <w:i/>
          <w:iCs/>
        </w:rPr>
        <w:t>.</w:t>
      </w:r>
      <w:r>
        <w:t xml:space="preserve">, 36(1), p. 7–42. Disponível em: </w:t>
      </w:r>
      <w:hyperlink r:id="rId38">
        <w:r>
          <w:rPr>
            <w:rStyle w:val="Hyperlink"/>
          </w:rPr>
          <w:t>https://doi.org/10.1177/10860266231168905</w:t>
        </w:r>
      </w:hyperlink>
      <w:r>
        <w:t>.</w:t>
      </w:r>
    </w:p>
    <w:p w14:paraId="4EF57D30" w14:textId="77777777" w:rsidR="00DA6248" w:rsidRPr="008B7A1F" w:rsidRDefault="00000000" w:rsidP="008D0823">
      <w:pPr>
        <w:pStyle w:val="Bibliografia"/>
        <w:spacing w:after="120" w:line="240" w:lineRule="auto"/>
        <w:rPr>
          <w:lang w:val="en-US"/>
        </w:rPr>
      </w:pPr>
      <w:bookmarkStart w:id="72" w:name="ref-Giovannucci2010"/>
      <w:bookmarkEnd w:id="71"/>
      <w:r>
        <w:t xml:space="preserve">Giovannucci, D. </w:t>
      </w:r>
      <w:r>
        <w:rPr>
          <w:i/>
          <w:iCs/>
        </w:rPr>
        <w:t>et al.</w:t>
      </w:r>
      <w:r>
        <w:t xml:space="preserve"> </w:t>
      </w:r>
      <w:r w:rsidRPr="008B7A1F">
        <w:rPr>
          <w:lang w:val="en-US"/>
        </w:rPr>
        <w:t xml:space="preserve">(2010) </w:t>
      </w:r>
      <w:r w:rsidRPr="008B7A1F">
        <w:rPr>
          <w:i/>
          <w:iCs/>
          <w:lang w:val="en-US"/>
        </w:rPr>
        <w:t>Guide to Geographical Indications: Linking Products and Their Origins</w:t>
      </w:r>
      <w:r w:rsidRPr="008B7A1F">
        <w:rPr>
          <w:lang w:val="en-US"/>
        </w:rPr>
        <w:t>. Geneva: International Trade Centre (ITC).</w:t>
      </w:r>
    </w:p>
    <w:p w14:paraId="4EF57D31" w14:textId="77777777" w:rsidR="00DA6248" w:rsidRPr="008B7A1F" w:rsidRDefault="00000000" w:rsidP="008D0823">
      <w:pPr>
        <w:pStyle w:val="Bibliografia"/>
        <w:spacing w:after="120" w:line="240" w:lineRule="auto"/>
        <w:rPr>
          <w:lang w:val="en-US"/>
        </w:rPr>
      </w:pPr>
      <w:bookmarkStart w:id="73" w:name="ref-Greenacre2017"/>
      <w:bookmarkEnd w:id="72"/>
      <w:r w:rsidRPr="008B7A1F">
        <w:rPr>
          <w:lang w:val="en-US"/>
        </w:rPr>
        <w:t xml:space="preserve">Greenacre, M. (2017) </w:t>
      </w:r>
      <w:r w:rsidRPr="008B7A1F">
        <w:rPr>
          <w:i/>
          <w:iCs/>
          <w:lang w:val="en-US"/>
        </w:rPr>
        <w:t>Correspondence Analysis in Practice</w:t>
      </w:r>
      <w:r w:rsidRPr="008B7A1F">
        <w:rPr>
          <w:lang w:val="en-US"/>
        </w:rPr>
        <w:t>. 3rd ed. CRC Press.</w:t>
      </w:r>
    </w:p>
    <w:p w14:paraId="4EF57D32" w14:textId="77777777" w:rsidR="00DA6248" w:rsidRDefault="00000000" w:rsidP="008D0823">
      <w:pPr>
        <w:pStyle w:val="Bibliografia"/>
        <w:spacing w:after="120" w:line="240" w:lineRule="auto"/>
      </w:pPr>
      <w:bookmarkStart w:id="74" w:name="ref-Guerena2024"/>
      <w:bookmarkEnd w:id="73"/>
      <w:r w:rsidRPr="008B7A1F">
        <w:rPr>
          <w:lang w:val="en-US"/>
        </w:rPr>
        <w:t xml:space="preserve">Guerena, D. </w:t>
      </w:r>
      <w:r w:rsidRPr="008B7A1F">
        <w:rPr>
          <w:i/>
          <w:iCs/>
          <w:lang w:val="en-US"/>
        </w:rPr>
        <w:t>et al.</w:t>
      </w:r>
      <w:r w:rsidRPr="008B7A1F">
        <w:rPr>
          <w:lang w:val="en-US"/>
        </w:rPr>
        <w:t xml:space="preserve"> (2024) “Participatory AI for inclusive crop improvement”, </w:t>
      </w:r>
      <w:r w:rsidRPr="008B7A1F">
        <w:rPr>
          <w:i/>
          <w:iCs/>
          <w:lang w:val="en-US"/>
        </w:rPr>
        <w:t>Agricultural Systems</w:t>
      </w:r>
      <w:r w:rsidRPr="008B7A1F">
        <w:rPr>
          <w:lang w:val="en-US"/>
        </w:rPr>
        <w:t xml:space="preserve">, 220, p. 104063. </w:t>
      </w:r>
      <w:r>
        <w:t xml:space="preserve">Disponível em: </w:t>
      </w:r>
      <w:hyperlink r:id="rId39">
        <w:r>
          <w:rPr>
            <w:rStyle w:val="Hyperlink"/>
          </w:rPr>
          <w:t>https://pmc.ncbi.nlm.nih.gov/articles/PMC11513333/</w:t>
        </w:r>
      </w:hyperlink>
      <w:r>
        <w:t>.</w:t>
      </w:r>
    </w:p>
    <w:p w14:paraId="4EF57D33" w14:textId="77777777" w:rsidR="00DA6248" w:rsidRPr="008B7A1F" w:rsidRDefault="00000000" w:rsidP="008D0823">
      <w:pPr>
        <w:pStyle w:val="Bibliografia"/>
        <w:spacing w:after="120" w:line="240" w:lineRule="auto"/>
        <w:rPr>
          <w:lang w:val="en-US"/>
        </w:rPr>
      </w:pPr>
      <w:bookmarkStart w:id="75" w:name="ref-He2024"/>
      <w:bookmarkEnd w:id="74"/>
      <w:r w:rsidRPr="008B7A1F">
        <w:rPr>
          <w:lang w:val="en-US"/>
        </w:rPr>
        <w:t xml:space="preserve">He, Y. </w:t>
      </w:r>
      <w:r w:rsidRPr="008B7A1F">
        <w:rPr>
          <w:i/>
          <w:iCs/>
          <w:lang w:val="en-US"/>
        </w:rPr>
        <w:t>et al.</w:t>
      </w:r>
      <w:r w:rsidRPr="008B7A1F">
        <w:rPr>
          <w:lang w:val="en-US"/>
        </w:rPr>
        <w:t xml:space="preserve"> (2024) “Deep learning applications in food authentication: Current status and future perspectives”, </w:t>
      </w:r>
      <w:r w:rsidRPr="008B7A1F">
        <w:rPr>
          <w:i/>
          <w:iCs/>
          <w:lang w:val="en-US"/>
        </w:rPr>
        <w:t>Trends in Food Science &amp; Technology</w:t>
      </w:r>
      <w:r w:rsidRPr="008B7A1F">
        <w:rPr>
          <w:lang w:val="en-US"/>
        </w:rPr>
        <w:t xml:space="preserve">, 144, p. 104321.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40">
        <w:r w:rsidRPr="008B7A1F">
          <w:rPr>
            <w:rStyle w:val="Hyperlink"/>
            <w:lang w:val="en-US"/>
          </w:rPr>
          <w:t>https://doi.org/10.1016/j.tifs.2023.104321</w:t>
        </w:r>
      </w:hyperlink>
      <w:r w:rsidRPr="008B7A1F">
        <w:rPr>
          <w:lang w:val="en-US"/>
        </w:rPr>
        <w:t>.</w:t>
      </w:r>
    </w:p>
    <w:p w14:paraId="4EF57D34" w14:textId="77777777" w:rsidR="00DA6248" w:rsidRDefault="00000000" w:rsidP="008D0823">
      <w:pPr>
        <w:pStyle w:val="Bibliografia"/>
        <w:spacing w:after="120" w:line="240" w:lineRule="auto"/>
      </w:pPr>
      <w:bookmarkStart w:id="76" w:name="ref-Hensel2021"/>
      <w:bookmarkEnd w:id="75"/>
      <w:r w:rsidRPr="008B7A1F">
        <w:rPr>
          <w:lang w:val="en-US"/>
        </w:rPr>
        <w:t xml:space="preserve">Hensel, O. e </w:t>
      </w:r>
      <w:proofErr w:type="spellStart"/>
      <w:r w:rsidRPr="008B7A1F">
        <w:rPr>
          <w:lang w:val="en-US"/>
        </w:rPr>
        <w:t>Nasirahmadi</w:t>
      </w:r>
      <w:proofErr w:type="spellEnd"/>
      <w:r w:rsidRPr="008B7A1F">
        <w:rPr>
          <w:lang w:val="en-US"/>
        </w:rPr>
        <w:t xml:space="preserve">, A. (2021) “Toward the Next Generation of Digitalization in Agriculture Based on Digital Twin Paradigm”, </w:t>
      </w:r>
      <w:r w:rsidRPr="008B7A1F">
        <w:rPr>
          <w:i/>
          <w:iCs/>
          <w:lang w:val="en-US"/>
        </w:rPr>
        <w:t>Sensors</w:t>
      </w:r>
      <w:r w:rsidRPr="008B7A1F">
        <w:rPr>
          <w:lang w:val="en-US"/>
        </w:rPr>
        <w:t xml:space="preserve">, 22(2), p. 498. </w:t>
      </w:r>
      <w:r>
        <w:t xml:space="preserve">Disponível em: </w:t>
      </w:r>
      <w:hyperlink r:id="rId41">
        <w:r>
          <w:rPr>
            <w:rStyle w:val="Hyperlink"/>
          </w:rPr>
          <w:t>https://doi.org/10.3390/s22020498</w:t>
        </w:r>
      </w:hyperlink>
      <w:r>
        <w:t>.</w:t>
      </w:r>
    </w:p>
    <w:p w14:paraId="4EF57D35" w14:textId="77777777" w:rsidR="00DA6248" w:rsidRDefault="00000000" w:rsidP="008D0823">
      <w:pPr>
        <w:pStyle w:val="Bibliografia"/>
        <w:spacing w:after="120" w:line="240" w:lineRule="auto"/>
      </w:pPr>
      <w:bookmarkStart w:id="77" w:name="ref-Higgins2003"/>
      <w:bookmarkEnd w:id="76"/>
      <w:r>
        <w:t xml:space="preserve">Higgins, J.P.T. </w:t>
      </w:r>
      <w:r>
        <w:rPr>
          <w:i/>
          <w:iCs/>
        </w:rPr>
        <w:t>et al.</w:t>
      </w:r>
      <w:r>
        <w:t xml:space="preserve"> </w:t>
      </w:r>
      <w:r w:rsidRPr="008B7A1F">
        <w:rPr>
          <w:lang w:val="en-US"/>
        </w:rPr>
        <w:t xml:space="preserve">(2003) “Measuring inconsistency in meta-analyses”, </w:t>
      </w:r>
      <w:r w:rsidRPr="008B7A1F">
        <w:rPr>
          <w:i/>
          <w:iCs/>
          <w:lang w:val="en-US"/>
        </w:rPr>
        <w:t>BMJ</w:t>
      </w:r>
      <w:r w:rsidRPr="008B7A1F">
        <w:rPr>
          <w:lang w:val="en-US"/>
        </w:rPr>
        <w:t xml:space="preserve">, 327(7414), p. 557–560. </w:t>
      </w:r>
      <w:r>
        <w:t xml:space="preserve">Disponível em: </w:t>
      </w:r>
      <w:hyperlink r:id="rId42">
        <w:r>
          <w:rPr>
            <w:rStyle w:val="Hyperlink"/>
          </w:rPr>
          <w:t>https://doi.org/10.1136/bmj.327.7414.557</w:t>
        </w:r>
      </w:hyperlink>
      <w:r>
        <w:t>.</w:t>
      </w:r>
    </w:p>
    <w:p w14:paraId="4EF57D36" w14:textId="77777777" w:rsidR="00DA6248" w:rsidRPr="008B7A1F" w:rsidRDefault="00000000" w:rsidP="008D0823">
      <w:pPr>
        <w:pStyle w:val="Bibliografia"/>
        <w:spacing w:after="120" w:line="240" w:lineRule="auto"/>
        <w:rPr>
          <w:lang w:val="en-US"/>
        </w:rPr>
      </w:pPr>
      <w:bookmarkStart w:id="78" w:name="ref-hong2018"/>
      <w:bookmarkEnd w:id="77"/>
      <w:r>
        <w:t xml:space="preserve">Hong, Q.N. </w:t>
      </w:r>
      <w:r>
        <w:rPr>
          <w:i/>
          <w:iCs/>
        </w:rPr>
        <w:t>et al.</w:t>
      </w:r>
      <w:r>
        <w:t xml:space="preserve"> </w:t>
      </w:r>
      <w:r w:rsidRPr="008B7A1F">
        <w:rPr>
          <w:lang w:val="en-US"/>
        </w:rPr>
        <w:t xml:space="preserve">(2018) “The Mixed Methods Appraisal Tool (MMAT) version 2018 for systematic mixed studies reviews: development, reliability, and usability”, </w:t>
      </w:r>
      <w:r w:rsidRPr="008B7A1F">
        <w:rPr>
          <w:i/>
          <w:iCs/>
          <w:lang w:val="en-US"/>
        </w:rPr>
        <w:t>International Journal of Nursing Studies</w:t>
      </w:r>
      <w:r w:rsidRPr="008B7A1F">
        <w:rPr>
          <w:lang w:val="en-US"/>
        </w:rPr>
        <w:t>, 102, p. 103452.</w:t>
      </w:r>
    </w:p>
    <w:p w14:paraId="4EF57D37" w14:textId="77777777" w:rsidR="00DA6248" w:rsidRPr="008B7A1F" w:rsidRDefault="00000000" w:rsidP="008D0823">
      <w:pPr>
        <w:pStyle w:val="Bibliografia"/>
        <w:spacing w:after="120" w:line="240" w:lineRule="auto"/>
        <w:rPr>
          <w:lang w:val="en-US"/>
        </w:rPr>
      </w:pPr>
      <w:bookmarkStart w:id="79" w:name="ref-Iranzad2025"/>
      <w:bookmarkEnd w:id="78"/>
      <w:proofErr w:type="spellStart"/>
      <w:r w:rsidRPr="008B7A1F">
        <w:rPr>
          <w:lang w:val="en-US"/>
        </w:rPr>
        <w:lastRenderedPageBreak/>
        <w:t>Iranzad</w:t>
      </w:r>
      <w:proofErr w:type="spellEnd"/>
      <w:r w:rsidRPr="008B7A1F">
        <w:rPr>
          <w:lang w:val="en-US"/>
        </w:rPr>
        <w:t xml:space="preserve">, R. e Liu, X. (2025) “A review of random forest-based feature selection methods for data science education and applications”, </w:t>
      </w:r>
      <w:r w:rsidRPr="008B7A1F">
        <w:rPr>
          <w:i/>
          <w:iCs/>
          <w:lang w:val="en-US"/>
        </w:rPr>
        <w:t>International Journal of Data Science and Analytics</w:t>
      </w:r>
      <w:r w:rsidRPr="008B7A1F">
        <w:rPr>
          <w:lang w:val="en-US"/>
        </w:rPr>
        <w:t xml:space="preserve">, 19(1), p. 1–28.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43">
        <w:r w:rsidRPr="008B7A1F">
          <w:rPr>
            <w:rStyle w:val="Hyperlink"/>
            <w:lang w:val="en-US"/>
          </w:rPr>
          <w:t>https://doi.org/10.1007/s41060-024-00509-w</w:t>
        </w:r>
      </w:hyperlink>
      <w:r w:rsidRPr="008B7A1F">
        <w:rPr>
          <w:lang w:val="en-US"/>
        </w:rPr>
        <w:t>.</w:t>
      </w:r>
    </w:p>
    <w:p w14:paraId="4EF57D38" w14:textId="77777777" w:rsidR="00DA6248" w:rsidRPr="008B7A1F" w:rsidRDefault="00000000" w:rsidP="008D0823">
      <w:pPr>
        <w:pStyle w:val="Bibliografia"/>
        <w:spacing w:after="120" w:line="240" w:lineRule="auto"/>
        <w:rPr>
          <w:lang w:val="en-US"/>
        </w:rPr>
      </w:pPr>
      <w:bookmarkStart w:id="80" w:name="ref-Hosmer2013"/>
      <w:bookmarkEnd w:id="79"/>
      <w:r w:rsidRPr="008B7A1F">
        <w:rPr>
          <w:lang w:val="en-US"/>
        </w:rPr>
        <w:t xml:space="preserve">Jr., D.W.H., </w:t>
      </w:r>
      <w:proofErr w:type="spellStart"/>
      <w:r w:rsidRPr="008B7A1F">
        <w:rPr>
          <w:lang w:val="en-US"/>
        </w:rPr>
        <w:t>Lemeshow</w:t>
      </w:r>
      <w:proofErr w:type="spellEnd"/>
      <w:r w:rsidRPr="008B7A1F">
        <w:rPr>
          <w:lang w:val="en-US"/>
        </w:rPr>
        <w:t xml:space="preserve">, S. e Sturdivant, R.X. (2013) </w:t>
      </w:r>
      <w:r w:rsidRPr="008B7A1F">
        <w:rPr>
          <w:i/>
          <w:iCs/>
          <w:lang w:val="en-US"/>
        </w:rPr>
        <w:t>Applied Logistic Regression</w:t>
      </w:r>
      <w:r w:rsidRPr="008B7A1F">
        <w:rPr>
          <w:lang w:val="en-US"/>
        </w:rPr>
        <w:t xml:space="preserve">. 3rd ed. Hoboken, NJ: John Wiley &amp; Sons.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44">
        <w:r w:rsidRPr="008B7A1F">
          <w:rPr>
            <w:rStyle w:val="Hyperlink"/>
            <w:lang w:val="en-US"/>
          </w:rPr>
          <w:t>https://doi.org/10.1002/9781118548387</w:t>
        </w:r>
      </w:hyperlink>
      <w:r w:rsidRPr="008B7A1F">
        <w:rPr>
          <w:lang w:val="en-US"/>
        </w:rPr>
        <w:t>.</w:t>
      </w:r>
    </w:p>
    <w:p w14:paraId="4EF57D39" w14:textId="77777777" w:rsidR="00DA6248" w:rsidRDefault="00000000" w:rsidP="008D0823">
      <w:pPr>
        <w:pStyle w:val="Bibliografia"/>
        <w:spacing w:after="120" w:line="240" w:lineRule="auto"/>
      </w:pPr>
      <w:bookmarkStart w:id="81" w:name="ref-Kapoor2023"/>
      <w:bookmarkEnd w:id="80"/>
      <w:r w:rsidRPr="008B7A1F">
        <w:rPr>
          <w:lang w:val="en-US"/>
        </w:rPr>
        <w:t xml:space="preserve">Kapoor, S. e Narayanan, A. (2023) “Leakage and the reproducibility crisis in machine-learning-based science”, </w:t>
      </w:r>
      <w:r w:rsidRPr="008B7A1F">
        <w:rPr>
          <w:i/>
          <w:iCs/>
          <w:lang w:val="en-US"/>
        </w:rPr>
        <w:t>Patterns</w:t>
      </w:r>
      <w:r w:rsidRPr="008B7A1F">
        <w:rPr>
          <w:lang w:val="en-US"/>
        </w:rPr>
        <w:t xml:space="preserve">, 4(9), p. 100804. </w:t>
      </w:r>
      <w:r>
        <w:t xml:space="preserve">Disponível em: </w:t>
      </w:r>
      <w:hyperlink r:id="rId45">
        <w:r>
          <w:rPr>
            <w:rStyle w:val="Hyperlink"/>
          </w:rPr>
          <w:t>https://doi.org/10.1016/j.patter.2023.100804</w:t>
        </w:r>
      </w:hyperlink>
      <w:r>
        <w:t>.</w:t>
      </w:r>
    </w:p>
    <w:p w14:paraId="4EF57D3A" w14:textId="77777777" w:rsidR="00DA6248" w:rsidRPr="008B7A1F" w:rsidRDefault="00000000" w:rsidP="008D0823">
      <w:pPr>
        <w:pStyle w:val="Bibliografia"/>
        <w:spacing w:after="120" w:line="240" w:lineRule="auto"/>
        <w:rPr>
          <w:lang w:val="en-US"/>
        </w:rPr>
      </w:pPr>
      <w:bookmarkStart w:id="82" w:name="ref-Kawano2021WhereIsMyCrop"/>
      <w:bookmarkEnd w:id="81"/>
      <w:r>
        <w:t xml:space="preserve">Kawano, M. </w:t>
      </w:r>
      <w:r>
        <w:rPr>
          <w:i/>
          <w:iCs/>
        </w:rPr>
        <w:t>et al.</w:t>
      </w:r>
      <w:r>
        <w:t xml:space="preserve"> </w:t>
      </w:r>
      <w:r w:rsidRPr="008B7A1F">
        <w:rPr>
          <w:lang w:val="en-US"/>
        </w:rPr>
        <w:t xml:space="preserve">(2021) “Where is my crop? A novel method to produce timely crop maps for maize and wheat using data extracted from digital platforms”, </w:t>
      </w:r>
      <w:r w:rsidRPr="008B7A1F">
        <w:rPr>
          <w:i/>
          <w:iCs/>
          <w:lang w:val="en-US"/>
        </w:rPr>
        <w:t>Agricultural Systems</w:t>
      </w:r>
      <w:r w:rsidRPr="008B7A1F">
        <w:rPr>
          <w:lang w:val="en-US"/>
        </w:rPr>
        <w:t xml:space="preserve">, 193, p. 103217.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46">
        <w:r w:rsidRPr="008B7A1F">
          <w:rPr>
            <w:rStyle w:val="Hyperlink"/>
            <w:lang w:val="en-US"/>
          </w:rPr>
          <w:t>https://doi.org/10.1016/j.agsy.2021.103217</w:t>
        </w:r>
      </w:hyperlink>
      <w:r w:rsidRPr="008B7A1F">
        <w:rPr>
          <w:lang w:val="en-US"/>
        </w:rPr>
        <w:t>.</w:t>
      </w:r>
    </w:p>
    <w:p w14:paraId="4EF57D3B" w14:textId="77777777" w:rsidR="00DA6248" w:rsidRPr="008B7A1F" w:rsidRDefault="00000000" w:rsidP="008D0823">
      <w:pPr>
        <w:pStyle w:val="Bibliografia"/>
        <w:spacing w:after="120" w:line="240" w:lineRule="auto"/>
        <w:rPr>
          <w:lang w:val="en-US"/>
        </w:rPr>
      </w:pPr>
      <w:bookmarkStart w:id="83" w:name="ref-Kshetri2014DigitalDivide"/>
      <w:bookmarkEnd w:id="82"/>
      <w:proofErr w:type="spellStart"/>
      <w:r w:rsidRPr="008B7A1F">
        <w:rPr>
          <w:lang w:val="en-US"/>
        </w:rPr>
        <w:t>Kshetri</w:t>
      </w:r>
      <w:proofErr w:type="spellEnd"/>
      <w:r w:rsidRPr="008B7A1F">
        <w:rPr>
          <w:lang w:val="en-US"/>
        </w:rPr>
        <w:t xml:space="preserve">, N. (2014a) “Big </w:t>
      </w:r>
      <w:proofErr w:type="spellStart"/>
      <w:r w:rsidRPr="008B7A1F">
        <w:rPr>
          <w:lang w:val="en-US"/>
        </w:rPr>
        <w:t>dataÔÇÖs</w:t>
      </w:r>
      <w:proofErr w:type="spellEnd"/>
      <w:r w:rsidRPr="008B7A1F">
        <w:rPr>
          <w:lang w:val="en-US"/>
        </w:rPr>
        <w:t xml:space="preserve"> impact on privacy, security and consumer welfare”, </w:t>
      </w:r>
      <w:r w:rsidRPr="008B7A1F">
        <w:rPr>
          <w:i/>
          <w:iCs/>
          <w:lang w:val="en-US"/>
        </w:rPr>
        <w:t>Telecommunications Policy</w:t>
      </w:r>
      <w:r w:rsidRPr="008B7A1F">
        <w:rPr>
          <w:lang w:val="en-US"/>
        </w:rPr>
        <w:t xml:space="preserve">, 38(11), p. 1134–1145.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47">
        <w:r w:rsidRPr="008B7A1F">
          <w:rPr>
            <w:rStyle w:val="Hyperlink"/>
            <w:lang w:val="en-US"/>
          </w:rPr>
          <w:t>https://doi.org/10.1016/j.telpol.2014.10.002</w:t>
        </w:r>
      </w:hyperlink>
      <w:r w:rsidRPr="008B7A1F">
        <w:rPr>
          <w:lang w:val="en-US"/>
        </w:rPr>
        <w:t>.</w:t>
      </w:r>
    </w:p>
    <w:p w14:paraId="4EF57D3C" w14:textId="77777777" w:rsidR="00DA6248" w:rsidRPr="008B7A1F" w:rsidRDefault="00000000" w:rsidP="008D0823">
      <w:pPr>
        <w:pStyle w:val="Bibliografia"/>
        <w:spacing w:after="120" w:line="240" w:lineRule="auto"/>
        <w:rPr>
          <w:lang w:val="en-US"/>
        </w:rPr>
      </w:pPr>
      <w:bookmarkStart w:id="84" w:name="ref-Kshetri2014"/>
      <w:bookmarkEnd w:id="83"/>
      <w:proofErr w:type="spellStart"/>
      <w:r w:rsidRPr="008B7A1F">
        <w:rPr>
          <w:lang w:val="en-US"/>
        </w:rPr>
        <w:t>Kshetri</w:t>
      </w:r>
      <w:proofErr w:type="spellEnd"/>
      <w:r w:rsidRPr="008B7A1F">
        <w:rPr>
          <w:lang w:val="en-US"/>
        </w:rPr>
        <w:t xml:space="preserve">, N. (2014b) “The emerging role of Big Data in key development issues: Opportunities, challenges, and concerns”, </w:t>
      </w:r>
      <w:r w:rsidRPr="008B7A1F">
        <w:rPr>
          <w:i/>
          <w:iCs/>
          <w:lang w:val="en-US"/>
        </w:rPr>
        <w:t>Big Data &amp; Society</w:t>
      </w:r>
      <w:r w:rsidRPr="008B7A1F">
        <w:rPr>
          <w:lang w:val="en-US"/>
        </w:rPr>
        <w:t xml:space="preserve">, 1(2), p. 2053951714564227.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48">
        <w:r w:rsidRPr="008B7A1F">
          <w:rPr>
            <w:rStyle w:val="Hyperlink"/>
            <w:lang w:val="en-US"/>
          </w:rPr>
          <w:t>https://doi.org/10.1177/2053951714564227</w:t>
        </w:r>
      </w:hyperlink>
      <w:r w:rsidRPr="008B7A1F">
        <w:rPr>
          <w:lang w:val="en-US"/>
        </w:rPr>
        <w:t>.</w:t>
      </w:r>
    </w:p>
    <w:p w14:paraId="4EF57D3D" w14:textId="77777777" w:rsidR="00DA6248" w:rsidRPr="008B7A1F" w:rsidRDefault="00000000" w:rsidP="008D0823">
      <w:pPr>
        <w:pStyle w:val="Bibliografia"/>
        <w:spacing w:after="120" w:line="240" w:lineRule="auto"/>
        <w:rPr>
          <w:lang w:val="en-US"/>
        </w:rPr>
      </w:pPr>
      <w:bookmarkStart w:id="85" w:name="ref-Kuhn2013"/>
      <w:bookmarkEnd w:id="84"/>
      <w:r w:rsidRPr="008B7A1F">
        <w:rPr>
          <w:lang w:val="en-US"/>
        </w:rPr>
        <w:t xml:space="preserve">Kuhn, M. e Johnson, K. (2013) </w:t>
      </w:r>
      <w:r w:rsidRPr="008B7A1F">
        <w:rPr>
          <w:i/>
          <w:iCs/>
          <w:lang w:val="en-US"/>
        </w:rPr>
        <w:t>Applied Predictive Modeling</w:t>
      </w:r>
      <w:r w:rsidRPr="008B7A1F">
        <w:rPr>
          <w:lang w:val="en-US"/>
        </w:rPr>
        <w:t>. Springer.</w:t>
      </w:r>
    </w:p>
    <w:p w14:paraId="4EF57D3E" w14:textId="77777777" w:rsidR="00DA6248" w:rsidRPr="008B7A1F" w:rsidRDefault="00000000" w:rsidP="008D0823">
      <w:pPr>
        <w:pStyle w:val="Bibliografia"/>
        <w:spacing w:after="120" w:line="240" w:lineRule="auto"/>
        <w:rPr>
          <w:lang w:val="en-US"/>
        </w:rPr>
      </w:pPr>
      <w:bookmarkStart w:id="86" w:name="ref-Le2008"/>
      <w:bookmarkEnd w:id="85"/>
      <w:r w:rsidRPr="008B7A1F">
        <w:rPr>
          <w:lang w:val="en-US"/>
        </w:rPr>
        <w:t>L-¬, S., Josse, J. e Husson, F. (2008) “</w:t>
      </w:r>
      <w:proofErr w:type="spellStart"/>
      <w:r w:rsidRPr="008B7A1F">
        <w:rPr>
          <w:lang w:val="en-US"/>
        </w:rPr>
        <w:t>FactoMineR</w:t>
      </w:r>
      <w:proofErr w:type="spellEnd"/>
      <w:r w:rsidRPr="008B7A1F">
        <w:rPr>
          <w:lang w:val="en-US"/>
        </w:rPr>
        <w:t xml:space="preserve">: An R package for multivariate analysis”, </w:t>
      </w:r>
      <w:r w:rsidRPr="008B7A1F">
        <w:rPr>
          <w:i/>
          <w:iCs/>
          <w:lang w:val="en-US"/>
        </w:rPr>
        <w:t>Journal of Statistical Software</w:t>
      </w:r>
      <w:r w:rsidRPr="008B7A1F">
        <w:rPr>
          <w:lang w:val="en-US"/>
        </w:rPr>
        <w:t xml:space="preserve">, 25(1), p. 1–18.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49">
        <w:r w:rsidRPr="008B7A1F">
          <w:rPr>
            <w:rStyle w:val="Hyperlink"/>
            <w:lang w:val="en-US"/>
          </w:rPr>
          <w:t>https://www.jstatsoft.org/v25/i01/</w:t>
        </w:r>
      </w:hyperlink>
      <w:r w:rsidRPr="008B7A1F">
        <w:rPr>
          <w:lang w:val="en-US"/>
        </w:rPr>
        <w:t>.</w:t>
      </w:r>
    </w:p>
    <w:p w14:paraId="4EF57D3F" w14:textId="77777777" w:rsidR="00DA6248" w:rsidRPr="008B7A1F" w:rsidRDefault="00000000" w:rsidP="008D0823">
      <w:pPr>
        <w:pStyle w:val="Bibliografia"/>
        <w:spacing w:after="120" w:line="240" w:lineRule="auto"/>
        <w:rPr>
          <w:lang w:val="en-US"/>
        </w:rPr>
      </w:pPr>
      <w:bookmarkStart w:id="87" w:name="ref-Lavine2005"/>
      <w:bookmarkEnd w:id="86"/>
      <w:r w:rsidRPr="008B7A1F">
        <w:rPr>
          <w:lang w:val="en-US"/>
        </w:rPr>
        <w:t xml:space="preserve">Lavine, B.K. e Workman, Jr., Jerome (2005) “Chemometrics: Past, Present, and Future”, </w:t>
      </w:r>
      <w:proofErr w:type="spellStart"/>
      <w:r w:rsidRPr="008B7A1F">
        <w:rPr>
          <w:lang w:val="en-US"/>
        </w:rPr>
        <w:t>em</w:t>
      </w:r>
      <w:proofErr w:type="spellEnd"/>
      <w:r w:rsidRPr="008B7A1F">
        <w:rPr>
          <w:lang w:val="en-US"/>
        </w:rPr>
        <w:t xml:space="preserve"> </w:t>
      </w:r>
      <w:r w:rsidRPr="008B7A1F">
        <w:rPr>
          <w:i/>
          <w:iCs/>
          <w:lang w:val="en-US"/>
        </w:rPr>
        <w:t xml:space="preserve">Chemometrics and </w:t>
      </w:r>
      <w:proofErr w:type="spellStart"/>
      <w:r w:rsidRPr="008B7A1F">
        <w:rPr>
          <w:i/>
          <w:iCs/>
          <w:lang w:val="en-US"/>
        </w:rPr>
        <w:t>Chemoinformatics</w:t>
      </w:r>
      <w:proofErr w:type="spellEnd"/>
      <w:r w:rsidRPr="008B7A1F">
        <w:rPr>
          <w:lang w:val="en-US"/>
        </w:rPr>
        <w:t xml:space="preserve">. American Chemical Society (ACS Symposium Series), p. 1–13.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50">
        <w:r w:rsidRPr="008B7A1F">
          <w:rPr>
            <w:rStyle w:val="Hyperlink"/>
            <w:lang w:val="en-US"/>
          </w:rPr>
          <w:t>https://doi.org/10.1021/bk-2005-0894.ch001</w:t>
        </w:r>
      </w:hyperlink>
      <w:r w:rsidRPr="008B7A1F">
        <w:rPr>
          <w:lang w:val="en-US"/>
        </w:rPr>
        <w:t>.</w:t>
      </w:r>
    </w:p>
    <w:p w14:paraId="4EF57D40" w14:textId="77777777" w:rsidR="00DA6248" w:rsidRPr="008B7A1F" w:rsidRDefault="00000000" w:rsidP="008D0823">
      <w:pPr>
        <w:pStyle w:val="Bibliografia"/>
        <w:spacing w:after="120" w:line="240" w:lineRule="auto"/>
        <w:rPr>
          <w:lang w:val="en-US"/>
        </w:rPr>
      </w:pPr>
      <w:bookmarkStart w:id="88" w:name="ref-LeFloc2016S"/>
      <w:bookmarkEnd w:id="87"/>
      <w:r w:rsidRPr="008B7A1F">
        <w:rPr>
          <w:lang w:val="en-US"/>
        </w:rPr>
        <w:t xml:space="preserve">Le </w:t>
      </w:r>
      <w:proofErr w:type="spellStart"/>
      <w:r w:rsidRPr="008B7A1F">
        <w:rPr>
          <w:lang w:val="en-US"/>
        </w:rPr>
        <w:t>Floc’h</w:t>
      </w:r>
      <w:proofErr w:type="spellEnd"/>
      <w:r w:rsidRPr="008B7A1F">
        <w:rPr>
          <w:lang w:val="en-US"/>
        </w:rPr>
        <w:t>, J.-M., M-®</w:t>
      </w:r>
      <w:proofErr w:type="spellStart"/>
      <w:r w:rsidRPr="008B7A1F">
        <w:rPr>
          <w:lang w:val="en-US"/>
        </w:rPr>
        <w:t>ral</w:t>
      </w:r>
      <w:proofErr w:type="spellEnd"/>
      <w:r w:rsidRPr="008B7A1F">
        <w:rPr>
          <w:lang w:val="en-US"/>
        </w:rPr>
        <w:t xml:space="preserve">, P. e Fontana, L. (2016) “Bringing together social-ecological system and </w:t>
      </w:r>
      <w:proofErr w:type="spellStart"/>
      <w:r w:rsidRPr="008B7A1F">
        <w:rPr>
          <w:lang w:val="en-US"/>
        </w:rPr>
        <w:t>territoire</w:t>
      </w:r>
      <w:proofErr w:type="spellEnd"/>
      <w:r w:rsidRPr="008B7A1F">
        <w:rPr>
          <w:lang w:val="en-US"/>
        </w:rPr>
        <w:t xml:space="preserve"> concepts to explore nature-society dynamics”, </w:t>
      </w:r>
      <w:r w:rsidRPr="008B7A1F">
        <w:rPr>
          <w:i/>
          <w:iCs/>
          <w:lang w:val="en-US"/>
        </w:rPr>
        <w:t>Ecology and Society</w:t>
      </w:r>
      <w:r w:rsidRPr="008B7A1F">
        <w:rPr>
          <w:lang w:val="en-US"/>
        </w:rPr>
        <w:t xml:space="preserve">, 21(4), p. 42.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51">
        <w:r w:rsidRPr="008B7A1F">
          <w:rPr>
            <w:rStyle w:val="Hyperlink"/>
            <w:lang w:val="en-US"/>
          </w:rPr>
          <w:t>https://doi.org/10.5751/ES-08834-210442</w:t>
        </w:r>
      </w:hyperlink>
      <w:r w:rsidRPr="008B7A1F">
        <w:rPr>
          <w:lang w:val="en-US"/>
        </w:rPr>
        <w:t>.</w:t>
      </w:r>
    </w:p>
    <w:p w14:paraId="4EF57D41" w14:textId="77777777" w:rsidR="00DA6248" w:rsidRDefault="00000000" w:rsidP="008D0823">
      <w:pPr>
        <w:pStyle w:val="Bibliografia"/>
        <w:spacing w:after="120" w:line="240" w:lineRule="auto"/>
      </w:pPr>
      <w:bookmarkStart w:id="89" w:name="ref-Levin1998ComplexAdaptiveSystems"/>
      <w:bookmarkEnd w:id="88"/>
      <w:r w:rsidRPr="008B7A1F">
        <w:rPr>
          <w:lang w:val="en-US"/>
        </w:rPr>
        <w:t xml:space="preserve">Levin, S.A. (1998) “Ecosystems and the Biosphere as Complex Adaptive Systems”, </w:t>
      </w:r>
      <w:r w:rsidRPr="008B7A1F">
        <w:rPr>
          <w:i/>
          <w:iCs/>
          <w:lang w:val="en-US"/>
        </w:rPr>
        <w:t>Ecosystems</w:t>
      </w:r>
      <w:r w:rsidRPr="008B7A1F">
        <w:rPr>
          <w:lang w:val="en-US"/>
        </w:rPr>
        <w:t xml:space="preserve">, 1(5), p. 431–436. </w:t>
      </w:r>
      <w:r>
        <w:t xml:space="preserve">Disponível em: </w:t>
      </w:r>
      <w:hyperlink r:id="rId52">
        <w:r>
          <w:rPr>
            <w:rStyle w:val="Hyperlink"/>
          </w:rPr>
          <w:t>https://doi.org/10.1007/s100219900037</w:t>
        </w:r>
      </w:hyperlink>
      <w:r>
        <w:t>.</w:t>
      </w:r>
    </w:p>
    <w:p w14:paraId="4EF57D42" w14:textId="77777777" w:rsidR="00DA6248" w:rsidRDefault="00000000" w:rsidP="008D0823">
      <w:pPr>
        <w:pStyle w:val="Bibliografia"/>
        <w:spacing w:after="120" w:line="240" w:lineRule="auto"/>
      </w:pPr>
      <w:bookmarkStart w:id="90" w:name="ref-Li2022KGML_ag"/>
      <w:bookmarkEnd w:id="89"/>
      <w:r>
        <w:t xml:space="preserve">Li, Z. </w:t>
      </w:r>
      <w:r>
        <w:rPr>
          <w:i/>
          <w:iCs/>
        </w:rPr>
        <w:t>et al.</w:t>
      </w:r>
      <w:r>
        <w:t xml:space="preserve"> </w:t>
      </w:r>
      <w:r w:rsidRPr="008B7A1F">
        <w:rPr>
          <w:lang w:val="en-US"/>
        </w:rPr>
        <w:t xml:space="preserve">(2022) “KGML-ag: A Modeling Framework of Knowledge-Guided Machine Learning to Simulate Agroecosystems: A Case Study of Estimating N2O Emission using Data from Mesocosm Experiments”, </w:t>
      </w:r>
      <w:r w:rsidRPr="008B7A1F">
        <w:rPr>
          <w:i/>
          <w:iCs/>
          <w:lang w:val="en-US"/>
        </w:rPr>
        <w:t>Geoscientific Model Development</w:t>
      </w:r>
      <w:r w:rsidRPr="008B7A1F">
        <w:rPr>
          <w:lang w:val="en-US"/>
        </w:rPr>
        <w:t xml:space="preserve">, 15, p. 2839–2861. </w:t>
      </w:r>
      <w:r>
        <w:t xml:space="preserve">Disponível em: </w:t>
      </w:r>
      <w:hyperlink r:id="rId53">
        <w:r>
          <w:rPr>
            <w:rStyle w:val="Hyperlink"/>
          </w:rPr>
          <w:t>https://doi.org/10.5194/gmd-15-2839-2022</w:t>
        </w:r>
      </w:hyperlink>
      <w:r>
        <w:t>.</w:t>
      </w:r>
    </w:p>
    <w:p w14:paraId="4EF57D43" w14:textId="77777777" w:rsidR="00DA6248" w:rsidRPr="008B7A1F" w:rsidRDefault="00000000" w:rsidP="008D0823">
      <w:pPr>
        <w:pStyle w:val="Bibliografia"/>
        <w:spacing w:after="120" w:line="240" w:lineRule="auto"/>
        <w:rPr>
          <w:lang w:val="en-US"/>
        </w:rPr>
      </w:pPr>
      <w:bookmarkStart w:id="91" w:name="ref-Liakos2018"/>
      <w:bookmarkEnd w:id="90"/>
      <w:r>
        <w:t xml:space="preserve">Liakos, K.G. </w:t>
      </w:r>
      <w:r>
        <w:rPr>
          <w:i/>
          <w:iCs/>
        </w:rPr>
        <w:t>et al.</w:t>
      </w:r>
      <w:r>
        <w:t xml:space="preserve"> </w:t>
      </w:r>
      <w:r w:rsidRPr="008B7A1F">
        <w:rPr>
          <w:lang w:val="en-US"/>
        </w:rPr>
        <w:t xml:space="preserve">(2018) “Machine learning in agriculture: A review”, </w:t>
      </w:r>
      <w:r w:rsidRPr="008B7A1F">
        <w:rPr>
          <w:i/>
          <w:iCs/>
          <w:lang w:val="en-US"/>
        </w:rPr>
        <w:t>Sensors</w:t>
      </w:r>
      <w:r w:rsidRPr="008B7A1F">
        <w:rPr>
          <w:lang w:val="en-US"/>
        </w:rPr>
        <w:t xml:space="preserve">, 18(8), p. 2674.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54">
        <w:r w:rsidRPr="008B7A1F">
          <w:rPr>
            <w:rStyle w:val="Hyperlink"/>
            <w:lang w:val="en-US"/>
          </w:rPr>
          <w:t>https://doi.org/10.3390/s18082674</w:t>
        </w:r>
      </w:hyperlink>
      <w:r w:rsidRPr="008B7A1F">
        <w:rPr>
          <w:lang w:val="en-US"/>
        </w:rPr>
        <w:t>.</w:t>
      </w:r>
    </w:p>
    <w:p w14:paraId="4EF57D44" w14:textId="77777777" w:rsidR="00DA6248" w:rsidRDefault="00000000" w:rsidP="008D0823">
      <w:pPr>
        <w:pStyle w:val="Bibliografia"/>
        <w:spacing w:after="120" w:line="240" w:lineRule="auto"/>
      </w:pPr>
      <w:bookmarkStart w:id="92" w:name="ref-Liao2023"/>
      <w:bookmarkEnd w:id="91"/>
      <w:r w:rsidRPr="008B7A1F">
        <w:rPr>
          <w:lang w:val="en-US"/>
        </w:rPr>
        <w:lastRenderedPageBreak/>
        <w:t xml:space="preserve">Liao, L., Long, C. e Zhang, Y. (2023) “Unveiling the "Veil" of information disclosure: Sustainability reporting "greenwashing" and "shared value"”, </w:t>
      </w:r>
      <w:proofErr w:type="spellStart"/>
      <w:r w:rsidRPr="008B7A1F">
        <w:rPr>
          <w:i/>
          <w:iCs/>
          <w:lang w:val="en-US"/>
        </w:rPr>
        <w:t>PLoS</w:t>
      </w:r>
      <w:proofErr w:type="spellEnd"/>
      <w:r w:rsidRPr="008B7A1F">
        <w:rPr>
          <w:i/>
          <w:iCs/>
          <w:lang w:val="en-US"/>
        </w:rPr>
        <w:t xml:space="preserve"> ONE</w:t>
      </w:r>
      <w:r w:rsidRPr="008B7A1F">
        <w:rPr>
          <w:lang w:val="en-US"/>
        </w:rPr>
        <w:t xml:space="preserve">, 18(1), p. e0279904. </w:t>
      </w:r>
      <w:r>
        <w:t xml:space="preserve">Disponível em: </w:t>
      </w:r>
      <w:hyperlink r:id="rId55">
        <w:r>
          <w:rPr>
            <w:rStyle w:val="Hyperlink"/>
          </w:rPr>
          <w:t>https://doi.org/10.1371/journal.pone.0279904</w:t>
        </w:r>
      </w:hyperlink>
      <w:r>
        <w:t>.</w:t>
      </w:r>
    </w:p>
    <w:p w14:paraId="4EF57D45" w14:textId="77777777" w:rsidR="00DA6248" w:rsidRPr="008B7A1F" w:rsidRDefault="00000000" w:rsidP="008D0823">
      <w:pPr>
        <w:pStyle w:val="Bibliografia"/>
        <w:spacing w:after="120" w:line="240" w:lineRule="auto"/>
        <w:rPr>
          <w:lang w:val="en-US"/>
        </w:rPr>
      </w:pPr>
      <w:bookmarkStart w:id="93" w:name="ref-Locatelli2008"/>
      <w:bookmarkEnd w:id="92"/>
      <w:r>
        <w:t xml:space="preserve">Locatelli, L. (2008) </w:t>
      </w:r>
      <w:r>
        <w:rPr>
          <w:i/>
          <w:iCs/>
        </w:rPr>
        <w:t>Indica-º-Áes Geogr-íficas: A Prote-º-úo Jur-¡dica sob a Perspectiva do Desenvolvimento Econ–mico</w:t>
      </w:r>
      <w:r>
        <w:t xml:space="preserve">. </w:t>
      </w:r>
      <w:r w:rsidRPr="008B7A1F">
        <w:rPr>
          <w:lang w:val="en-US"/>
        </w:rPr>
        <w:t>Curitiba, PR: Editora Juru-í.</w:t>
      </w:r>
    </w:p>
    <w:p w14:paraId="4EF57D46" w14:textId="77777777" w:rsidR="00DA6248" w:rsidRPr="008B7A1F" w:rsidRDefault="00000000" w:rsidP="008D0823">
      <w:pPr>
        <w:pStyle w:val="Bibliografia"/>
        <w:spacing w:after="120" w:line="240" w:lineRule="auto"/>
        <w:rPr>
          <w:lang w:val="en-US"/>
        </w:rPr>
      </w:pPr>
      <w:bookmarkStart w:id="94" w:name="ref-lotka1926"/>
      <w:bookmarkEnd w:id="93"/>
      <w:r w:rsidRPr="008B7A1F">
        <w:rPr>
          <w:lang w:val="en-US"/>
        </w:rPr>
        <w:t xml:space="preserve">Lotka, A.J. (1926) “The frequency distribution of scientific productivity”, </w:t>
      </w:r>
      <w:r w:rsidRPr="008B7A1F">
        <w:rPr>
          <w:i/>
          <w:iCs/>
          <w:lang w:val="en-US"/>
        </w:rPr>
        <w:t>Journal of the Washington Academy of Sciences</w:t>
      </w:r>
      <w:r w:rsidRPr="008B7A1F">
        <w:rPr>
          <w:lang w:val="en-US"/>
        </w:rPr>
        <w:t>, 16(12), p. 317–323.</w:t>
      </w:r>
    </w:p>
    <w:p w14:paraId="4EF57D47" w14:textId="77777777" w:rsidR="00DA6248" w:rsidRDefault="00000000" w:rsidP="008D0823">
      <w:pPr>
        <w:pStyle w:val="Bibliografia"/>
        <w:spacing w:after="120" w:line="240" w:lineRule="auto"/>
      </w:pPr>
      <w:bookmarkStart w:id="95" w:name="ref-Lundberg2017"/>
      <w:bookmarkEnd w:id="94"/>
      <w:r w:rsidRPr="008B7A1F">
        <w:rPr>
          <w:lang w:val="en-US"/>
        </w:rPr>
        <w:t xml:space="preserve">Lundberg, S.M. e Lee, S.-I. (2017) “A unified approach to interpreting model predictions”, </w:t>
      </w:r>
      <w:r w:rsidRPr="008B7A1F">
        <w:rPr>
          <w:i/>
          <w:iCs/>
          <w:lang w:val="en-US"/>
        </w:rPr>
        <w:t>Advances in Neural Information Processing Systems</w:t>
      </w:r>
      <w:r w:rsidRPr="008B7A1F">
        <w:rPr>
          <w:lang w:val="en-US"/>
        </w:rPr>
        <w:t xml:space="preserve">, 30, p. 4765–4774. </w:t>
      </w:r>
      <w:r>
        <w:t xml:space="preserve">Disponível em: </w:t>
      </w:r>
      <w:hyperlink r:id="rId56">
        <w:r>
          <w:rPr>
            <w:rStyle w:val="Hyperlink"/>
          </w:rPr>
          <w:t>https://papers.nips.cc/paper/7062-a-unified-approach-to-interpreting-model-predictions.pdf</w:t>
        </w:r>
      </w:hyperlink>
      <w:r>
        <w:t>.</w:t>
      </w:r>
    </w:p>
    <w:p w14:paraId="4EF57D48" w14:textId="77777777" w:rsidR="00DA6248" w:rsidRPr="008B7A1F" w:rsidRDefault="00000000" w:rsidP="008D0823">
      <w:pPr>
        <w:pStyle w:val="Bibliografia"/>
        <w:spacing w:after="120" w:line="240" w:lineRule="auto"/>
        <w:rPr>
          <w:lang w:val="en-US"/>
        </w:rPr>
      </w:pPr>
      <w:bookmarkStart w:id="96" w:name="ref-Mann1947"/>
      <w:bookmarkEnd w:id="95"/>
      <w:r w:rsidRPr="008B7A1F">
        <w:rPr>
          <w:lang w:val="en-US"/>
        </w:rPr>
        <w:t xml:space="preserve">Mann, H.B. e Whitney, D.R. (1947) “On a test of whether one of two random variables is stochastically larger than the other”, </w:t>
      </w:r>
      <w:r w:rsidRPr="008B7A1F">
        <w:rPr>
          <w:i/>
          <w:iCs/>
          <w:lang w:val="en-US"/>
        </w:rPr>
        <w:t>The Annals of Mathematical Statistics</w:t>
      </w:r>
      <w:r w:rsidRPr="008B7A1F">
        <w:rPr>
          <w:lang w:val="en-US"/>
        </w:rPr>
        <w:t xml:space="preserve">, 18(1), p. 50–60.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57">
        <w:r w:rsidRPr="008B7A1F">
          <w:rPr>
            <w:rStyle w:val="Hyperlink"/>
            <w:lang w:val="en-US"/>
          </w:rPr>
          <w:t>https://doi.org/10.1214/aoms/1177730491</w:t>
        </w:r>
      </w:hyperlink>
      <w:r w:rsidRPr="008B7A1F">
        <w:rPr>
          <w:lang w:val="en-US"/>
        </w:rPr>
        <w:t>.</w:t>
      </w:r>
    </w:p>
    <w:p w14:paraId="4EF57D49" w14:textId="77777777" w:rsidR="00DA6248" w:rsidRPr="008B7A1F" w:rsidRDefault="00000000" w:rsidP="008D0823">
      <w:pPr>
        <w:pStyle w:val="Bibliografia"/>
        <w:spacing w:after="120" w:line="240" w:lineRule="auto"/>
        <w:rPr>
          <w:lang w:val="en-US"/>
        </w:rPr>
      </w:pPr>
      <w:bookmarkStart w:id="97" w:name="ref-Meena2024"/>
      <w:bookmarkEnd w:id="96"/>
      <w:r w:rsidRPr="008B7A1F">
        <w:rPr>
          <w:lang w:val="en-US"/>
        </w:rPr>
        <w:t xml:space="preserve">Meena, D., Chakraborty, S. e Mitra, J. (2024) “Geographical Origin Identification of Red Chili Powder Using NIR Spectroscopy Combined with SIMCA and Machine Learning Algorithms”, </w:t>
      </w:r>
      <w:r w:rsidRPr="008B7A1F">
        <w:rPr>
          <w:i/>
          <w:iCs/>
          <w:lang w:val="en-US"/>
        </w:rPr>
        <w:t>Food Analytical Methods</w:t>
      </w:r>
      <w:r w:rsidRPr="008B7A1F">
        <w:rPr>
          <w:lang w:val="en-US"/>
        </w:rPr>
        <w:t xml:space="preserve">, 17(7), p. 1005–1023.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58">
        <w:r w:rsidRPr="008B7A1F">
          <w:rPr>
            <w:rStyle w:val="Hyperlink"/>
            <w:lang w:val="en-US"/>
          </w:rPr>
          <w:t>https://doi.org/10.1007/s12161-024-02625-6</w:t>
        </w:r>
      </w:hyperlink>
      <w:r w:rsidRPr="008B7A1F">
        <w:rPr>
          <w:lang w:val="en-US"/>
        </w:rPr>
        <w:t>.</w:t>
      </w:r>
    </w:p>
    <w:p w14:paraId="4EF57D4A" w14:textId="77777777" w:rsidR="00DA6248" w:rsidRPr="008B7A1F" w:rsidRDefault="00000000" w:rsidP="008D0823">
      <w:pPr>
        <w:pStyle w:val="Bibliografia"/>
        <w:spacing w:after="120" w:line="240" w:lineRule="auto"/>
        <w:rPr>
          <w:lang w:val="en-US"/>
        </w:rPr>
      </w:pPr>
      <w:bookmarkStart w:id="98" w:name="ref-Mohammadi2024"/>
      <w:bookmarkEnd w:id="97"/>
      <w:r w:rsidRPr="008B7A1F">
        <w:rPr>
          <w:lang w:val="en-US"/>
        </w:rPr>
        <w:t xml:space="preserve">Mohammadi, N., </w:t>
      </w:r>
      <w:proofErr w:type="spellStart"/>
      <w:r w:rsidRPr="008B7A1F">
        <w:rPr>
          <w:lang w:val="en-US"/>
        </w:rPr>
        <w:t>Esteki</w:t>
      </w:r>
      <w:proofErr w:type="spellEnd"/>
      <w:r w:rsidRPr="008B7A1F">
        <w:rPr>
          <w:lang w:val="en-US"/>
        </w:rPr>
        <w:t xml:space="preserve">, M. e Simal-Gandara, J. (2024) “Machine learning for authentication of black tea from narrow-geographic origins: Combination of PCA and PLS with LDA and SVM classifiers”, </w:t>
      </w:r>
      <w:proofErr w:type="spellStart"/>
      <w:r w:rsidRPr="008B7A1F">
        <w:rPr>
          <w:i/>
          <w:iCs/>
          <w:lang w:val="en-US"/>
        </w:rPr>
        <w:t>Lebensmittel</w:t>
      </w:r>
      <w:proofErr w:type="spellEnd"/>
      <w:r w:rsidRPr="008B7A1F">
        <w:rPr>
          <w:i/>
          <w:iCs/>
          <w:lang w:val="en-US"/>
        </w:rPr>
        <w:t>-Wissenschaft and Technologie</w:t>
      </w:r>
      <w:r w:rsidRPr="008B7A1F">
        <w:rPr>
          <w:lang w:val="en-US"/>
        </w:rPr>
        <w:t xml:space="preserve">, 190, p. 115–886.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59">
        <w:r w:rsidRPr="008B7A1F">
          <w:rPr>
            <w:rStyle w:val="Hyperlink"/>
            <w:lang w:val="en-US"/>
          </w:rPr>
          <w:t>https://doi.org/10.1016/j.lwt.2024.115886</w:t>
        </w:r>
      </w:hyperlink>
      <w:r w:rsidRPr="008B7A1F">
        <w:rPr>
          <w:lang w:val="en-US"/>
        </w:rPr>
        <w:t>.</w:t>
      </w:r>
    </w:p>
    <w:p w14:paraId="4EF57D4B" w14:textId="77777777" w:rsidR="00DA6248" w:rsidRDefault="00000000" w:rsidP="008D0823">
      <w:pPr>
        <w:pStyle w:val="Bibliografia"/>
        <w:spacing w:after="120" w:line="240" w:lineRule="auto"/>
      </w:pPr>
      <w:bookmarkStart w:id="99" w:name="ref-Moran2020"/>
      <w:bookmarkEnd w:id="98"/>
      <w:r w:rsidRPr="008B7A1F">
        <w:rPr>
          <w:lang w:val="en-US"/>
        </w:rPr>
        <w:t xml:space="preserve">Moran, T. e </w:t>
      </w:r>
      <w:proofErr w:type="spellStart"/>
      <w:r w:rsidRPr="008B7A1F">
        <w:rPr>
          <w:lang w:val="en-US"/>
        </w:rPr>
        <w:t>Tichava</w:t>
      </w:r>
      <w:proofErr w:type="spellEnd"/>
      <w:r w:rsidRPr="008B7A1F">
        <w:rPr>
          <w:lang w:val="en-US"/>
        </w:rPr>
        <w:t xml:space="preserve">, J. (2020) “The importance of external validation for climate impact models in agriculture”, </w:t>
      </w:r>
      <w:r w:rsidRPr="008B7A1F">
        <w:rPr>
          <w:i/>
          <w:iCs/>
          <w:lang w:val="en-US"/>
        </w:rPr>
        <w:t>Agricultural Systems</w:t>
      </w:r>
      <w:r w:rsidRPr="008B7A1F">
        <w:rPr>
          <w:lang w:val="en-US"/>
        </w:rPr>
        <w:t xml:space="preserve">, 177, p. 104706. </w:t>
      </w:r>
      <w:r>
        <w:t xml:space="preserve">Disponível em: </w:t>
      </w:r>
      <w:hyperlink r:id="rId60">
        <w:r>
          <w:rPr>
            <w:rStyle w:val="Hyperlink"/>
          </w:rPr>
          <w:t>https://doi.org/10.1016/j.agsy.2019.104706</w:t>
        </w:r>
      </w:hyperlink>
      <w:r>
        <w:t>.</w:t>
      </w:r>
    </w:p>
    <w:p w14:paraId="4EF57D4C" w14:textId="77777777" w:rsidR="00DA6248" w:rsidRPr="008B7A1F" w:rsidRDefault="00000000" w:rsidP="008D0823">
      <w:pPr>
        <w:pStyle w:val="Bibliografia"/>
        <w:spacing w:after="120" w:line="240" w:lineRule="auto"/>
        <w:rPr>
          <w:lang w:val="en-US"/>
        </w:rPr>
      </w:pPr>
      <w:bookmarkStart w:id="100" w:name="ref-MUNN2018"/>
      <w:bookmarkEnd w:id="99"/>
      <w:r>
        <w:t xml:space="preserve">Munn, Z. </w:t>
      </w:r>
      <w:r>
        <w:rPr>
          <w:i/>
          <w:iCs/>
        </w:rPr>
        <w:t>et al.</w:t>
      </w:r>
      <w:r>
        <w:t xml:space="preserve"> </w:t>
      </w:r>
      <w:r w:rsidRPr="008B7A1F">
        <w:rPr>
          <w:lang w:val="en-US"/>
        </w:rPr>
        <w:t xml:space="preserve">(2018) “Systematic review or scoping review? Guidance for authors when choosing between a systematic or scoping review approach”, </w:t>
      </w:r>
      <w:r w:rsidRPr="008B7A1F">
        <w:rPr>
          <w:i/>
          <w:iCs/>
          <w:lang w:val="en-US"/>
        </w:rPr>
        <w:t>BMC Medical Research Methodology</w:t>
      </w:r>
      <w:r w:rsidRPr="008B7A1F">
        <w:rPr>
          <w:lang w:val="en-US"/>
        </w:rPr>
        <w:t>, 18(1), p. 143.</w:t>
      </w:r>
    </w:p>
    <w:p w14:paraId="4EF57D4D" w14:textId="77777777" w:rsidR="00DA6248" w:rsidRDefault="00000000" w:rsidP="008D0823">
      <w:pPr>
        <w:pStyle w:val="Bibliografia"/>
        <w:spacing w:after="120" w:line="240" w:lineRule="auto"/>
      </w:pPr>
      <w:bookmarkStart w:id="101" w:name="ref-Nasirahmadi2022"/>
      <w:bookmarkEnd w:id="100"/>
      <w:proofErr w:type="spellStart"/>
      <w:r w:rsidRPr="008B7A1F">
        <w:rPr>
          <w:lang w:val="en-US"/>
        </w:rPr>
        <w:t>Nasirahmadi</w:t>
      </w:r>
      <w:proofErr w:type="spellEnd"/>
      <w:r w:rsidRPr="008B7A1F">
        <w:rPr>
          <w:lang w:val="en-US"/>
        </w:rPr>
        <w:t xml:space="preserve">, A. e Hensel, O. (2022) “Transforming agrifood production systems and supply chains with digital twins”, </w:t>
      </w:r>
      <w:proofErr w:type="spellStart"/>
      <w:r w:rsidRPr="008B7A1F">
        <w:rPr>
          <w:i/>
          <w:iCs/>
          <w:lang w:val="en-US"/>
        </w:rPr>
        <w:t>arXiv</w:t>
      </w:r>
      <w:proofErr w:type="spellEnd"/>
      <w:r w:rsidRPr="008B7A1F">
        <w:rPr>
          <w:i/>
          <w:iCs/>
          <w:lang w:val="en-US"/>
        </w:rPr>
        <w:t xml:space="preserve"> preprint arXiv:2202.07455</w:t>
      </w:r>
      <w:r w:rsidRPr="008B7A1F">
        <w:rPr>
          <w:lang w:val="en-US"/>
        </w:rPr>
        <w:t xml:space="preserve"> [Preprint]. </w:t>
      </w:r>
      <w:r>
        <w:t xml:space="preserve">Disponível em: </w:t>
      </w:r>
      <w:hyperlink r:id="rId61">
        <w:r>
          <w:rPr>
            <w:rStyle w:val="Hyperlink"/>
          </w:rPr>
          <w:t>https://arxiv.org/pdf/2202.07455.pdf</w:t>
        </w:r>
      </w:hyperlink>
      <w:r>
        <w:t>.</w:t>
      </w:r>
    </w:p>
    <w:p w14:paraId="4EF57D4E" w14:textId="77777777" w:rsidR="00DA6248" w:rsidRDefault="00000000" w:rsidP="008D0823">
      <w:pPr>
        <w:pStyle w:val="Bibliografia"/>
        <w:spacing w:after="120" w:line="240" w:lineRule="auto"/>
      </w:pPr>
      <w:bookmarkStart w:id="102" w:name="ref-Nosek2015"/>
      <w:bookmarkEnd w:id="101"/>
      <w:r>
        <w:t xml:space="preserve">Nosek, B.A. </w:t>
      </w:r>
      <w:r>
        <w:rPr>
          <w:i/>
          <w:iCs/>
        </w:rPr>
        <w:t>et al.</w:t>
      </w:r>
      <w:r>
        <w:t xml:space="preserve"> </w:t>
      </w:r>
      <w:r w:rsidRPr="008B7A1F">
        <w:rPr>
          <w:lang w:val="en-US"/>
        </w:rPr>
        <w:t xml:space="preserve">(2015) “Promoting an open research culture”, </w:t>
      </w:r>
      <w:r w:rsidRPr="008B7A1F">
        <w:rPr>
          <w:i/>
          <w:iCs/>
          <w:lang w:val="en-US"/>
        </w:rPr>
        <w:t>Science</w:t>
      </w:r>
      <w:r w:rsidRPr="008B7A1F">
        <w:rPr>
          <w:lang w:val="en-US"/>
        </w:rPr>
        <w:t xml:space="preserve">, 348(6242), p. 1422–1425. </w:t>
      </w:r>
      <w:r>
        <w:t xml:space="preserve">Disponível em: </w:t>
      </w:r>
      <w:hyperlink r:id="rId62">
        <w:r>
          <w:rPr>
            <w:rStyle w:val="Hyperlink"/>
          </w:rPr>
          <w:t>https://doi.org/10.1126/science.aab2374</w:t>
        </w:r>
      </w:hyperlink>
      <w:r>
        <w:t>.</w:t>
      </w:r>
    </w:p>
    <w:p w14:paraId="4EF57D4F" w14:textId="77777777" w:rsidR="00DA6248" w:rsidRDefault="00000000" w:rsidP="008D0823">
      <w:pPr>
        <w:pStyle w:val="Bibliografia"/>
        <w:spacing w:after="120" w:line="240" w:lineRule="auto"/>
      </w:pPr>
      <w:bookmarkStart w:id="103" w:name="ref-OforiBoateng2024"/>
      <w:bookmarkEnd w:id="102"/>
      <w:r>
        <w:t xml:space="preserve">Ofori-Boateng, R. </w:t>
      </w:r>
      <w:r>
        <w:rPr>
          <w:i/>
          <w:iCs/>
        </w:rPr>
        <w:t>et al.</w:t>
      </w:r>
      <w:r>
        <w:t xml:space="preserve"> </w:t>
      </w:r>
      <w:r w:rsidRPr="008B7A1F">
        <w:rPr>
          <w:lang w:val="en-US"/>
        </w:rPr>
        <w:t xml:space="preserve">(2024) “Towards the automation of systematic reviews using natural language processing, machine learning, and deep learning: a comprehensive review”, </w:t>
      </w:r>
      <w:r w:rsidRPr="008B7A1F">
        <w:rPr>
          <w:i/>
          <w:iCs/>
          <w:lang w:val="en-US"/>
        </w:rPr>
        <w:t>Artificial Intelligence Review</w:t>
      </w:r>
      <w:r w:rsidRPr="008B7A1F">
        <w:rPr>
          <w:lang w:val="en-US"/>
        </w:rPr>
        <w:t xml:space="preserve"> [Preprint]. </w:t>
      </w:r>
      <w:r>
        <w:t xml:space="preserve">Disponível em: </w:t>
      </w:r>
      <w:hyperlink r:id="rId63">
        <w:r>
          <w:rPr>
            <w:rStyle w:val="Hyperlink"/>
          </w:rPr>
          <w:t>https://doi.org/10.1007/s10462-024-10844-w</w:t>
        </w:r>
      </w:hyperlink>
      <w:r>
        <w:t>.</w:t>
      </w:r>
    </w:p>
    <w:p w14:paraId="4EF57D50" w14:textId="77777777" w:rsidR="00DA6248" w:rsidRDefault="00000000" w:rsidP="008D0823">
      <w:pPr>
        <w:pStyle w:val="Bibliografia"/>
        <w:spacing w:after="120" w:line="240" w:lineRule="auto"/>
      </w:pPr>
      <w:bookmarkStart w:id="104" w:name="ref-Osco2021"/>
      <w:bookmarkEnd w:id="103"/>
      <w:r>
        <w:lastRenderedPageBreak/>
        <w:t xml:space="preserve">Osco, L.P. </w:t>
      </w:r>
      <w:r>
        <w:rPr>
          <w:i/>
          <w:iCs/>
        </w:rPr>
        <w:t>et al.</w:t>
      </w:r>
      <w:r>
        <w:t xml:space="preserve"> </w:t>
      </w:r>
      <w:r w:rsidRPr="008B7A1F">
        <w:rPr>
          <w:lang w:val="en-US"/>
        </w:rPr>
        <w:t xml:space="preserve">(2021) “A review on deep learning in UAV remote sensing”, </w:t>
      </w:r>
      <w:r w:rsidRPr="008B7A1F">
        <w:rPr>
          <w:i/>
          <w:iCs/>
          <w:lang w:val="en-US"/>
        </w:rPr>
        <w:t>International Journal of Applied Earth Observation and Geoinformation</w:t>
      </w:r>
      <w:r w:rsidRPr="008B7A1F">
        <w:rPr>
          <w:lang w:val="en-US"/>
        </w:rPr>
        <w:t xml:space="preserve">, 102, p. 102456. </w:t>
      </w:r>
      <w:r>
        <w:t xml:space="preserve">Disponível em: </w:t>
      </w:r>
      <w:hyperlink r:id="rId64">
        <w:r>
          <w:rPr>
            <w:rStyle w:val="Hyperlink"/>
          </w:rPr>
          <w:t>https://doi.org/10.1016/j.jag.2021.102456</w:t>
        </w:r>
      </w:hyperlink>
      <w:r>
        <w:t>.</w:t>
      </w:r>
    </w:p>
    <w:p w14:paraId="4EF57D51" w14:textId="77777777" w:rsidR="00DA6248" w:rsidRPr="008B7A1F" w:rsidRDefault="00000000" w:rsidP="008D0823">
      <w:pPr>
        <w:pStyle w:val="Bibliografia"/>
        <w:spacing w:after="120" w:line="240" w:lineRule="auto"/>
        <w:rPr>
          <w:lang w:val="en-US"/>
        </w:rPr>
      </w:pPr>
      <w:bookmarkStart w:id="105" w:name="ref-Pareto1896"/>
      <w:bookmarkEnd w:id="104"/>
      <w:r>
        <w:t xml:space="preserve">Pareto, V. (1896) </w:t>
      </w:r>
      <w:r>
        <w:rPr>
          <w:i/>
          <w:iCs/>
        </w:rPr>
        <w:t>Cours d’Économie Politique</w:t>
      </w:r>
      <w:r>
        <w:t xml:space="preserve">. </w:t>
      </w:r>
      <w:r w:rsidRPr="008B7A1F">
        <w:rPr>
          <w:lang w:val="en-US"/>
        </w:rPr>
        <w:t>Lausanne: F. Rouge.</w:t>
      </w:r>
    </w:p>
    <w:p w14:paraId="4EF57D52" w14:textId="77777777" w:rsidR="00DA6248" w:rsidRDefault="00000000" w:rsidP="008D0823">
      <w:pPr>
        <w:pStyle w:val="Bibliografia"/>
        <w:spacing w:after="120" w:line="240" w:lineRule="auto"/>
      </w:pPr>
      <w:bookmarkStart w:id="106" w:name="ref-Peng2025"/>
      <w:bookmarkEnd w:id="105"/>
      <w:r w:rsidRPr="008B7A1F">
        <w:rPr>
          <w:lang w:val="en-US"/>
        </w:rPr>
        <w:t xml:space="preserve">Peng, Z. </w:t>
      </w:r>
      <w:r w:rsidRPr="008B7A1F">
        <w:rPr>
          <w:i/>
          <w:iCs/>
          <w:lang w:val="en-US"/>
        </w:rPr>
        <w:t>et al.</w:t>
      </w:r>
      <w:r w:rsidRPr="008B7A1F">
        <w:rPr>
          <w:lang w:val="en-US"/>
        </w:rPr>
        <w:t xml:space="preserve"> (2025) “Machine learning based on metabolomics to discriminate Wuyi rock tea production areas and </w:t>
      </w:r>
      <w:proofErr w:type="spellStart"/>
      <w:r w:rsidRPr="008B7A1F">
        <w:rPr>
          <w:lang w:val="en-US"/>
        </w:rPr>
        <w:t>ÔÇ£rock</w:t>
      </w:r>
      <w:proofErr w:type="spellEnd"/>
      <w:r w:rsidRPr="008B7A1F">
        <w:rPr>
          <w:lang w:val="en-US"/>
        </w:rPr>
        <w:t xml:space="preserve"> </w:t>
      </w:r>
      <w:proofErr w:type="spellStart"/>
      <w:r w:rsidRPr="008B7A1F">
        <w:rPr>
          <w:lang w:val="en-US"/>
        </w:rPr>
        <w:t>flavorÔÇØ</w:t>
      </w:r>
      <w:proofErr w:type="spellEnd"/>
      <w:r w:rsidRPr="008B7A1F">
        <w:rPr>
          <w:lang w:val="en-US"/>
        </w:rPr>
        <w:t xml:space="preserve"> substances”, </w:t>
      </w:r>
      <w:r w:rsidRPr="008B7A1F">
        <w:rPr>
          <w:i/>
          <w:iCs/>
          <w:lang w:val="en-US"/>
        </w:rPr>
        <w:t>Food Chemistry: X</w:t>
      </w:r>
      <w:r w:rsidRPr="008B7A1F">
        <w:rPr>
          <w:lang w:val="en-US"/>
        </w:rPr>
        <w:t xml:space="preserve">, 31. </w:t>
      </w:r>
      <w:r>
        <w:t xml:space="preserve">Disponível em: </w:t>
      </w:r>
      <w:hyperlink r:id="rId65">
        <w:r>
          <w:rPr>
            <w:rStyle w:val="Hyperlink"/>
          </w:rPr>
          <w:t>https://doi.org/10.1016/j.fochx.2025.103194</w:t>
        </w:r>
      </w:hyperlink>
      <w:r>
        <w:t>.</w:t>
      </w:r>
    </w:p>
    <w:p w14:paraId="4EF57D53" w14:textId="77777777" w:rsidR="00DA6248" w:rsidRPr="008B7A1F" w:rsidRDefault="00000000" w:rsidP="008D0823">
      <w:pPr>
        <w:pStyle w:val="Bibliografia"/>
        <w:spacing w:after="120" w:line="240" w:lineRule="auto"/>
        <w:rPr>
          <w:lang w:val="en-US"/>
        </w:rPr>
      </w:pPr>
      <w:bookmarkStart w:id="107" w:name="ref-pluye2009"/>
      <w:bookmarkEnd w:id="106"/>
      <w:r>
        <w:t xml:space="preserve">Pluye, P. </w:t>
      </w:r>
      <w:r>
        <w:rPr>
          <w:i/>
          <w:iCs/>
        </w:rPr>
        <w:t>et al.</w:t>
      </w:r>
      <w:r>
        <w:t xml:space="preserve"> </w:t>
      </w:r>
      <w:r w:rsidRPr="008B7A1F">
        <w:rPr>
          <w:lang w:val="en-US"/>
        </w:rPr>
        <w:t xml:space="preserve">(2009) “A scoring system for appraising mixed methods research, and concomitantly appraising qualitative, quantitative and mixed methods primary studies in mixed studies reviews”, </w:t>
      </w:r>
      <w:r w:rsidRPr="008B7A1F">
        <w:rPr>
          <w:i/>
          <w:iCs/>
          <w:lang w:val="en-US"/>
        </w:rPr>
        <w:t>International Journal of Nursing Studies</w:t>
      </w:r>
      <w:r w:rsidRPr="008B7A1F">
        <w:rPr>
          <w:lang w:val="en-US"/>
        </w:rPr>
        <w:t>, 46(4), p. 529–546.</w:t>
      </w:r>
    </w:p>
    <w:p w14:paraId="4EF57D54" w14:textId="77777777" w:rsidR="00DA6248" w:rsidRDefault="00000000" w:rsidP="008D0823">
      <w:pPr>
        <w:pStyle w:val="Bibliografia"/>
        <w:spacing w:after="120" w:line="240" w:lineRule="auto"/>
      </w:pPr>
      <w:bookmarkStart w:id="108" w:name="ref-Pylianidis2021"/>
      <w:bookmarkEnd w:id="107"/>
      <w:r w:rsidRPr="008B7A1F">
        <w:rPr>
          <w:lang w:val="en-US"/>
        </w:rPr>
        <w:t xml:space="preserve">Pylianidis, C., Osinga, S. e Athanasiadis, I.N. (2021) “Introducing digital twins to agriculture”, </w:t>
      </w:r>
      <w:r w:rsidRPr="008B7A1F">
        <w:rPr>
          <w:i/>
          <w:iCs/>
          <w:lang w:val="en-US"/>
        </w:rPr>
        <w:t>Computers and Electronics in Agriculture</w:t>
      </w:r>
      <w:r w:rsidRPr="008B7A1F">
        <w:rPr>
          <w:lang w:val="en-US"/>
        </w:rPr>
        <w:t xml:space="preserve">, 184, p. 105942. </w:t>
      </w:r>
      <w:r>
        <w:t xml:space="preserve">Disponível em: </w:t>
      </w:r>
      <w:hyperlink r:id="rId66">
        <w:r>
          <w:rPr>
            <w:rStyle w:val="Hyperlink"/>
          </w:rPr>
          <w:t>https://doi.org/10.1016/j.compag.2020.105942</w:t>
        </w:r>
      </w:hyperlink>
      <w:r>
        <w:t>.</w:t>
      </w:r>
    </w:p>
    <w:p w14:paraId="4EF57D55" w14:textId="77777777" w:rsidR="00DA6248" w:rsidRPr="008B7A1F" w:rsidRDefault="00000000" w:rsidP="008D0823">
      <w:pPr>
        <w:pStyle w:val="Bibliografia"/>
        <w:spacing w:after="120" w:line="240" w:lineRule="auto"/>
        <w:rPr>
          <w:lang w:val="en-US"/>
        </w:rPr>
      </w:pPr>
      <w:bookmarkStart w:id="109" w:name="ref-Rebiai2022"/>
      <w:bookmarkEnd w:id="108"/>
      <w:r>
        <w:t xml:space="preserve">Rebiai, A. </w:t>
      </w:r>
      <w:r>
        <w:rPr>
          <w:i/>
          <w:iCs/>
        </w:rPr>
        <w:t>et al.</w:t>
      </w:r>
      <w:r>
        <w:t xml:space="preserve"> </w:t>
      </w:r>
      <w:r w:rsidRPr="008B7A1F">
        <w:rPr>
          <w:lang w:val="en-US"/>
        </w:rPr>
        <w:t xml:space="preserve">(2022) “Current application of chemometrics analysis in authentication of natural products: a review”, </w:t>
      </w:r>
      <w:r w:rsidRPr="008B7A1F">
        <w:rPr>
          <w:i/>
          <w:iCs/>
          <w:lang w:val="en-US"/>
        </w:rPr>
        <w:t>Current Chemistry and Hydrogen Energy</w:t>
      </w:r>
      <w:r w:rsidRPr="008B7A1F">
        <w:rPr>
          <w:lang w:val="en-US"/>
        </w:rPr>
        <w:t xml:space="preserve">, 10(3), p. 241–259.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67">
        <w:r w:rsidRPr="008B7A1F">
          <w:rPr>
            <w:rStyle w:val="Hyperlink"/>
            <w:lang w:val="en-US"/>
          </w:rPr>
          <w:t>https://doi.org/10.2174/1386207324666210309102239</w:t>
        </w:r>
      </w:hyperlink>
      <w:r w:rsidRPr="008B7A1F">
        <w:rPr>
          <w:lang w:val="en-US"/>
        </w:rPr>
        <w:t>.</w:t>
      </w:r>
    </w:p>
    <w:p w14:paraId="4EF57D56" w14:textId="77777777" w:rsidR="00DA6248" w:rsidRPr="008B7A1F" w:rsidRDefault="00000000" w:rsidP="008D0823">
      <w:pPr>
        <w:pStyle w:val="Bibliografia"/>
        <w:spacing w:after="120" w:line="240" w:lineRule="auto"/>
        <w:rPr>
          <w:lang w:val="en-US"/>
        </w:rPr>
      </w:pPr>
      <w:bookmarkStart w:id="110" w:name="ref-Rodriguez2023"/>
      <w:bookmarkEnd w:id="109"/>
      <w:r w:rsidRPr="008B7A1F">
        <w:rPr>
          <w:lang w:val="en-US"/>
        </w:rPr>
        <w:t xml:space="preserve">Rodriguez, J., Silva, M. e Chen, W. (2023) “Advances in machine learning for geographical indication authentication”, </w:t>
      </w:r>
      <w:r w:rsidRPr="008B7A1F">
        <w:rPr>
          <w:i/>
          <w:iCs/>
          <w:lang w:val="en-US"/>
        </w:rPr>
        <w:t>Food Control</w:t>
      </w:r>
      <w:r w:rsidRPr="008B7A1F">
        <w:rPr>
          <w:lang w:val="en-US"/>
        </w:rPr>
        <w:t xml:space="preserve">, 145, p. 109421.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68">
        <w:r w:rsidRPr="008B7A1F">
          <w:rPr>
            <w:rStyle w:val="Hyperlink"/>
            <w:lang w:val="en-US"/>
          </w:rPr>
          <w:t>https://doi.org/10.1016/j.foodcont.2022.109421</w:t>
        </w:r>
      </w:hyperlink>
      <w:r w:rsidRPr="008B7A1F">
        <w:rPr>
          <w:lang w:val="en-US"/>
        </w:rPr>
        <w:t>.</w:t>
      </w:r>
    </w:p>
    <w:p w14:paraId="4EF57D57" w14:textId="77777777" w:rsidR="00DA6248" w:rsidRPr="008B7A1F" w:rsidRDefault="00000000" w:rsidP="008D0823">
      <w:pPr>
        <w:pStyle w:val="Bibliografia"/>
        <w:spacing w:after="120" w:line="240" w:lineRule="auto"/>
        <w:rPr>
          <w:lang w:val="en-US"/>
        </w:rPr>
      </w:pPr>
      <w:bookmarkStart w:id="111" w:name="ref-Rudin2019"/>
      <w:bookmarkEnd w:id="110"/>
      <w:r w:rsidRPr="008B7A1F">
        <w:rPr>
          <w:lang w:val="en-US"/>
        </w:rPr>
        <w:t xml:space="preserve">Rudin, C. (2019) “Stop explaining black box machine learning models for high stakes decisions and use interpretable models instead”, </w:t>
      </w:r>
      <w:r w:rsidRPr="008B7A1F">
        <w:rPr>
          <w:i/>
          <w:iCs/>
          <w:lang w:val="en-US"/>
        </w:rPr>
        <w:t>Nature Machine Intelligence</w:t>
      </w:r>
      <w:r w:rsidRPr="008B7A1F">
        <w:rPr>
          <w:lang w:val="en-US"/>
        </w:rPr>
        <w:t xml:space="preserve">, 1(5), p. 206–215.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69">
        <w:r w:rsidRPr="008B7A1F">
          <w:rPr>
            <w:rStyle w:val="Hyperlink"/>
            <w:lang w:val="en-US"/>
          </w:rPr>
          <w:t>https://doi.org/10.1038/s42256-019-0048-x</w:t>
        </w:r>
      </w:hyperlink>
      <w:r w:rsidRPr="008B7A1F">
        <w:rPr>
          <w:lang w:val="en-US"/>
        </w:rPr>
        <w:t>.</w:t>
      </w:r>
    </w:p>
    <w:p w14:paraId="4EF57D58" w14:textId="77777777" w:rsidR="00DA6248" w:rsidRPr="008B7A1F" w:rsidRDefault="00000000" w:rsidP="008D0823">
      <w:pPr>
        <w:pStyle w:val="Bibliografia"/>
        <w:spacing w:after="120" w:line="240" w:lineRule="auto"/>
        <w:rPr>
          <w:lang w:val="en-US"/>
        </w:rPr>
      </w:pPr>
      <w:bookmarkStart w:id="112" w:name="ref-SAATY1991"/>
      <w:bookmarkEnd w:id="111"/>
      <w:r w:rsidRPr="008B7A1F">
        <w:rPr>
          <w:lang w:val="en-US"/>
        </w:rPr>
        <w:t xml:space="preserve">Saaty, T.L. (1991) </w:t>
      </w:r>
      <w:r w:rsidRPr="008B7A1F">
        <w:rPr>
          <w:i/>
          <w:iCs/>
          <w:lang w:val="en-US"/>
        </w:rPr>
        <w:t>The Analytic Hierarchy Process: Planning, Priority Setting, Resource Allocation</w:t>
      </w:r>
      <w:r w:rsidRPr="008B7A1F">
        <w:rPr>
          <w:lang w:val="en-US"/>
        </w:rPr>
        <w:t>. McGraw-Hill.</w:t>
      </w:r>
    </w:p>
    <w:p w14:paraId="4EF57D59" w14:textId="77777777" w:rsidR="00DA6248" w:rsidRPr="008B7A1F" w:rsidRDefault="00000000" w:rsidP="008D0823">
      <w:pPr>
        <w:pStyle w:val="Bibliografia"/>
        <w:spacing w:after="120" w:line="240" w:lineRule="auto"/>
        <w:rPr>
          <w:lang w:val="en-US"/>
        </w:rPr>
      </w:pPr>
      <w:bookmarkStart w:id="113" w:name="ref-Salam2021"/>
      <w:bookmarkEnd w:id="112"/>
      <w:r w:rsidRPr="008B7A1F">
        <w:rPr>
          <w:lang w:val="en-US"/>
        </w:rPr>
        <w:t xml:space="preserve">Salam, M.A. </w:t>
      </w:r>
      <w:r w:rsidRPr="008B7A1F">
        <w:rPr>
          <w:i/>
          <w:iCs/>
          <w:lang w:val="en-US"/>
        </w:rPr>
        <w:t>et al.</w:t>
      </w:r>
      <w:r w:rsidRPr="008B7A1F">
        <w:rPr>
          <w:lang w:val="en-US"/>
        </w:rPr>
        <w:t xml:space="preserve"> (2021) “The effect of different dimensionality reduction techniques on machine learning overfitting problem”, </w:t>
      </w:r>
      <w:r w:rsidRPr="008B7A1F">
        <w:rPr>
          <w:i/>
          <w:iCs/>
          <w:lang w:val="en-US"/>
        </w:rPr>
        <w:t>International Journal of Advanced Computer Science and Applications</w:t>
      </w:r>
      <w:r w:rsidRPr="008B7A1F">
        <w:rPr>
          <w:lang w:val="en-US"/>
        </w:rPr>
        <w:t>, 12(6), p. 95–112.</w:t>
      </w:r>
    </w:p>
    <w:p w14:paraId="4EF57D5A" w14:textId="77777777" w:rsidR="00DA6248" w:rsidRPr="008B7A1F" w:rsidRDefault="00000000" w:rsidP="008D0823">
      <w:pPr>
        <w:pStyle w:val="Bibliografia"/>
        <w:spacing w:after="120" w:line="240" w:lineRule="auto"/>
        <w:rPr>
          <w:lang w:val="en-US"/>
        </w:rPr>
      </w:pPr>
      <w:bookmarkStart w:id="114" w:name="ref-Sawilowsky2009"/>
      <w:bookmarkEnd w:id="113"/>
      <w:r w:rsidRPr="008B7A1F">
        <w:rPr>
          <w:lang w:val="en-US"/>
        </w:rPr>
        <w:t xml:space="preserve">Sawilowsky, S.S. (2009) “New effect size rules of thumb”, </w:t>
      </w:r>
      <w:r w:rsidRPr="008B7A1F">
        <w:rPr>
          <w:i/>
          <w:iCs/>
          <w:lang w:val="en-US"/>
        </w:rPr>
        <w:t>Journal of Modern Applied Statistical Methods</w:t>
      </w:r>
      <w:r w:rsidRPr="008B7A1F">
        <w:rPr>
          <w:lang w:val="en-US"/>
        </w:rPr>
        <w:t xml:space="preserve">, 8(2), p. 597–599.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70">
        <w:r w:rsidRPr="008B7A1F">
          <w:rPr>
            <w:rStyle w:val="Hyperlink"/>
            <w:lang w:val="en-US"/>
          </w:rPr>
          <w:t>https://doi.org/10.22237/jmasm/1257035100</w:t>
        </w:r>
      </w:hyperlink>
      <w:r w:rsidRPr="008B7A1F">
        <w:rPr>
          <w:lang w:val="en-US"/>
        </w:rPr>
        <w:t>.</w:t>
      </w:r>
    </w:p>
    <w:p w14:paraId="4EF57D5B" w14:textId="77777777" w:rsidR="00DA6248" w:rsidRDefault="00000000" w:rsidP="008D0823">
      <w:pPr>
        <w:pStyle w:val="Bibliografia"/>
        <w:spacing w:after="120" w:line="240" w:lineRule="auto"/>
      </w:pPr>
      <w:bookmarkStart w:id="115" w:name="ref-Schoch2020"/>
      <w:bookmarkEnd w:id="114"/>
      <w:r w:rsidRPr="008B7A1F">
        <w:rPr>
          <w:lang w:val="en-US"/>
        </w:rPr>
        <w:t>Schoch, D. (2020) “</w:t>
      </w:r>
      <w:proofErr w:type="spellStart"/>
      <w:r w:rsidRPr="008B7A1F">
        <w:rPr>
          <w:lang w:val="en-US"/>
        </w:rPr>
        <w:t>ggraph</w:t>
      </w:r>
      <w:proofErr w:type="spellEnd"/>
      <w:r w:rsidRPr="008B7A1F">
        <w:rPr>
          <w:lang w:val="en-US"/>
        </w:rPr>
        <w:t xml:space="preserve">: An Implementation of Grammar of Graphics for Graphs and Networks”, </w:t>
      </w:r>
      <w:r w:rsidRPr="008B7A1F">
        <w:rPr>
          <w:i/>
          <w:iCs/>
          <w:lang w:val="en-US"/>
        </w:rPr>
        <w:t xml:space="preserve">Journal of </w:t>
      </w:r>
      <w:proofErr w:type="gramStart"/>
      <w:r w:rsidRPr="008B7A1F">
        <w:rPr>
          <w:i/>
          <w:iCs/>
          <w:lang w:val="en-US"/>
        </w:rPr>
        <w:t>Open Source</w:t>
      </w:r>
      <w:proofErr w:type="gramEnd"/>
      <w:r w:rsidRPr="008B7A1F">
        <w:rPr>
          <w:i/>
          <w:iCs/>
          <w:lang w:val="en-US"/>
        </w:rPr>
        <w:t xml:space="preserve"> Software</w:t>
      </w:r>
      <w:r w:rsidRPr="008B7A1F">
        <w:rPr>
          <w:lang w:val="en-US"/>
        </w:rPr>
        <w:t xml:space="preserve">, 5(55), p. 2341. </w:t>
      </w:r>
      <w:r>
        <w:t xml:space="preserve">Disponível em: </w:t>
      </w:r>
      <w:hyperlink r:id="rId71">
        <w:r>
          <w:rPr>
            <w:rStyle w:val="Hyperlink"/>
          </w:rPr>
          <w:t>https://doi.org/10.21105/joss.02341</w:t>
        </w:r>
      </w:hyperlink>
      <w:r>
        <w:t>.</w:t>
      </w:r>
    </w:p>
    <w:p w14:paraId="4EF57D5C" w14:textId="77777777" w:rsidR="00DA6248" w:rsidRPr="008B7A1F" w:rsidRDefault="00000000" w:rsidP="008D0823">
      <w:pPr>
        <w:pStyle w:val="Bibliografia"/>
        <w:spacing w:after="120" w:line="240" w:lineRule="auto"/>
        <w:rPr>
          <w:lang w:val="en-US"/>
        </w:rPr>
      </w:pPr>
      <w:bookmarkStart w:id="116" w:name="ref-Shah2019"/>
      <w:bookmarkEnd w:id="115"/>
      <w:r>
        <w:t xml:space="preserve">Shah, S.H. </w:t>
      </w:r>
      <w:r>
        <w:rPr>
          <w:i/>
          <w:iCs/>
        </w:rPr>
        <w:t>et al.</w:t>
      </w:r>
      <w:r>
        <w:t xml:space="preserve"> </w:t>
      </w:r>
      <w:r w:rsidRPr="008B7A1F">
        <w:rPr>
          <w:lang w:val="en-US"/>
        </w:rPr>
        <w:t xml:space="preserve">(2019) “A Random Forest Machine Learning Approach for the Retrieval of Leaf Chlorophyll Content in Wheat”, </w:t>
      </w:r>
      <w:r w:rsidRPr="008B7A1F">
        <w:rPr>
          <w:i/>
          <w:iCs/>
          <w:lang w:val="en-US"/>
        </w:rPr>
        <w:t>Remote Sensing</w:t>
      </w:r>
      <w:r w:rsidRPr="008B7A1F">
        <w:rPr>
          <w:lang w:val="en-US"/>
        </w:rPr>
        <w:t xml:space="preserve">, 11(8).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72">
        <w:r w:rsidRPr="008B7A1F">
          <w:rPr>
            <w:rStyle w:val="Hyperlink"/>
            <w:lang w:val="en-US"/>
          </w:rPr>
          <w:t>https://doi.org/10.3390/rs11080920</w:t>
        </w:r>
      </w:hyperlink>
      <w:r w:rsidRPr="008B7A1F">
        <w:rPr>
          <w:lang w:val="en-US"/>
        </w:rPr>
        <w:t>.</w:t>
      </w:r>
    </w:p>
    <w:p w14:paraId="4EF57D5D" w14:textId="77777777" w:rsidR="00DA6248" w:rsidRPr="008B7A1F" w:rsidRDefault="00000000" w:rsidP="008D0823">
      <w:pPr>
        <w:pStyle w:val="Bibliografia"/>
        <w:spacing w:after="120" w:line="240" w:lineRule="auto"/>
        <w:rPr>
          <w:lang w:val="en-US"/>
        </w:rPr>
      </w:pPr>
      <w:bookmarkStart w:id="117" w:name="ref-Shapiro1965"/>
      <w:bookmarkEnd w:id="116"/>
      <w:r w:rsidRPr="008B7A1F">
        <w:rPr>
          <w:lang w:val="en-US"/>
        </w:rPr>
        <w:lastRenderedPageBreak/>
        <w:t xml:space="preserve">Shapiro, S.S. e Wilk, M.B. (1965) “An analysis of variance test for normality (complete samples)”, </w:t>
      </w:r>
      <w:proofErr w:type="spellStart"/>
      <w:r w:rsidRPr="008B7A1F">
        <w:rPr>
          <w:i/>
          <w:iCs/>
          <w:lang w:val="en-US"/>
        </w:rPr>
        <w:t>Biometrika</w:t>
      </w:r>
      <w:proofErr w:type="spellEnd"/>
      <w:r w:rsidRPr="008B7A1F">
        <w:rPr>
          <w:lang w:val="en-US"/>
        </w:rPr>
        <w:t xml:space="preserve">, 52(3-4), p. 591–611.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73">
        <w:r w:rsidRPr="008B7A1F">
          <w:rPr>
            <w:rStyle w:val="Hyperlink"/>
            <w:lang w:val="en-US"/>
          </w:rPr>
          <w:t>https://doi.org/10.1093/biomet/52.3-4.591</w:t>
        </w:r>
      </w:hyperlink>
      <w:r w:rsidRPr="008B7A1F">
        <w:rPr>
          <w:lang w:val="en-US"/>
        </w:rPr>
        <w:t>.</w:t>
      </w:r>
    </w:p>
    <w:p w14:paraId="4EF57D5E" w14:textId="77777777" w:rsidR="00DA6248" w:rsidRDefault="00000000" w:rsidP="008D0823">
      <w:pPr>
        <w:pStyle w:val="Bibliografia"/>
        <w:spacing w:after="120" w:line="240" w:lineRule="auto"/>
      </w:pPr>
      <w:bookmarkStart w:id="118" w:name="ref-shrout1979"/>
      <w:bookmarkEnd w:id="117"/>
      <w:r w:rsidRPr="008B7A1F">
        <w:rPr>
          <w:lang w:val="en-US"/>
        </w:rPr>
        <w:t xml:space="preserve">Shrout, P.E. e Fleiss, J.L. (1979) “Intraclass correlations: uses in assessing rater reliability”, </w:t>
      </w:r>
      <w:r w:rsidRPr="008B7A1F">
        <w:rPr>
          <w:i/>
          <w:iCs/>
          <w:lang w:val="en-US"/>
        </w:rPr>
        <w:t>Psychological Bulletin</w:t>
      </w:r>
      <w:r w:rsidRPr="008B7A1F">
        <w:rPr>
          <w:lang w:val="en-US"/>
        </w:rPr>
        <w:t xml:space="preserve">, 86(2), p. 420–428. </w:t>
      </w:r>
      <w:r>
        <w:t xml:space="preserve">Disponível em: </w:t>
      </w:r>
      <w:hyperlink r:id="rId74">
        <w:r>
          <w:rPr>
            <w:rStyle w:val="Hyperlink"/>
          </w:rPr>
          <w:t>https://doi.org/10.1037/0033-2909.86.2.420</w:t>
        </w:r>
      </w:hyperlink>
      <w:r>
        <w:t>.</w:t>
      </w:r>
    </w:p>
    <w:p w14:paraId="4EF57D5F" w14:textId="77777777" w:rsidR="00DA6248" w:rsidRDefault="00000000" w:rsidP="008D0823">
      <w:pPr>
        <w:pStyle w:val="Bibliografia"/>
        <w:spacing w:after="120" w:line="240" w:lineRule="auto"/>
      </w:pPr>
      <w:bookmarkStart w:id="119" w:name="ref-Santos2007Epistemologies"/>
      <w:bookmarkEnd w:id="118"/>
      <w:r>
        <w:t xml:space="preserve">Sousa Santos, B. de (2007) “Beyond Abyssal Thinking: From Global Lines to Ecologies of Knowledges”, </w:t>
      </w:r>
      <w:r>
        <w:rPr>
          <w:i/>
          <w:iCs/>
        </w:rPr>
        <w:t>Revista Crı́tica de Ciências Sociais</w:t>
      </w:r>
      <w:r>
        <w:t xml:space="preserve">, 78, p. 3–46. Disponível em: </w:t>
      </w:r>
      <w:hyperlink r:id="rId75">
        <w:r>
          <w:rPr>
            <w:rStyle w:val="Hyperlink"/>
          </w:rPr>
          <w:t>https://ces.uc.pt/publicacoes/santos_beyond_abyssal_thinking.pdf</w:t>
        </w:r>
      </w:hyperlink>
      <w:r>
        <w:t>.</w:t>
      </w:r>
    </w:p>
    <w:p w14:paraId="4EF57D60" w14:textId="77777777" w:rsidR="00DA6248" w:rsidRDefault="00000000" w:rsidP="008D0823">
      <w:pPr>
        <w:pStyle w:val="Bibliografia"/>
        <w:spacing w:after="120" w:line="240" w:lineRule="auto"/>
      </w:pPr>
      <w:bookmarkStart w:id="120" w:name="ref-Spearman1904"/>
      <w:bookmarkEnd w:id="119"/>
      <w:r w:rsidRPr="008B7A1F">
        <w:rPr>
          <w:lang w:val="en-US"/>
        </w:rPr>
        <w:t xml:space="preserve">Spearman, C. (1904) “The Proof and Measurement of Association between Two Things”, </w:t>
      </w:r>
      <w:r w:rsidRPr="008B7A1F">
        <w:rPr>
          <w:i/>
          <w:iCs/>
          <w:lang w:val="en-US"/>
        </w:rPr>
        <w:t>The American Journal of Psychology</w:t>
      </w:r>
      <w:r w:rsidRPr="008B7A1F">
        <w:rPr>
          <w:lang w:val="en-US"/>
        </w:rPr>
        <w:t xml:space="preserve">, 15(1), p. 72–101. </w:t>
      </w:r>
      <w:r>
        <w:t xml:space="preserve">Disponível em: </w:t>
      </w:r>
      <w:hyperlink r:id="rId76">
        <w:r>
          <w:rPr>
            <w:rStyle w:val="Hyperlink"/>
          </w:rPr>
          <w:t>https://doi.org/10.2307/1412159</w:t>
        </w:r>
      </w:hyperlink>
      <w:r>
        <w:t>.</w:t>
      </w:r>
    </w:p>
    <w:p w14:paraId="4EF57D61" w14:textId="77777777" w:rsidR="00DA6248" w:rsidRPr="008B7A1F" w:rsidRDefault="00000000" w:rsidP="008D0823">
      <w:pPr>
        <w:pStyle w:val="Bibliografia"/>
        <w:spacing w:after="120" w:line="240" w:lineRule="auto"/>
        <w:rPr>
          <w:lang w:val="en-US"/>
        </w:rPr>
      </w:pPr>
      <w:bookmarkStart w:id="121" w:name="ref-Spyros2023FoodAuth"/>
      <w:bookmarkEnd w:id="120"/>
      <w:r>
        <w:t xml:space="preserve">Spyros, A., Dais, P., </w:t>
      </w:r>
      <w:r>
        <w:rPr>
          <w:i/>
          <w:iCs/>
        </w:rPr>
        <w:t>et al.</w:t>
      </w:r>
      <w:r>
        <w:t xml:space="preserve"> </w:t>
      </w:r>
      <w:r w:rsidRPr="008B7A1F">
        <w:rPr>
          <w:lang w:val="en-US"/>
        </w:rPr>
        <w:t xml:space="preserve">(2023) “Current State-of-the-Art Spectroscopic and Chromatographic Techniques Utilized in Food Authenticity and Food Traceability”, </w:t>
      </w:r>
      <w:r w:rsidRPr="008B7A1F">
        <w:rPr>
          <w:i/>
          <w:iCs/>
          <w:lang w:val="en-US"/>
        </w:rPr>
        <w:t>Foods</w:t>
      </w:r>
      <w:r w:rsidRPr="008B7A1F">
        <w:rPr>
          <w:lang w:val="en-US"/>
        </w:rPr>
        <w:t xml:space="preserve">, 13(1), p. 3.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77">
        <w:r w:rsidRPr="008B7A1F">
          <w:rPr>
            <w:rStyle w:val="Hyperlink"/>
            <w:lang w:val="en-US"/>
          </w:rPr>
          <w:t>https://doi.org/10.3390/foods13010003</w:t>
        </w:r>
      </w:hyperlink>
      <w:r w:rsidRPr="008B7A1F">
        <w:rPr>
          <w:lang w:val="en-US"/>
        </w:rPr>
        <w:t>.</w:t>
      </w:r>
    </w:p>
    <w:p w14:paraId="4EF57D62" w14:textId="77777777" w:rsidR="00DA6248" w:rsidRPr="008B7A1F" w:rsidRDefault="00000000" w:rsidP="008D0823">
      <w:pPr>
        <w:pStyle w:val="Bibliografia"/>
        <w:spacing w:after="120" w:line="240" w:lineRule="auto"/>
        <w:rPr>
          <w:lang w:val="en-US"/>
        </w:rPr>
      </w:pPr>
      <w:bookmarkStart w:id="122" w:name="ref-streiner2008health"/>
      <w:bookmarkEnd w:id="121"/>
      <w:proofErr w:type="spellStart"/>
      <w:r w:rsidRPr="008B7A1F">
        <w:rPr>
          <w:lang w:val="en-US"/>
        </w:rPr>
        <w:t>Streiner</w:t>
      </w:r>
      <w:proofErr w:type="spellEnd"/>
      <w:r w:rsidRPr="008B7A1F">
        <w:rPr>
          <w:lang w:val="en-US"/>
        </w:rPr>
        <w:t xml:space="preserve">, D.L. e Norman, G.R. (2008) </w:t>
      </w:r>
      <w:r w:rsidRPr="008B7A1F">
        <w:rPr>
          <w:i/>
          <w:iCs/>
          <w:lang w:val="en-US"/>
        </w:rPr>
        <w:t>Health Measurement Scales: A Practical Guide to Their Development and Use</w:t>
      </w:r>
      <w:r w:rsidRPr="008B7A1F">
        <w:rPr>
          <w:lang w:val="en-US"/>
        </w:rPr>
        <w:t>. 4th ed. Oxford: Oxford University Press.</w:t>
      </w:r>
    </w:p>
    <w:p w14:paraId="4EF57D63" w14:textId="77777777" w:rsidR="00DA6248" w:rsidRPr="008B7A1F" w:rsidRDefault="00000000" w:rsidP="008D0823">
      <w:pPr>
        <w:pStyle w:val="Bibliografia"/>
        <w:spacing w:after="120" w:line="240" w:lineRule="auto"/>
        <w:rPr>
          <w:lang w:val="en-US"/>
        </w:rPr>
      </w:pPr>
      <w:bookmarkStart w:id="123" w:name="ref-Student1908"/>
      <w:bookmarkEnd w:id="122"/>
      <w:r w:rsidRPr="008B7A1F">
        <w:rPr>
          <w:lang w:val="en-US"/>
        </w:rPr>
        <w:t xml:space="preserve">Student (1908) “The probable error of a mean”, </w:t>
      </w:r>
      <w:proofErr w:type="spellStart"/>
      <w:r w:rsidRPr="008B7A1F">
        <w:rPr>
          <w:i/>
          <w:iCs/>
          <w:lang w:val="en-US"/>
        </w:rPr>
        <w:t>Biometrika</w:t>
      </w:r>
      <w:proofErr w:type="spellEnd"/>
      <w:r w:rsidRPr="008B7A1F">
        <w:rPr>
          <w:lang w:val="en-US"/>
        </w:rPr>
        <w:t xml:space="preserve">, 6(1), p. 1–25.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78">
        <w:r w:rsidRPr="008B7A1F">
          <w:rPr>
            <w:rStyle w:val="Hyperlink"/>
            <w:lang w:val="en-US"/>
          </w:rPr>
          <w:t>https://doi.org/10.2307/2331554</w:t>
        </w:r>
      </w:hyperlink>
      <w:r w:rsidRPr="008B7A1F">
        <w:rPr>
          <w:lang w:val="en-US"/>
        </w:rPr>
        <w:t>.</w:t>
      </w:r>
    </w:p>
    <w:p w14:paraId="4EF57D64" w14:textId="77777777" w:rsidR="00DA6248" w:rsidRPr="008B7A1F" w:rsidRDefault="00000000" w:rsidP="008D0823">
      <w:pPr>
        <w:pStyle w:val="Bibliografia"/>
        <w:spacing w:after="120" w:line="240" w:lineRule="auto"/>
        <w:rPr>
          <w:lang w:val="en-US"/>
        </w:rPr>
      </w:pPr>
      <w:bookmarkStart w:id="124" w:name="ref-Suh2007"/>
      <w:bookmarkEnd w:id="123"/>
      <w:r w:rsidRPr="008B7A1F">
        <w:rPr>
          <w:lang w:val="en-US"/>
        </w:rPr>
        <w:t xml:space="preserve">Suh, J. e Macpherson, A. (2007) “The impact of geographical indication on the </w:t>
      </w:r>
      <w:proofErr w:type="spellStart"/>
      <w:r w:rsidRPr="008B7A1F">
        <w:rPr>
          <w:lang w:val="en-US"/>
        </w:rPr>
        <w:t>revitalisation</w:t>
      </w:r>
      <w:proofErr w:type="spellEnd"/>
      <w:r w:rsidRPr="008B7A1F">
        <w:rPr>
          <w:lang w:val="en-US"/>
        </w:rPr>
        <w:t xml:space="preserve"> of a regional economy: a case study of ’Boseong’ green tea”, </w:t>
      </w:r>
      <w:r w:rsidRPr="008B7A1F">
        <w:rPr>
          <w:i/>
          <w:iCs/>
          <w:lang w:val="en-US"/>
        </w:rPr>
        <w:t>Area</w:t>
      </w:r>
      <w:r w:rsidRPr="008B7A1F">
        <w:rPr>
          <w:lang w:val="en-US"/>
        </w:rPr>
        <w:t xml:space="preserve">, 39(4), p. 518–527.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79">
        <w:r w:rsidRPr="008B7A1F">
          <w:rPr>
            <w:rStyle w:val="Hyperlink"/>
            <w:lang w:val="en-US"/>
          </w:rPr>
          <w:t>https://doi.org/10.1111/j.1475-4762.2007.00765.x</w:t>
        </w:r>
      </w:hyperlink>
      <w:r w:rsidRPr="008B7A1F">
        <w:rPr>
          <w:lang w:val="en-US"/>
        </w:rPr>
        <w:t>.</w:t>
      </w:r>
    </w:p>
    <w:p w14:paraId="4EF57D65" w14:textId="77777777" w:rsidR="00DA6248" w:rsidRPr="008B7A1F" w:rsidRDefault="00000000" w:rsidP="008D0823">
      <w:pPr>
        <w:pStyle w:val="Bibliografia"/>
        <w:spacing w:after="120" w:line="240" w:lineRule="auto"/>
        <w:rPr>
          <w:lang w:val="en-US"/>
        </w:rPr>
      </w:pPr>
      <w:bookmarkStart w:id="125" w:name="ref-Likert3vs5_2025"/>
      <w:bookmarkEnd w:id="124"/>
      <w:r w:rsidRPr="008B7A1F">
        <w:rPr>
          <w:lang w:val="en-US"/>
        </w:rPr>
        <w:t xml:space="preserve">Surname, A. e Surname, A. (2025) “A comparative study of 3-point and 5-point Likert Scales”, </w:t>
      </w:r>
      <w:r w:rsidRPr="008B7A1F">
        <w:rPr>
          <w:i/>
          <w:iCs/>
          <w:lang w:val="en-US"/>
        </w:rPr>
        <w:t>Science Scholar</w:t>
      </w:r>
      <w:r w:rsidRPr="008B7A1F">
        <w:rPr>
          <w:lang w:val="en-US"/>
        </w:rPr>
        <w:t xml:space="preserve"> [Preprint].</w:t>
      </w:r>
    </w:p>
    <w:p w14:paraId="4EF57D66" w14:textId="77777777" w:rsidR="00DA6248" w:rsidRPr="008B7A1F" w:rsidRDefault="00000000" w:rsidP="008D0823">
      <w:pPr>
        <w:pStyle w:val="Bibliografia"/>
        <w:spacing w:after="120" w:line="240" w:lineRule="auto"/>
        <w:rPr>
          <w:lang w:val="en-US"/>
        </w:rPr>
      </w:pPr>
      <w:bookmarkStart w:id="126" w:name="ref-RCoreTeam2024"/>
      <w:bookmarkEnd w:id="125"/>
      <w:r w:rsidRPr="008B7A1F">
        <w:rPr>
          <w:lang w:val="en-US"/>
        </w:rPr>
        <w:t xml:space="preserve">Team, R.C. (2024) </w:t>
      </w:r>
      <w:r w:rsidRPr="008B7A1F">
        <w:rPr>
          <w:i/>
          <w:iCs/>
          <w:lang w:val="en-US"/>
        </w:rPr>
        <w:t>R: A Language and Environment for Statistical Computing</w:t>
      </w:r>
      <w:r w:rsidRPr="008B7A1F">
        <w:rPr>
          <w:lang w:val="en-US"/>
        </w:rPr>
        <w:t xml:space="preserve">. Vienna, Austria: R Foundation for Statistical Computing.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80">
        <w:r w:rsidRPr="008B7A1F">
          <w:rPr>
            <w:rStyle w:val="Hyperlink"/>
            <w:lang w:val="en-US"/>
          </w:rPr>
          <w:t>https://www.R-project.org/</w:t>
        </w:r>
      </w:hyperlink>
      <w:r w:rsidRPr="008B7A1F">
        <w:rPr>
          <w:lang w:val="en-US"/>
        </w:rPr>
        <w:t>.</w:t>
      </w:r>
    </w:p>
    <w:p w14:paraId="4EF57D67" w14:textId="77777777" w:rsidR="00DA6248" w:rsidRPr="008B7A1F" w:rsidRDefault="00000000" w:rsidP="008D0823">
      <w:pPr>
        <w:pStyle w:val="Bibliografia"/>
        <w:spacing w:after="120" w:line="240" w:lineRule="auto"/>
        <w:rPr>
          <w:lang w:val="en-US"/>
        </w:rPr>
      </w:pPr>
      <w:bookmarkStart w:id="127" w:name="ref-Thompson2002"/>
      <w:bookmarkEnd w:id="126"/>
      <w:r w:rsidRPr="008B7A1F">
        <w:rPr>
          <w:lang w:val="en-US"/>
        </w:rPr>
        <w:t xml:space="preserve">Thompson, S.G. e Higgins, J.P.T. (2002) “How should meta-regression analyses be undertaken and interpreted?”, </w:t>
      </w:r>
      <w:r w:rsidRPr="008B7A1F">
        <w:rPr>
          <w:i/>
          <w:iCs/>
          <w:lang w:val="en-US"/>
        </w:rPr>
        <w:t>Statistics in Medicine</w:t>
      </w:r>
      <w:r w:rsidRPr="008B7A1F">
        <w:rPr>
          <w:lang w:val="en-US"/>
        </w:rPr>
        <w:t xml:space="preserve">, 21(11), p. 1559–1573.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81">
        <w:r w:rsidRPr="008B7A1F">
          <w:rPr>
            <w:rStyle w:val="Hyperlink"/>
            <w:lang w:val="en-US"/>
          </w:rPr>
          <w:t>https://doi.org/10.1002/sim.1187</w:t>
        </w:r>
      </w:hyperlink>
      <w:r w:rsidRPr="008B7A1F">
        <w:rPr>
          <w:lang w:val="en-US"/>
        </w:rPr>
        <w:t>.</w:t>
      </w:r>
    </w:p>
    <w:p w14:paraId="4EF57D68" w14:textId="77777777" w:rsidR="00DA6248" w:rsidRPr="008B7A1F" w:rsidRDefault="00000000" w:rsidP="008D0823">
      <w:pPr>
        <w:pStyle w:val="Bibliografia"/>
        <w:spacing w:after="120" w:line="240" w:lineRule="auto"/>
        <w:rPr>
          <w:lang w:val="en-US"/>
        </w:rPr>
      </w:pPr>
      <w:bookmarkStart w:id="128" w:name="ref-Torchiano2020"/>
      <w:bookmarkEnd w:id="127"/>
      <w:proofErr w:type="spellStart"/>
      <w:r w:rsidRPr="008B7A1F">
        <w:rPr>
          <w:lang w:val="en-US"/>
        </w:rPr>
        <w:t>Torchiano</w:t>
      </w:r>
      <w:proofErr w:type="spellEnd"/>
      <w:r w:rsidRPr="008B7A1F">
        <w:rPr>
          <w:lang w:val="en-US"/>
        </w:rPr>
        <w:t xml:space="preserve">, M. (2020) </w:t>
      </w:r>
      <w:proofErr w:type="spellStart"/>
      <w:r w:rsidRPr="008B7A1F">
        <w:rPr>
          <w:i/>
          <w:iCs/>
          <w:lang w:val="en-US"/>
        </w:rPr>
        <w:t>effsize</w:t>
      </w:r>
      <w:proofErr w:type="spellEnd"/>
      <w:r w:rsidRPr="008B7A1F">
        <w:rPr>
          <w:i/>
          <w:iCs/>
          <w:lang w:val="en-US"/>
        </w:rPr>
        <w:t>: Efficient Effect Size Computation</w:t>
      </w:r>
      <w:r w:rsidRPr="008B7A1F">
        <w:rPr>
          <w:lang w:val="en-US"/>
        </w:rPr>
        <w:t xml:space="preserve">.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82">
        <w:r w:rsidRPr="008B7A1F">
          <w:rPr>
            <w:rStyle w:val="Hyperlink"/>
            <w:lang w:val="en-US"/>
          </w:rPr>
          <w:t>https://doi.org/10.5281/zenodo.1480624</w:t>
        </w:r>
      </w:hyperlink>
      <w:r w:rsidRPr="008B7A1F">
        <w:rPr>
          <w:lang w:val="en-US"/>
        </w:rPr>
        <w:t>.</w:t>
      </w:r>
    </w:p>
    <w:p w14:paraId="4EF57D69" w14:textId="77777777" w:rsidR="00DA6248" w:rsidRPr="008B7A1F" w:rsidRDefault="00000000" w:rsidP="008D0823">
      <w:pPr>
        <w:pStyle w:val="Bibliografia"/>
        <w:spacing w:after="120" w:line="240" w:lineRule="auto"/>
        <w:rPr>
          <w:lang w:val="en-US"/>
        </w:rPr>
      </w:pPr>
      <w:bookmarkStart w:id="129" w:name="ref-tranfield2003"/>
      <w:bookmarkEnd w:id="128"/>
      <w:proofErr w:type="spellStart"/>
      <w:r w:rsidRPr="008B7A1F">
        <w:rPr>
          <w:lang w:val="en-US"/>
        </w:rPr>
        <w:t>Tranfield</w:t>
      </w:r>
      <w:proofErr w:type="spellEnd"/>
      <w:r w:rsidRPr="008B7A1F">
        <w:rPr>
          <w:lang w:val="en-US"/>
        </w:rPr>
        <w:t xml:space="preserve">, D., Denyer, D. e Smart, P. (2003) “Towards a methodology for developing evidence-informed management knowledge by means of systematic review”, </w:t>
      </w:r>
      <w:r w:rsidRPr="008B7A1F">
        <w:rPr>
          <w:i/>
          <w:iCs/>
          <w:lang w:val="en-US"/>
        </w:rPr>
        <w:t>British Journal of Management</w:t>
      </w:r>
      <w:r w:rsidRPr="008B7A1F">
        <w:rPr>
          <w:lang w:val="en-US"/>
        </w:rPr>
        <w:t>, 14(3), p. 207–222.</w:t>
      </w:r>
    </w:p>
    <w:bookmarkEnd w:id="129"/>
    <w:p w14:paraId="4EF57D6A" w14:textId="77777777" w:rsidR="00DA6248" w:rsidRPr="008B7A1F" w:rsidRDefault="00000000" w:rsidP="008D0823">
      <w:pPr>
        <w:pStyle w:val="Bibliografia"/>
        <w:spacing w:after="120" w:line="240" w:lineRule="auto"/>
        <w:rPr>
          <w:lang w:val="en-US"/>
        </w:rPr>
      </w:pPr>
      <w:proofErr w:type="spellStart"/>
      <w:r w:rsidRPr="008B7A1F">
        <w:rPr>
          <w:lang w:val="en-US"/>
        </w:rPr>
        <w:t>Tricco</w:t>
      </w:r>
      <w:proofErr w:type="spellEnd"/>
      <w:r w:rsidRPr="008B7A1F">
        <w:rPr>
          <w:lang w:val="en-US"/>
        </w:rPr>
        <w:t xml:space="preserve">, A.C. </w:t>
      </w:r>
      <w:r w:rsidRPr="008B7A1F">
        <w:rPr>
          <w:i/>
          <w:iCs/>
          <w:lang w:val="en-US"/>
        </w:rPr>
        <w:t>et al.</w:t>
      </w:r>
      <w:r w:rsidRPr="008B7A1F">
        <w:rPr>
          <w:lang w:val="en-US"/>
        </w:rPr>
        <w:t xml:space="preserve"> (2018) “PRISMA Extension for Scoping Reviews (PRISMA-</w:t>
      </w:r>
      <w:proofErr w:type="spellStart"/>
      <w:r w:rsidRPr="008B7A1F">
        <w:rPr>
          <w:lang w:val="en-US"/>
        </w:rPr>
        <w:t>ScR</w:t>
      </w:r>
      <w:proofErr w:type="spellEnd"/>
      <w:r w:rsidRPr="008B7A1F">
        <w:rPr>
          <w:lang w:val="en-US"/>
        </w:rPr>
        <w:t xml:space="preserve">): Checklist and Explanation”, </w:t>
      </w:r>
      <w:r w:rsidRPr="008B7A1F">
        <w:rPr>
          <w:i/>
          <w:iCs/>
          <w:lang w:val="en-US"/>
        </w:rPr>
        <w:t>Annals of Internal Medicine</w:t>
      </w:r>
      <w:r w:rsidRPr="008B7A1F">
        <w:rPr>
          <w:lang w:val="en-US"/>
        </w:rPr>
        <w:t>, 169(7), p. 467–473.</w:t>
      </w:r>
    </w:p>
    <w:p w14:paraId="4EF57D6B" w14:textId="77777777" w:rsidR="00DA6248" w:rsidRDefault="00000000" w:rsidP="008D0823">
      <w:pPr>
        <w:pStyle w:val="Bibliografia"/>
        <w:spacing w:after="120" w:line="240" w:lineRule="auto"/>
      </w:pPr>
      <w:bookmarkStart w:id="130" w:name="ref-Tricco2018"/>
      <w:r w:rsidRPr="008B7A1F">
        <w:rPr>
          <w:lang w:val="de-DE"/>
        </w:rPr>
        <w:lastRenderedPageBreak/>
        <w:t xml:space="preserve">Tricco, A.C., Lillie, E., </w:t>
      </w:r>
      <w:r w:rsidRPr="008B7A1F">
        <w:rPr>
          <w:i/>
          <w:iCs/>
          <w:lang w:val="de-DE"/>
        </w:rPr>
        <w:t>et al.</w:t>
      </w:r>
      <w:r w:rsidRPr="008B7A1F">
        <w:rPr>
          <w:lang w:val="de-DE"/>
        </w:rPr>
        <w:t xml:space="preserve"> </w:t>
      </w:r>
      <w:r w:rsidRPr="008B7A1F">
        <w:rPr>
          <w:lang w:val="en-US"/>
        </w:rPr>
        <w:t>(2018) “PRISMA Extension for Scoping Reviews (</w:t>
      </w:r>
      <w:proofErr w:type="spellStart"/>
      <w:r w:rsidRPr="008B7A1F">
        <w:rPr>
          <w:lang w:val="en-US"/>
        </w:rPr>
        <w:t>PRISMAScR</w:t>
      </w:r>
      <w:proofErr w:type="spellEnd"/>
      <w:r w:rsidRPr="008B7A1F">
        <w:rPr>
          <w:lang w:val="en-US"/>
        </w:rPr>
        <w:t xml:space="preserve">): Checklist and Explanation”, </w:t>
      </w:r>
      <w:r w:rsidRPr="008B7A1F">
        <w:rPr>
          <w:i/>
          <w:iCs/>
          <w:lang w:val="en-US"/>
        </w:rPr>
        <w:t>Annals of Internal Medicine</w:t>
      </w:r>
      <w:r w:rsidRPr="008B7A1F">
        <w:rPr>
          <w:lang w:val="en-US"/>
        </w:rPr>
        <w:t xml:space="preserve">, 169(7), p. 467–473. </w:t>
      </w:r>
      <w:r>
        <w:t xml:space="preserve">Disponível em: </w:t>
      </w:r>
      <w:hyperlink r:id="rId83">
        <w:r>
          <w:rPr>
            <w:rStyle w:val="Hyperlink"/>
          </w:rPr>
          <w:t>https://doi.org/10.7326/M18-0850</w:t>
        </w:r>
      </w:hyperlink>
      <w:r>
        <w:t>.</w:t>
      </w:r>
    </w:p>
    <w:p w14:paraId="4EF57D6C" w14:textId="77777777" w:rsidR="00DA6248" w:rsidRDefault="00000000" w:rsidP="008D0823">
      <w:pPr>
        <w:pStyle w:val="Bibliografia"/>
        <w:spacing w:after="120" w:line="240" w:lineRule="auto"/>
      </w:pPr>
      <w:bookmarkStart w:id="131" w:name="ref-Urvieta2021"/>
      <w:bookmarkEnd w:id="130"/>
      <w:r>
        <w:t xml:space="preserve">Urvieta, R. </w:t>
      </w:r>
      <w:r>
        <w:rPr>
          <w:i/>
          <w:iCs/>
        </w:rPr>
        <w:t>et al.</w:t>
      </w:r>
      <w:r>
        <w:t xml:space="preserve"> </w:t>
      </w:r>
      <w:r w:rsidRPr="008B7A1F">
        <w:rPr>
          <w:lang w:val="en-US"/>
        </w:rPr>
        <w:t xml:space="preserve">(2021) “Terroir and vintage discrimination of Malbec wines based on phenolic composition across multiple sites in Mendoza, Argentina”, </w:t>
      </w:r>
      <w:r w:rsidRPr="008B7A1F">
        <w:rPr>
          <w:i/>
          <w:iCs/>
          <w:lang w:val="en-US"/>
        </w:rPr>
        <w:t>Scientific Reports</w:t>
      </w:r>
      <w:r w:rsidRPr="008B7A1F">
        <w:rPr>
          <w:lang w:val="en-US"/>
        </w:rPr>
        <w:t xml:space="preserve">, 11(1). </w:t>
      </w:r>
      <w:r>
        <w:t xml:space="preserve">Disponível em: </w:t>
      </w:r>
      <w:hyperlink r:id="rId84">
        <w:r>
          <w:rPr>
            <w:rStyle w:val="Hyperlink"/>
          </w:rPr>
          <w:t>https://doi.org/10.1038/s41598-021-82306-0</w:t>
        </w:r>
      </w:hyperlink>
      <w:r>
        <w:t>.</w:t>
      </w:r>
    </w:p>
    <w:p w14:paraId="4EF57D6D" w14:textId="77777777" w:rsidR="00DA6248" w:rsidRPr="008B7A1F" w:rsidRDefault="00000000" w:rsidP="008D0823">
      <w:pPr>
        <w:pStyle w:val="Bibliografia"/>
        <w:spacing w:after="120" w:line="240" w:lineRule="auto"/>
        <w:rPr>
          <w:lang w:val="en-US"/>
        </w:rPr>
      </w:pPr>
      <w:bookmarkStart w:id="132" w:name="ref-Vandecandelaere2009"/>
      <w:bookmarkEnd w:id="131"/>
      <w:r>
        <w:t xml:space="preserve">Vandecandelaere, E. </w:t>
      </w:r>
      <w:r>
        <w:rPr>
          <w:i/>
          <w:iCs/>
        </w:rPr>
        <w:t>et al.</w:t>
      </w:r>
      <w:r>
        <w:t xml:space="preserve"> </w:t>
      </w:r>
      <w:r w:rsidRPr="008B7A1F">
        <w:rPr>
          <w:lang w:val="en-US"/>
        </w:rPr>
        <w:t xml:space="preserve">(2009) </w:t>
      </w:r>
      <w:r w:rsidRPr="008B7A1F">
        <w:rPr>
          <w:i/>
          <w:iCs/>
          <w:lang w:val="en-US"/>
        </w:rPr>
        <w:t>Linking people, places and products: A guide for promoting quality linked to geographical origin and sustainable geographical indications</w:t>
      </w:r>
      <w:r w:rsidRPr="008B7A1F">
        <w:rPr>
          <w:lang w:val="en-US"/>
        </w:rPr>
        <w:t>. Rome: FAO; SINER-GI.</w:t>
      </w:r>
    </w:p>
    <w:p w14:paraId="4EF57D6E" w14:textId="77777777" w:rsidR="00DA6248" w:rsidRPr="008B7A1F" w:rsidRDefault="00000000" w:rsidP="008D0823">
      <w:pPr>
        <w:pStyle w:val="Bibliografia"/>
        <w:spacing w:after="120" w:line="240" w:lineRule="auto"/>
        <w:rPr>
          <w:lang w:val="en-US"/>
        </w:rPr>
      </w:pPr>
      <w:bookmarkStart w:id="133" w:name="ref-Vandecandelaare2018"/>
      <w:bookmarkEnd w:id="132"/>
      <w:proofErr w:type="spellStart"/>
      <w:r w:rsidRPr="008B7A1F">
        <w:rPr>
          <w:lang w:val="en-US"/>
        </w:rPr>
        <w:t>Vandecandelaere</w:t>
      </w:r>
      <w:proofErr w:type="spellEnd"/>
      <w:r w:rsidRPr="008B7A1F">
        <w:rPr>
          <w:lang w:val="en-US"/>
        </w:rPr>
        <w:t xml:space="preserve">, E. </w:t>
      </w:r>
      <w:r w:rsidRPr="008B7A1F">
        <w:rPr>
          <w:i/>
          <w:iCs/>
          <w:lang w:val="en-US"/>
        </w:rPr>
        <w:t>et al.</w:t>
      </w:r>
      <w:r w:rsidRPr="008B7A1F">
        <w:rPr>
          <w:lang w:val="en-US"/>
        </w:rPr>
        <w:t xml:space="preserve"> (2018) “Linking people, places and products: A guide for promoting quality linked to geographical origin and sustainable geographical indications”. Rome: Food; Agriculture Organization of the United Nations (FAO).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85">
        <w:r w:rsidRPr="008B7A1F">
          <w:rPr>
            <w:rStyle w:val="Hyperlink"/>
            <w:lang w:val="en-US"/>
          </w:rPr>
          <w:t>https://www.fao.org/3/i9321en/I9321EN.pdf</w:t>
        </w:r>
      </w:hyperlink>
      <w:r w:rsidRPr="008B7A1F">
        <w:rPr>
          <w:lang w:val="en-US"/>
        </w:rPr>
        <w:t>.</w:t>
      </w:r>
    </w:p>
    <w:p w14:paraId="4EF57D6F" w14:textId="77777777" w:rsidR="00DA6248" w:rsidRDefault="00000000" w:rsidP="008D0823">
      <w:pPr>
        <w:pStyle w:val="Bibliografia"/>
        <w:spacing w:after="120" w:line="240" w:lineRule="auto"/>
      </w:pPr>
      <w:bookmarkStart w:id="134" w:name="ref-Viechtbauer2010"/>
      <w:bookmarkEnd w:id="133"/>
      <w:proofErr w:type="spellStart"/>
      <w:r w:rsidRPr="008B7A1F">
        <w:rPr>
          <w:lang w:val="en-US"/>
        </w:rPr>
        <w:t>Viechtbauer</w:t>
      </w:r>
      <w:proofErr w:type="spellEnd"/>
      <w:r w:rsidRPr="008B7A1F">
        <w:rPr>
          <w:lang w:val="en-US"/>
        </w:rPr>
        <w:t xml:space="preserve">, W. (2010) “Conducting meta-analyses in R with the </w:t>
      </w:r>
      <w:proofErr w:type="spellStart"/>
      <w:r w:rsidRPr="008B7A1F">
        <w:rPr>
          <w:lang w:val="en-US"/>
        </w:rPr>
        <w:t>metafor</w:t>
      </w:r>
      <w:proofErr w:type="spellEnd"/>
      <w:r w:rsidRPr="008B7A1F">
        <w:rPr>
          <w:lang w:val="en-US"/>
        </w:rPr>
        <w:t xml:space="preserve"> package”, </w:t>
      </w:r>
      <w:r w:rsidRPr="008B7A1F">
        <w:rPr>
          <w:i/>
          <w:iCs/>
          <w:lang w:val="en-US"/>
        </w:rPr>
        <w:t>Journal of Statistical Software</w:t>
      </w:r>
      <w:r w:rsidRPr="008B7A1F">
        <w:rPr>
          <w:lang w:val="en-US"/>
        </w:rPr>
        <w:t xml:space="preserve">, 36(3), p. 1–48. </w:t>
      </w:r>
      <w:r>
        <w:t xml:space="preserve">Disponível em: </w:t>
      </w:r>
      <w:hyperlink r:id="rId86">
        <w:r>
          <w:rPr>
            <w:rStyle w:val="Hyperlink"/>
          </w:rPr>
          <w:t>https://doi.org/10.18637/jss.v036.i03</w:t>
        </w:r>
      </w:hyperlink>
      <w:r>
        <w:t>.</w:t>
      </w:r>
    </w:p>
    <w:p w14:paraId="4EF57D70" w14:textId="77777777" w:rsidR="00DA6248" w:rsidRDefault="00000000" w:rsidP="008D0823">
      <w:pPr>
        <w:pStyle w:val="Bibliografia"/>
        <w:spacing w:after="120" w:line="240" w:lineRule="auto"/>
      </w:pPr>
      <w:bookmarkStart w:id="135" w:name="ref-Wadoux2021"/>
      <w:bookmarkEnd w:id="134"/>
      <w:r>
        <w:t xml:space="preserve">Wadoux, A.M.J.C. </w:t>
      </w:r>
      <w:r>
        <w:rPr>
          <w:i/>
          <w:iCs/>
        </w:rPr>
        <w:t>et al.</w:t>
      </w:r>
      <w:r>
        <w:t xml:space="preserve"> </w:t>
      </w:r>
      <w:r w:rsidRPr="008B7A1F">
        <w:rPr>
          <w:lang w:val="en-US"/>
        </w:rPr>
        <w:t xml:space="preserve">(2021) “Spatial cross-validation is not the right way to evaluate map accuracy”, </w:t>
      </w:r>
      <w:r w:rsidRPr="008B7A1F">
        <w:rPr>
          <w:i/>
          <w:iCs/>
          <w:lang w:val="en-US"/>
        </w:rPr>
        <w:t>Ecological Modelling</w:t>
      </w:r>
      <w:r w:rsidRPr="008B7A1F">
        <w:rPr>
          <w:lang w:val="en-US"/>
        </w:rPr>
        <w:t xml:space="preserve">, 457, p. 109692. </w:t>
      </w:r>
      <w:r>
        <w:t xml:space="preserve">Disponível em: </w:t>
      </w:r>
      <w:hyperlink r:id="rId87">
        <w:r>
          <w:rPr>
            <w:rStyle w:val="Hyperlink"/>
          </w:rPr>
          <w:t>https://doi.org/10.1016/j.ecolmodel.2021.109692</w:t>
        </w:r>
      </w:hyperlink>
      <w:r>
        <w:t>.</w:t>
      </w:r>
    </w:p>
    <w:p w14:paraId="4EF57D71" w14:textId="77777777" w:rsidR="00DA6248" w:rsidRPr="008B7A1F" w:rsidRDefault="00000000" w:rsidP="008D0823">
      <w:pPr>
        <w:pStyle w:val="Bibliografia"/>
        <w:spacing w:after="120" w:line="240" w:lineRule="auto"/>
        <w:rPr>
          <w:lang w:val="en-US"/>
        </w:rPr>
      </w:pPr>
      <w:bookmarkStart w:id="136" w:name="ref-Wang2025"/>
      <w:bookmarkEnd w:id="135"/>
      <w:r>
        <w:t xml:space="preserve">Wang, X. </w:t>
      </w:r>
      <w:r>
        <w:rPr>
          <w:i/>
          <w:iCs/>
        </w:rPr>
        <w:t>et al.</w:t>
      </w:r>
      <w:r>
        <w:t xml:space="preserve"> </w:t>
      </w:r>
      <w:r w:rsidRPr="008B7A1F">
        <w:rPr>
          <w:lang w:val="en-US"/>
        </w:rPr>
        <w:t xml:space="preserve">(2025) “Integrated Metabolomics-KPCA-Machine Learning framework: a solution for geographical traceability of Chinese Jujube”, </w:t>
      </w:r>
      <w:r w:rsidRPr="008B7A1F">
        <w:rPr>
          <w:i/>
          <w:iCs/>
          <w:lang w:val="en-US"/>
        </w:rPr>
        <w:t>Food Chemistry: X</w:t>
      </w:r>
      <w:r w:rsidRPr="008B7A1F">
        <w:rPr>
          <w:lang w:val="en-US"/>
        </w:rPr>
        <w:t xml:space="preserve">, 31.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88">
        <w:r w:rsidRPr="008B7A1F">
          <w:rPr>
            <w:rStyle w:val="Hyperlink"/>
            <w:lang w:val="en-US"/>
          </w:rPr>
          <w:t>https://doi.org/10.1016/j.fochx.2025.103069</w:t>
        </w:r>
      </w:hyperlink>
      <w:r w:rsidRPr="008B7A1F">
        <w:rPr>
          <w:lang w:val="en-US"/>
        </w:rPr>
        <w:t>.</w:t>
      </w:r>
    </w:p>
    <w:p w14:paraId="4EF57D72" w14:textId="77777777" w:rsidR="00DA6248" w:rsidRPr="008B7A1F" w:rsidRDefault="00000000" w:rsidP="008D0823">
      <w:pPr>
        <w:pStyle w:val="Bibliografia"/>
        <w:spacing w:after="120" w:line="240" w:lineRule="auto"/>
        <w:rPr>
          <w:lang w:val="en-US"/>
        </w:rPr>
      </w:pPr>
      <w:bookmarkStart w:id="137" w:name="ref-webster2002"/>
      <w:bookmarkEnd w:id="136"/>
      <w:r w:rsidRPr="008B7A1F">
        <w:rPr>
          <w:lang w:val="en-US"/>
        </w:rPr>
        <w:t xml:space="preserve">Webster, J. e Watson, R.T. (2002) “Analyzing the past to prepare for the future: Writing a literature review”, </w:t>
      </w:r>
      <w:r w:rsidRPr="008B7A1F">
        <w:rPr>
          <w:i/>
          <w:iCs/>
          <w:lang w:val="en-US"/>
        </w:rPr>
        <w:t>MIS Quarterly</w:t>
      </w:r>
      <w:r w:rsidRPr="008B7A1F">
        <w:rPr>
          <w:lang w:val="en-US"/>
        </w:rPr>
        <w:t>, 26(2), p. xiii–xxiii.</w:t>
      </w:r>
    </w:p>
    <w:p w14:paraId="4EF57D73" w14:textId="77777777" w:rsidR="00DA6248" w:rsidRDefault="00000000" w:rsidP="008D0823">
      <w:pPr>
        <w:pStyle w:val="Bibliografia"/>
        <w:spacing w:after="120" w:line="240" w:lineRule="auto"/>
      </w:pPr>
      <w:bookmarkStart w:id="138" w:name="ref-Wickham2016"/>
      <w:bookmarkEnd w:id="137"/>
      <w:r w:rsidRPr="008B7A1F">
        <w:rPr>
          <w:lang w:val="en-US"/>
        </w:rPr>
        <w:t xml:space="preserve">Wickham, H. (2016) </w:t>
      </w:r>
      <w:r w:rsidRPr="008B7A1F">
        <w:rPr>
          <w:i/>
          <w:iCs/>
          <w:lang w:val="en-US"/>
        </w:rPr>
        <w:t>ggplot2: Elegant Graphics for Data Analysis</w:t>
      </w:r>
      <w:r w:rsidRPr="008B7A1F">
        <w:rPr>
          <w:lang w:val="en-US"/>
        </w:rPr>
        <w:t xml:space="preserve">. </w:t>
      </w:r>
      <w:r>
        <w:t xml:space="preserve">Springer. Disponível em: </w:t>
      </w:r>
      <w:hyperlink r:id="rId89">
        <w:r>
          <w:rPr>
            <w:rStyle w:val="Hyperlink"/>
          </w:rPr>
          <w:t>https://ggplot2.tidyverse.org</w:t>
        </w:r>
      </w:hyperlink>
      <w:r>
        <w:t>.</w:t>
      </w:r>
    </w:p>
    <w:p w14:paraId="4EF57D74" w14:textId="77777777" w:rsidR="00DA6248" w:rsidRPr="008B7A1F" w:rsidRDefault="00000000" w:rsidP="008D0823">
      <w:pPr>
        <w:pStyle w:val="Bibliografia"/>
        <w:spacing w:after="120" w:line="240" w:lineRule="auto"/>
        <w:rPr>
          <w:lang w:val="en-US"/>
        </w:rPr>
      </w:pPr>
      <w:bookmarkStart w:id="139" w:name="ref-Wilkinson2021"/>
      <w:bookmarkEnd w:id="138"/>
      <w:r w:rsidRPr="008B7A1F">
        <w:rPr>
          <w:lang w:val="en-US"/>
        </w:rPr>
        <w:t xml:space="preserve">Wilkinson, L. (2021) “The Grammar of Graphics”, </w:t>
      </w:r>
      <w:r w:rsidRPr="008B7A1F">
        <w:rPr>
          <w:i/>
          <w:iCs/>
          <w:lang w:val="en-US"/>
        </w:rPr>
        <w:t>Springer Series in Statistics</w:t>
      </w:r>
      <w:r w:rsidRPr="008B7A1F">
        <w:rPr>
          <w:lang w:val="en-US"/>
        </w:rPr>
        <w:t xml:space="preserve"> [Preprint]. 2nd ed.</w:t>
      </w:r>
    </w:p>
    <w:p w14:paraId="4EF57D75" w14:textId="77777777" w:rsidR="00DA6248" w:rsidRDefault="00000000" w:rsidP="008D0823">
      <w:pPr>
        <w:pStyle w:val="Bibliografia"/>
        <w:spacing w:after="120" w:line="240" w:lineRule="auto"/>
      </w:pPr>
      <w:bookmarkStart w:id="140" w:name="ref-Wilkinson2016"/>
      <w:bookmarkEnd w:id="139"/>
      <w:r w:rsidRPr="008B7A1F">
        <w:rPr>
          <w:lang w:val="en-US"/>
        </w:rPr>
        <w:t xml:space="preserve">Wilkinson, Mark D. </w:t>
      </w:r>
      <w:r w:rsidRPr="008B7A1F">
        <w:rPr>
          <w:i/>
          <w:iCs/>
          <w:lang w:val="en-US"/>
        </w:rPr>
        <w:t>et al.</w:t>
      </w:r>
      <w:r w:rsidRPr="008B7A1F">
        <w:rPr>
          <w:lang w:val="en-US"/>
        </w:rPr>
        <w:t xml:space="preserve"> (2016a) “The FAIR Guiding Principles for scientific data management and stewardship”, </w:t>
      </w:r>
      <w:r w:rsidRPr="008B7A1F">
        <w:rPr>
          <w:i/>
          <w:iCs/>
          <w:lang w:val="en-US"/>
        </w:rPr>
        <w:t>Scientific Data</w:t>
      </w:r>
      <w:r w:rsidRPr="008B7A1F">
        <w:rPr>
          <w:lang w:val="en-US"/>
        </w:rPr>
        <w:t xml:space="preserve">, 3, p. 160018. </w:t>
      </w:r>
      <w:r>
        <w:t xml:space="preserve">Disponível em: </w:t>
      </w:r>
      <w:hyperlink r:id="rId90">
        <w:r>
          <w:rPr>
            <w:rStyle w:val="Hyperlink"/>
          </w:rPr>
          <w:t>https://doi.org/10.1038/sdata.2016.18</w:t>
        </w:r>
      </w:hyperlink>
      <w:r>
        <w:t>.</w:t>
      </w:r>
    </w:p>
    <w:p w14:paraId="4EF57D76" w14:textId="77777777" w:rsidR="00DA6248" w:rsidRPr="008B7A1F" w:rsidRDefault="00000000" w:rsidP="008D0823">
      <w:pPr>
        <w:pStyle w:val="Bibliografia"/>
        <w:spacing w:after="120" w:line="240" w:lineRule="auto"/>
        <w:rPr>
          <w:lang w:val="en-US"/>
        </w:rPr>
      </w:pPr>
      <w:bookmarkStart w:id="141" w:name="ref-Wilkinson2016FAIR"/>
      <w:bookmarkEnd w:id="140"/>
      <w:r>
        <w:t xml:space="preserve">Wilkinson, Mark D. </w:t>
      </w:r>
      <w:r>
        <w:rPr>
          <w:i/>
          <w:iCs/>
        </w:rPr>
        <w:t>et al.</w:t>
      </w:r>
      <w:r>
        <w:t xml:space="preserve"> </w:t>
      </w:r>
      <w:r w:rsidRPr="008B7A1F">
        <w:rPr>
          <w:lang w:val="en-US"/>
        </w:rPr>
        <w:t xml:space="preserve">(2016b) “The FAIR Guiding Principles for scientific data management and stewardship”, </w:t>
      </w:r>
      <w:r w:rsidRPr="008B7A1F">
        <w:rPr>
          <w:i/>
          <w:iCs/>
          <w:lang w:val="en-US"/>
        </w:rPr>
        <w:t>Scientific Data</w:t>
      </w:r>
      <w:r w:rsidRPr="008B7A1F">
        <w:rPr>
          <w:lang w:val="en-US"/>
        </w:rPr>
        <w:t xml:space="preserve">, 3(1), p. 1–9.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91">
        <w:r w:rsidRPr="008B7A1F">
          <w:rPr>
            <w:rStyle w:val="Hyperlink"/>
            <w:lang w:val="en-US"/>
          </w:rPr>
          <w:t>https://doi.org/10.1038/sdata.2016.18</w:t>
        </w:r>
      </w:hyperlink>
      <w:r w:rsidRPr="008B7A1F">
        <w:rPr>
          <w:lang w:val="en-US"/>
        </w:rPr>
        <w:t>.</w:t>
      </w:r>
    </w:p>
    <w:p w14:paraId="4EF57D77" w14:textId="77777777" w:rsidR="00DA6248" w:rsidRDefault="00000000" w:rsidP="008D0823">
      <w:pPr>
        <w:pStyle w:val="Bibliografia"/>
        <w:spacing w:after="120" w:line="240" w:lineRule="auto"/>
      </w:pPr>
      <w:bookmarkStart w:id="142" w:name="ref-WorldBank2014AgData"/>
      <w:bookmarkEnd w:id="141"/>
      <w:r w:rsidRPr="008B7A1F">
        <w:rPr>
          <w:lang w:val="en-US"/>
        </w:rPr>
        <w:t xml:space="preserve">World Bank (2014) “Open data for agriculture and nutrition”, </w:t>
      </w:r>
      <w:r w:rsidRPr="008B7A1F">
        <w:rPr>
          <w:i/>
          <w:iCs/>
          <w:lang w:val="en-US"/>
        </w:rPr>
        <w:t>World Bank Report</w:t>
      </w:r>
      <w:r w:rsidRPr="008B7A1F">
        <w:rPr>
          <w:lang w:val="en-US"/>
        </w:rPr>
        <w:t xml:space="preserve"> [Preprint]. </w:t>
      </w:r>
      <w:r>
        <w:t xml:space="preserve">Disponível em: </w:t>
      </w:r>
      <w:hyperlink r:id="rId92">
        <w:r>
          <w:rPr>
            <w:rStyle w:val="Hyperlink"/>
          </w:rPr>
          <w:t>https://www.worldbank.org/en/topic/agriculture/brief/open-data-for-agriculture</w:t>
        </w:r>
      </w:hyperlink>
      <w:r>
        <w:t>.</w:t>
      </w:r>
    </w:p>
    <w:p w14:paraId="4EF57D78" w14:textId="77777777" w:rsidR="00DA6248" w:rsidRPr="008B7A1F" w:rsidRDefault="00000000" w:rsidP="008D0823">
      <w:pPr>
        <w:pStyle w:val="Bibliografia"/>
        <w:spacing w:after="120" w:line="240" w:lineRule="auto"/>
        <w:rPr>
          <w:lang w:val="en-US"/>
        </w:rPr>
      </w:pPr>
      <w:bookmarkStart w:id="143" w:name="ref-WIPO2020"/>
      <w:bookmarkEnd w:id="142"/>
      <w:r w:rsidRPr="008B7A1F">
        <w:rPr>
          <w:lang w:val="en-US"/>
        </w:rPr>
        <w:t xml:space="preserve">World Intellectual Property Organization (2020) </w:t>
      </w:r>
      <w:r w:rsidRPr="008B7A1F">
        <w:rPr>
          <w:i/>
          <w:iCs/>
          <w:lang w:val="en-US"/>
        </w:rPr>
        <w:t>World Intellectual Property Indicators 2020</w:t>
      </w:r>
      <w:r w:rsidRPr="008B7A1F">
        <w:rPr>
          <w:lang w:val="en-US"/>
        </w:rPr>
        <w:t xml:space="preserve">. Geneva: WIPO.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93">
        <w:r w:rsidRPr="008B7A1F">
          <w:rPr>
            <w:rStyle w:val="Hyperlink"/>
            <w:lang w:val="en-US"/>
          </w:rPr>
          <w:t>https://doi.org/10.34667/tind.42184</w:t>
        </w:r>
      </w:hyperlink>
      <w:r w:rsidRPr="008B7A1F">
        <w:rPr>
          <w:lang w:val="en-US"/>
        </w:rPr>
        <w:t>.</w:t>
      </w:r>
    </w:p>
    <w:p w14:paraId="4EF57D79" w14:textId="77777777" w:rsidR="00DA6248" w:rsidRDefault="00000000" w:rsidP="008D0823">
      <w:pPr>
        <w:pStyle w:val="Bibliografia"/>
        <w:spacing w:after="120" w:line="240" w:lineRule="auto"/>
      </w:pPr>
      <w:bookmarkStart w:id="144" w:name="ref-WTO1994"/>
      <w:bookmarkEnd w:id="143"/>
      <w:r w:rsidRPr="008B7A1F">
        <w:rPr>
          <w:lang w:val="en-US"/>
        </w:rPr>
        <w:lastRenderedPageBreak/>
        <w:t xml:space="preserve">World Trade Organization (1994) “Agreement on Trade-Related Aspects of Intellectual Property Rights (TRIPS Agreement)”. </w:t>
      </w:r>
      <w:r>
        <w:t xml:space="preserve">Marrakesh. Disponível em: </w:t>
      </w:r>
      <w:hyperlink r:id="rId94">
        <w:r>
          <w:rPr>
            <w:rStyle w:val="Hyperlink"/>
          </w:rPr>
          <w:t>https://www.wto.org/english/docs_e/legal_e/27-trips.pdf</w:t>
        </w:r>
      </w:hyperlink>
      <w:r>
        <w:t>.</w:t>
      </w:r>
    </w:p>
    <w:p w14:paraId="4EF57D7A" w14:textId="77777777" w:rsidR="00DA6248" w:rsidRPr="008B7A1F" w:rsidRDefault="00000000" w:rsidP="008D0823">
      <w:pPr>
        <w:pStyle w:val="Bibliografia"/>
        <w:spacing w:after="120" w:line="240" w:lineRule="auto"/>
        <w:rPr>
          <w:lang w:val="en-US"/>
        </w:rPr>
      </w:pPr>
      <w:bookmarkStart w:id="145" w:name="ref-Xu2021"/>
      <w:bookmarkEnd w:id="144"/>
      <w:r w:rsidRPr="008B7A1F">
        <w:rPr>
          <w:lang w:val="en-US"/>
        </w:rPr>
        <w:t xml:space="preserve">Xu, F. </w:t>
      </w:r>
      <w:r w:rsidRPr="008B7A1F">
        <w:rPr>
          <w:i/>
          <w:iCs/>
          <w:lang w:val="en-US"/>
        </w:rPr>
        <w:t>et al.</w:t>
      </w:r>
      <w:r w:rsidRPr="008B7A1F">
        <w:rPr>
          <w:lang w:val="en-US"/>
        </w:rPr>
        <w:t xml:space="preserve"> (2021) “Combing machine learning and elemental profiling for geographical authentication of Chinese Geographical Indication (GI) rice”, </w:t>
      </w:r>
      <w:proofErr w:type="spellStart"/>
      <w:r w:rsidRPr="008B7A1F">
        <w:rPr>
          <w:i/>
          <w:iCs/>
          <w:lang w:val="en-US"/>
        </w:rPr>
        <w:t>npj</w:t>
      </w:r>
      <w:proofErr w:type="spellEnd"/>
      <w:r w:rsidRPr="008B7A1F">
        <w:rPr>
          <w:i/>
          <w:iCs/>
          <w:lang w:val="en-US"/>
        </w:rPr>
        <w:t xml:space="preserve"> Science of Food</w:t>
      </w:r>
      <w:r w:rsidRPr="008B7A1F">
        <w:rPr>
          <w:lang w:val="en-US"/>
        </w:rPr>
        <w:t xml:space="preserve">, 5(1), p. 18. </w:t>
      </w:r>
      <w:proofErr w:type="spellStart"/>
      <w:r w:rsidRPr="008B7A1F">
        <w:rPr>
          <w:lang w:val="en-US"/>
        </w:rPr>
        <w:t>Disponível</w:t>
      </w:r>
      <w:proofErr w:type="spellEnd"/>
      <w:r w:rsidRPr="008B7A1F">
        <w:rPr>
          <w:lang w:val="en-US"/>
        </w:rPr>
        <w:t xml:space="preserve"> </w:t>
      </w:r>
      <w:proofErr w:type="spellStart"/>
      <w:r w:rsidRPr="008B7A1F">
        <w:rPr>
          <w:lang w:val="en-US"/>
        </w:rPr>
        <w:t>em</w:t>
      </w:r>
      <w:proofErr w:type="spellEnd"/>
      <w:r w:rsidRPr="008B7A1F">
        <w:rPr>
          <w:lang w:val="en-US"/>
        </w:rPr>
        <w:t xml:space="preserve">: </w:t>
      </w:r>
      <w:hyperlink r:id="rId95">
        <w:r w:rsidRPr="008B7A1F">
          <w:rPr>
            <w:rStyle w:val="Hyperlink"/>
            <w:lang w:val="en-US"/>
          </w:rPr>
          <w:t>https://doi.org/10.1038/s41538-021-00100-8</w:t>
        </w:r>
      </w:hyperlink>
      <w:r w:rsidRPr="008B7A1F">
        <w:rPr>
          <w:lang w:val="en-US"/>
        </w:rPr>
        <w:t>.</w:t>
      </w:r>
    </w:p>
    <w:p w14:paraId="4EF57D7B" w14:textId="77777777" w:rsidR="00DA6248" w:rsidRDefault="00000000" w:rsidP="008D0823">
      <w:pPr>
        <w:pStyle w:val="Bibliografia"/>
        <w:spacing w:after="120" w:line="240" w:lineRule="auto"/>
      </w:pPr>
      <w:bookmarkStart w:id="146" w:name="ref-Young2019"/>
      <w:bookmarkEnd w:id="145"/>
      <w:r w:rsidRPr="008B7A1F">
        <w:rPr>
          <w:lang w:val="en-US"/>
        </w:rPr>
        <w:t xml:space="preserve">Young, I.J.B., Luz, S. e Lone, N. (2019) “A systematic review of natural language processing for classification tasks in the field of incident reporting and adverse event analysis”, </w:t>
      </w:r>
      <w:r w:rsidRPr="008B7A1F">
        <w:rPr>
          <w:i/>
          <w:iCs/>
          <w:lang w:val="en-US"/>
        </w:rPr>
        <w:t>International Journal of Medical Informatics</w:t>
      </w:r>
      <w:r w:rsidRPr="008B7A1F">
        <w:rPr>
          <w:lang w:val="en-US"/>
        </w:rPr>
        <w:t xml:space="preserve">, 132, p. 103971. </w:t>
      </w:r>
      <w:r>
        <w:t xml:space="preserve">Disponível em: </w:t>
      </w:r>
      <w:hyperlink r:id="rId96">
        <w:r>
          <w:rPr>
            <w:rStyle w:val="Hyperlink"/>
          </w:rPr>
          <w:t>https://doi.org/10.1016/j.ijmedinf.2019.08.018</w:t>
        </w:r>
      </w:hyperlink>
      <w:r>
        <w:t>.</w:t>
      </w:r>
    </w:p>
    <w:p w14:paraId="4EF57D7C" w14:textId="77777777" w:rsidR="00DA6248" w:rsidRDefault="00000000">
      <w:pPr>
        <w:pStyle w:val="Ttulo2"/>
      </w:pPr>
      <w:bookmarkStart w:id="147" w:name="X21715a381cc0fc3030f2e14d59871237197d060"/>
      <w:bookmarkEnd w:id="42"/>
      <w:bookmarkEnd w:id="44"/>
      <w:bookmarkEnd w:id="146"/>
      <w:r>
        <w:t>Tabela A.3: Módulos Tecnológicos Identificados pela Análise de Comunidade Louvain</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DA6248" w14:paraId="4EF57D82" w14:textId="77777777" w:rsidTr="001C1606">
        <w:trPr>
          <w:tblHeader/>
        </w:trPr>
        <w:tc>
          <w:tcPr>
            <w:tcW w:w="1584" w:type="dxa"/>
            <w:tcBorders>
              <w:top w:val="single" w:sz="4" w:space="0" w:color="auto"/>
              <w:bottom w:val="single" w:sz="4" w:space="0" w:color="auto"/>
            </w:tcBorders>
          </w:tcPr>
          <w:p w14:paraId="4EF57D7D" w14:textId="77777777" w:rsidR="00DA6248" w:rsidRDefault="00000000">
            <w:r>
              <w:rPr>
                <w:b/>
                <w:bCs/>
              </w:rPr>
              <w:t>Módulo</w:t>
            </w:r>
          </w:p>
        </w:tc>
        <w:tc>
          <w:tcPr>
            <w:tcW w:w="1584" w:type="dxa"/>
            <w:tcBorders>
              <w:top w:val="single" w:sz="4" w:space="0" w:color="auto"/>
              <w:bottom w:val="single" w:sz="4" w:space="0" w:color="auto"/>
            </w:tcBorders>
          </w:tcPr>
          <w:p w14:paraId="4EF57D7E" w14:textId="77777777" w:rsidR="00DA6248" w:rsidRDefault="00000000">
            <w:pPr>
              <w:jc w:val="left"/>
            </w:pPr>
            <w:r>
              <w:rPr>
                <w:b/>
                <w:bCs/>
              </w:rPr>
              <w:t>Algoritmos Principais</w:t>
            </w:r>
          </w:p>
        </w:tc>
        <w:tc>
          <w:tcPr>
            <w:tcW w:w="1584" w:type="dxa"/>
            <w:tcBorders>
              <w:top w:val="single" w:sz="4" w:space="0" w:color="auto"/>
              <w:bottom w:val="single" w:sz="4" w:space="0" w:color="auto"/>
            </w:tcBorders>
          </w:tcPr>
          <w:p w14:paraId="4EF57D7F" w14:textId="77777777" w:rsidR="00DA6248" w:rsidRDefault="00000000">
            <w:pPr>
              <w:jc w:val="left"/>
            </w:pPr>
            <w:r>
              <w:rPr>
                <w:b/>
                <w:bCs/>
              </w:rPr>
              <w:t>Técnicas Analíticas</w:t>
            </w:r>
          </w:p>
        </w:tc>
        <w:tc>
          <w:tcPr>
            <w:tcW w:w="1584" w:type="dxa"/>
            <w:tcBorders>
              <w:top w:val="single" w:sz="4" w:space="0" w:color="auto"/>
              <w:bottom w:val="single" w:sz="4" w:space="0" w:color="auto"/>
            </w:tcBorders>
          </w:tcPr>
          <w:p w14:paraId="4EF57D80" w14:textId="77777777" w:rsidR="00DA6248" w:rsidRDefault="00000000">
            <w:pPr>
              <w:jc w:val="left"/>
            </w:pPr>
            <w:r>
              <w:rPr>
                <w:b/>
                <w:bCs/>
              </w:rPr>
              <w:t>Produtos</w:t>
            </w:r>
          </w:p>
        </w:tc>
        <w:tc>
          <w:tcPr>
            <w:tcW w:w="1584" w:type="dxa"/>
            <w:tcBorders>
              <w:top w:val="single" w:sz="4" w:space="0" w:color="auto"/>
              <w:bottom w:val="single" w:sz="4" w:space="0" w:color="auto"/>
            </w:tcBorders>
          </w:tcPr>
          <w:p w14:paraId="4EF57D81" w14:textId="77777777" w:rsidR="00DA6248" w:rsidRDefault="00000000">
            <w:pPr>
              <w:jc w:val="left"/>
            </w:pPr>
            <w:r>
              <w:rPr>
                <w:b/>
                <w:bCs/>
              </w:rPr>
              <w:t>Região Predominante</w:t>
            </w:r>
          </w:p>
        </w:tc>
      </w:tr>
      <w:tr w:rsidR="00DA6248" w14:paraId="4EF57D88" w14:textId="77777777" w:rsidTr="001C1606">
        <w:tc>
          <w:tcPr>
            <w:tcW w:w="1584" w:type="dxa"/>
            <w:tcBorders>
              <w:top w:val="single" w:sz="4" w:space="0" w:color="auto"/>
            </w:tcBorders>
          </w:tcPr>
          <w:p w14:paraId="4EF57D83" w14:textId="77777777" w:rsidR="00DA6248" w:rsidRDefault="00000000">
            <w:r>
              <w:rPr>
                <w:b/>
                <w:bCs/>
              </w:rPr>
              <w:t>M1</w:t>
            </w:r>
          </w:p>
        </w:tc>
        <w:tc>
          <w:tcPr>
            <w:tcW w:w="1584" w:type="dxa"/>
            <w:tcBorders>
              <w:top w:val="single" w:sz="4" w:space="0" w:color="auto"/>
            </w:tcBorders>
          </w:tcPr>
          <w:p w14:paraId="4EF57D84" w14:textId="77777777" w:rsidR="00DA6248" w:rsidRPr="008B7A1F" w:rsidRDefault="00000000">
            <w:pPr>
              <w:jc w:val="left"/>
              <w:rPr>
                <w:lang w:val="en-US"/>
              </w:rPr>
            </w:pPr>
            <w:r w:rsidRPr="008B7A1F">
              <w:rPr>
                <w:lang w:val="en-US"/>
              </w:rPr>
              <w:t>Random Forest, Decision Tree, Gradient Boosting</w:t>
            </w:r>
          </w:p>
        </w:tc>
        <w:tc>
          <w:tcPr>
            <w:tcW w:w="1584" w:type="dxa"/>
            <w:tcBorders>
              <w:top w:val="single" w:sz="4" w:space="0" w:color="auto"/>
            </w:tcBorders>
          </w:tcPr>
          <w:p w14:paraId="4EF57D85" w14:textId="77777777" w:rsidR="00DA6248" w:rsidRDefault="00000000">
            <w:pPr>
              <w:jc w:val="left"/>
            </w:pPr>
            <w:r>
              <w:t xml:space="preserve">Espectroscopia (NIR), </w:t>
            </w:r>
            <w:proofErr w:type="spellStart"/>
            <w:r>
              <w:t>Quimiometria</w:t>
            </w:r>
            <w:proofErr w:type="spellEnd"/>
          </w:p>
        </w:tc>
        <w:tc>
          <w:tcPr>
            <w:tcW w:w="1584" w:type="dxa"/>
            <w:tcBorders>
              <w:top w:val="single" w:sz="4" w:space="0" w:color="auto"/>
            </w:tcBorders>
          </w:tcPr>
          <w:p w14:paraId="4EF57D86" w14:textId="77777777" w:rsidR="00DA6248" w:rsidRDefault="00000000">
            <w:pPr>
              <w:jc w:val="left"/>
            </w:pPr>
            <w:r>
              <w:t>Vinho, Mel</w:t>
            </w:r>
          </w:p>
        </w:tc>
        <w:tc>
          <w:tcPr>
            <w:tcW w:w="1584" w:type="dxa"/>
            <w:tcBorders>
              <w:top w:val="single" w:sz="4" w:space="0" w:color="auto"/>
            </w:tcBorders>
          </w:tcPr>
          <w:p w14:paraId="4EF57D87" w14:textId="77777777" w:rsidR="00DA6248" w:rsidRDefault="00000000">
            <w:pPr>
              <w:jc w:val="left"/>
            </w:pPr>
            <w:r>
              <w:t>África, Europa</w:t>
            </w:r>
          </w:p>
        </w:tc>
      </w:tr>
      <w:tr w:rsidR="00DA6248" w14:paraId="4EF57D8E" w14:textId="77777777">
        <w:tc>
          <w:tcPr>
            <w:tcW w:w="1584" w:type="dxa"/>
          </w:tcPr>
          <w:p w14:paraId="4EF57D89" w14:textId="77777777" w:rsidR="00DA6248" w:rsidRDefault="00000000">
            <w:r>
              <w:rPr>
                <w:b/>
                <w:bCs/>
              </w:rPr>
              <w:t>M2</w:t>
            </w:r>
          </w:p>
        </w:tc>
        <w:tc>
          <w:tcPr>
            <w:tcW w:w="1584" w:type="dxa"/>
          </w:tcPr>
          <w:p w14:paraId="4EF57D8A" w14:textId="77777777" w:rsidR="00DA6248" w:rsidRDefault="00000000">
            <w:pPr>
              <w:jc w:val="left"/>
            </w:pPr>
            <w:r>
              <w:t>SVM, KNN</w:t>
            </w:r>
          </w:p>
        </w:tc>
        <w:tc>
          <w:tcPr>
            <w:tcW w:w="1584" w:type="dxa"/>
          </w:tcPr>
          <w:p w14:paraId="4EF57D8B" w14:textId="77777777" w:rsidR="00DA6248" w:rsidRDefault="00000000">
            <w:pPr>
              <w:jc w:val="left"/>
            </w:pPr>
            <w:r>
              <w:t>Cromatografia (GC-MS, LC-MS, HPLC)</w:t>
            </w:r>
          </w:p>
        </w:tc>
        <w:tc>
          <w:tcPr>
            <w:tcW w:w="1584" w:type="dxa"/>
          </w:tcPr>
          <w:p w14:paraId="4EF57D8C" w14:textId="77777777" w:rsidR="00DA6248" w:rsidRDefault="00000000">
            <w:pPr>
              <w:jc w:val="left"/>
            </w:pPr>
            <w:r>
              <w:t>Carnes, Produtos Regionais</w:t>
            </w:r>
          </w:p>
        </w:tc>
        <w:tc>
          <w:tcPr>
            <w:tcW w:w="1584" w:type="dxa"/>
          </w:tcPr>
          <w:p w14:paraId="4EF57D8D" w14:textId="77777777" w:rsidR="00DA6248" w:rsidRDefault="00000000">
            <w:pPr>
              <w:jc w:val="left"/>
            </w:pPr>
            <w:r>
              <w:t>Ásia</w:t>
            </w:r>
          </w:p>
        </w:tc>
      </w:tr>
      <w:tr w:rsidR="00DA6248" w14:paraId="4EF57D94" w14:textId="77777777">
        <w:tc>
          <w:tcPr>
            <w:tcW w:w="1584" w:type="dxa"/>
          </w:tcPr>
          <w:p w14:paraId="4EF57D8F" w14:textId="77777777" w:rsidR="00DA6248" w:rsidRDefault="00000000">
            <w:r>
              <w:rPr>
                <w:b/>
                <w:bCs/>
              </w:rPr>
              <w:t>M3</w:t>
            </w:r>
          </w:p>
        </w:tc>
        <w:tc>
          <w:tcPr>
            <w:tcW w:w="1584" w:type="dxa"/>
          </w:tcPr>
          <w:p w14:paraId="4EF57D90" w14:textId="77777777" w:rsidR="00DA6248" w:rsidRPr="008B7A1F" w:rsidRDefault="00000000">
            <w:pPr>
              <w:jc w:val="left"/>
              <w:rPr>
                <w:lang w:val="en-US"/>
              </w:rPr>
            </w:pPr>
            <w:r w:rsidRPr="008B7A1F">
              <w:rPr>
                <w:lang w:val="en-US"/>
              </w:rPr>
              <w:t>Neural Networks, CNN, Deep Learning</w:t>
            </w:r>
          </w:p>
        </w:tc>
        <w:tc>
          <w:tcPr>
            <w:tcW w:w="1584" w:type="dxa"/>
          </w:tcPr>
          <w:p w14:paraId="4EF57D91" w14:textId="77777777" w:rsidR="00DA6248" w:rsidRDefault="00000000">
            <w:pPr>
              <w:jc w:val="left"/>
            </w:pPr>
            <w:r>
              <w:t>Espectroscopia (NIR, FTIR), Sensores (e-nose)</w:t>
            </w:r>
          </w:p>
        </w:tc>
        <w:tc>
          <w:tcPr>
            <w:tcW w:w="1584" w:type="dxa"/>
          </w:tcPr>
          <w:p w14:paraId="4EF57D92" w14:textId="77777777" w:rsidR="00DA6248" w:rsidRDefault="00000000">
            <w:pPr>
              <w:jc w:val="left"/>
            </w:pPr>
            <w:r>
              <w:t>Azeite, Queijo, Chá</w:t>
            </w:r>
          </w:p>
        </w:tc>
        <w:tc>
          <w:tcPr>
            <w:tcW w:w="1584" w:type="dxa"/>
          </w:tcPr>
          <w:p w14:paraId="4EF57D93" w14:textId="77777777" w:rsidR="00DA6248" w:rsidRDefault="00000000">
            <w:pPr>
              <w:jc w:val="left"/>
            </w:pPr>
            <w:r>
              <w:t>Europa, Ásia</w:t>
            </w:r>
          </w:p>
        </w:tc>
      </w:tr>
    </w:tbl>
    <w:p w14:paraId="4EF57D95" w14:textId="77777777" w:rsidR="00DA6248" w:rsidRDefault="00000000">
      <w:pPr>
        <w:pStyle w:val="Corpodetexto"/>
      </w:pPr>
      <w:r>
        <w:rPr>
          <w:i/>
          <w:iCs/>
        </w:rPr>
        <w:t>Fonte: Três principais módulos tecnológicos identificados pela análise de comunidade Louvain aplicada à rede de coocorrência entre algoritmos, técnicas analíticas e produtos com indicação geográfica. A densidade interna de cada módulo indica a força das conexões entre seus componentes.</w:t>
      </w:r>
    </w:p>
    <w:p w14:paraId="4EF57D96" w14:textId="77777777" w:rsidR="00DA6248" w:rsidRDefault="00000000">
      <w:pPr>
        <w:pStyle w:val="Ttulo3"/>
      </w:pPr>
      <w:bookmarkStart w:id="148" w:name="X896f28d212a8af337befb80a762357435000d70"/>
      <w:r>
        <w:t>Tabela A.4: Famílias Tecnológicas Identificadas pela Análise de Cluster</w:t>
      </w:r>
    </w:p>
    <w:tbl>
      <w:tblPr>
        <w:tblStyle w:val="Table"/>
        <w:tblW w:w="5000" w:type="pct"/>
        <w:tblLayout w:type="fixed"/>
        <w:tblLook w:val="0020" w:firstRow="1" w:lastRow="0" w:firstColumn="0" w:lastColumn="0" w:noHBand="0" w:noVBand="0"/>
      </w:tblPr>
      <w:tblGrid>
        <w:gridCol w:w="1473"/>
        <w:gridCol w:w="1473"/>
        <w:gridCol w:w="1473"/>
        <w:gridCol w:w="1473"/>
        <w:gridCol w:w="1473"/>
        <w:gridCol w:w="1473"/>
      </w:tblGrid>
      <w:tr w:rsidR="00DA6248" w14:paraId="4EF57D9D" w14:textId="77777777" w:rsidTr="001C1606">
        <w:trPr>
          <w:tblHeader/>
        </w:trPr>
        <w:tc>
          <w:tcPr>
            <w:tcW w:w="1320" w:type="dxa"/>
            <w:tcBorders>
              <w:top w:val="single" w:sz="4" w:space="0" w:color="auto"/>
              <w:bottom w:val="single" w:sz="4" w:space="0" w:color="auto"/>
            </w:tcBorders>
          </w:tcPr>
          <w:p w14:paraId="4EF57D97" w14:textId="77777777" w:rsidR="00DA6248" w:rsidRDefault="00000000">
            <w:r>
              <w:rPr>
                <w:b/>
                <w:bCs/>
              </w:rPr>
              <w:t>Cluster</w:t>
            </w:r>
          </w:p>
        </w:tc>
        <w:tc>
          <w:tcPr>
            <w:tcW w:w="1320" w:type="dxa"/>
            <w:tcBorders>
              <w:top w:val="single" w:sz="4" w:space="0" w:color="auto"/>
              <w:bottom w:val="single" w:sz="4" w:space="0" w:color="auto"/>
            </w:tcBorders>
          </w:tcPr>
          <w:p w14:paraId="4EF57D98" w14:textId="77777777" w:rsidR="00DA6248" w:rsidRDefault="00000000">
            <w:r>
              <w:rPr>
                <w:b/>
                <w:bCs/>
              </w:rPr>
              <w:t>Produto Principal</w:t>
            </w:r>
          </w:p>
        </w:tc>
        <w:tc>
          <w:tcPr>
            <w:tcW w:w="1320" w:type="dxa"/>
            <w:tcBorders>
              <w:top w:val="single" w:sz="4" w:space="0" w:color="auto"/>
              <w:bottom w:val="single" w:sz="4" w:space="0" w:color="auto"/>
            </w:tcBorders>
          </w:tcPr>
          <w:p w14:paraId="4EF57D99" w14:textId="77777777" w:rsidR="00DA6248" w:rsidRDefault="00000000">
            <w:r>
              <w:rPr>
                <w:b/>
                <w:bCs/>
              </w:rPr>
              <w:t>Técnica Analítica</w:t>
            </w:r>
          </w:p>
        </w:tc>
        <w:tc>
          <w:tcPr>
            <w:tcW w:w="1320" w:type="dxa"/>
            <w:tcBorders>
              <w:top w:val="single" w:sz="4" w:space="0" w:color="auto"/>
              <w:bottom w:val="single" w:sz="4" w:space="0" w:color="auto"/>
            </w:tcBorders>
          </w:tcPr>
          <w:p w14:paraId="4EF57D9A" w14:textId="77777777" w:rsidR="00DA6248" w:rsidRDefault="00000000">
            <w:r>
              <w:rPr>
                <w:b/>
                <w:bCs/>
              </w:rPr>
              <w:t>Algoritmo ML</w:t>
            </w:r>
          </w:p>
        </w:tc>
        <w:tc>
          <w:tcPr>
            <w:tcW w:w="1320" w:type="dxa"/>
            <w:tcBorders>
              <w:top w:val="single" w:sz="4" w:space="0" w:color="auto"/>
              <w:bottom w:val="single" w:sz="4" w:space="0" w:color="auto"/>
            </w:tcBorders>
          </w:tcPr>
          <w:p w14:paraId="4EF57D9B" w14:textId="77777777" w:rsidR="00DA6248" w:rsidRDefault="00000000">
            <w:r>
              <w:rPr>
                <w:b/>
                <w:bCs/>
              </w:rPr>
              <w:t>Aplicação</w:t>
            </w:r>
          </w:p>
        </w:tc>
        <w:tc>
          <w:tcPr>
            <w:tcW w:w="1320" w:type="dxa"/>
            <w:tcBorders>
              <w:top w:val="single" w:sz="4" w:space="0" w:color="auto"/>
              <w:bottom w:val="single" w:sz="4" w:space="0" w:color="auto"/>
            </w:tcBorders>
          </w:tcPr>
          <w:p w14:paraId="4EF57D9C" w14:textId="77777777" w:rsidR="00DA6248" w:rsidRDefault="00000000">
            <w:r>
              <w:rPr>
                <w:b/>
                <w:bCs/>
              </w:rPr>
              <w:t>Região Predominante</w:t>
            </w:r>
          </w:p>
        </w:tc>
      </w:tr>
      <w:tr w:rsidR="00DA6248" w14:paraId="4EF57DA4" w14:textId="77777777" w:rsidTr="001C1606">
        <w:tc>
          <w:tcPr>
            <w:tcW w:w="1320" w:type="dxa"/>
            <w:tcBorders>
              <w:top w:val="single" w:sz="4" w:space="0" w:color="auto"/>
            </w:tcBorders>
          </w:tcPr>
          <w:p w14:paraId="4EF57D9E" w14:textId="77777777" w:rsidR="00DA6248" w:rsidRDefault="00000000">
            <w:r>
              <w:t>1</w:t>
            </w:r>
          </w:p>
        </w:tc>
        <w:tc>
          <w:tcPr>
            <w:tcW w:w="1320" w:type="dxa"/>
            <w:tcBorders>
              <w:top w:val="single" w:sz="4" w:space="0" w:color="auto"/>
            </w:tcBorders>
          </w:tcPr>
          <w:p w14:paraId="4EF57D9F" w14:textId="77777777" w:rsidR="00DA6248" w:rsidRDefault="00000000">
            <w:r>
              <w:t>Mel</w:t>
            </w:r>
          </w:p>
        </w:tc>
        <w:tc>
          <w:tcPr>
            <w:tcW w:w="1320" w:type="dxa"/>
            <w:tcBorders>
              <w:top w:val="single" w:sz="4" w:space="0" w:color="auto"/>
            </w:tcBorders>
          </w:tcPr>
          <w:p w14:paraId="4EF57DA0" w14:textId="77777777" w:rsidR="00DA6248" w:rsidRDefault="00000000">
            <w:r>
              <w:t>Espectroscopia NIR</w:t>
            </w:r>
          </w:p>
        </w:tc>
        <w:tc>
          <w:tcPr>
            <w:tcW w:w="1320" w:type="dxa"/>
            <w:tcBorders>
              <w:top w:val="single" w:sz="4" w:space="0" w:color="auto"/>
            </w:tcBorders>
          </w:tcPr>
          <w:p w14:paraId="4EF57DA1" w14:textId="77777777" w:rsidR="00DA6248" w:rsidRDefault="00000000">
            <w:r>
              <w:t>SVM, KNN</w:t>
            </w:r>
          </w:p>
        </w:tc>
        <w:tc>
          <w:tcPr>
            <w:tcW w:w="1320" w:type="dxa"/>
            <w:tcBorders>
              <w:top w:val="single" w:sz="4" w:space="0" w:color="auto"/>
            </w:tcBorders>
          </w:tcPr>
          <w:p w14:paraId="4EF57DA2" w14:textId="77777777" w:rsidR="00DA6248" w:rsidRDefault="00000000">
            <w:r>
              <w:t>Autenticação e detecção de fraude</w:t>
            </w:r>
          </w:p>
        </w:tc>
        <w:tc>
          <w:tcPr>
            <w:tcW w:w="1320" w:type="dxa"/>
            <w:tcBorders>
              <w:top w:val="single" w:sz="4" w:space="0" w:color="auto"/>
            </w:tcBorders>
          </w:tcPr>
          <w:p w14:paraId="4EF57DA3" w14:textId="77777777" w:rsidR="00DA6248" w:rsidRDefault="00000000">
            <w:r>
              <w:t>Ásia</w:t>
            </w:r>
          </w:p>
        </w:tc>
      </w:tr>
      <w:tr w:rsidR="00DA6248" w14:paraId="4EF57DAB" w14:textId="77777777">
        <w:tc>
          <w:tcPr>
            <w:tcW w:w="1320" w:type="dxa"/>
          </w:tcPr>
          <w:p w14:paraId="4EF57DA5" w14:textId="77777777" w:rsidR="00DA6248" w:rsidRDefault="00000000">
            <w:r>
              <w:t>2</w:t>
            </w:r>
          </w:p>
        </w:tc>
        <w:tc>
          <w:tcPr>
            <w:tcW w:w="1320" w:type="dxa"/>
          </w:tcPr>
          <w:p w14:paraId="4EF57DA6" w14:textId="77777777" w:rsidR="00DA6248" w:rsidRDefault="00000000">
            <w:r>
              <w:t>Queijo</w:t>
            </w:r>
          </w:p>
        </w:tc>
        <w:tc>
          <w:tcPr>
            <w:tcW w:w="1320" w:type="dxa"/>
          </w:tcPr>
          <w:p w14:paraId="4EF57DA7" w14:textId="77777777" w:rsidR="00DA6248" w:rsidRDefault="00000000">
            <w:r>
              <w:t>Espectroscopia NIR</w:t>
            </w:r>
          </w:p>
        </w:tc>
        <w:tc>
          <w:tcPr>
            <w:tcW w:w="1320" w:type="dxa"/>
          </w:tcPr>
          <w:p w14:paraId="4EF57DA8" w14:textId="77777777" w:rsidR="00DA6248" w:rsidRDefault="00000000">
            <w:r>
              <w:t>Redes Neurais</w:t>
            </w:r>
          </w:p>
        </w:tc>
        <w:tc>
          <w:tcPr>
            <w:tcW w:w="1320" w:type="dxa"/>
          </w:tcPr>
          <w:p w14:paraId="4EF57DA9" w14:textId="77777777" w:rsidR="00DA6248" w:rsidRDefault="00000000">
            <w:r>
              <w:t>Discriminação de origem</w:t>
            </w:r>
          </w:p>
        </w:tc>
        <w:tc>
          <w:tcPr>
            <w:tcW w:w="1320" w:type="dxa"/>
          </w:tcPr>
          <w:p w14:paraId="4EF57DAA" w14:textId="77777777" w:rsidR="00DA6248" w:rsidRDefault="00000000">
            <w:r>
              <w:t>Europa</w:t>
            </w:r>
          </w:p>
        </w:tc>
      </w:tr>
      <w:tr w:rsidR="00DA6248" w14:paraId="4EF57DB2" w14:textId="77777777">
        <w:tc>
          <w:tcPr>
            <w:tcW w:w="1320" w:type="dxa"/>
          </w:tcPr>
          <w:p w14:paraId="4EF57DAC" w14:textId="77777777" w:rsidR="00DA6248" w:rsidRDefault="00000000">
            <w:r>
              <w:t>3</w:t>
            </w:r>
          </w:p>
        </w:tc>
        <w:tc>
          <w:tcPr>
            <w:tcW w:w="1320" w:type="dxa"/>
          </w:tcPr>
          <w:p w14:paraId="4EF57DAD" w14:textId="77777777" w:rsidR="00DA6248" w:rsidRDefault="00000000">
            <w:r>
              <w:t>Mel, Carnes</w:t>
            </w:r>
          </w:p>
        </w:tc>
        <w:tc>
          <w:tcPr>
            <w:tcW w:w="1320" w:type="dxa"/>
          </w:tcPr>
          <w:p w14:paraId="4EF57DAE" w14:textId="77777777" w:rsidR="00DA6248" w:rsidRDefault="00000000">
            <w:r>
              <w:t>LC-MS, GC-MS</w:t>
            </w:r>
          </w:p>
        </w:tc>
        <w:tc>
          <w:tcPr>
            <w:tcW w:w="1320" w:type="dxa"/>
          </w:tcPr>
          <w:p w14:paraId="4EF57DAF" w14:textId="77777777" w:rsidR="00DA6248" w:rsidRDefault="00000000">
            <w:r>
              <w:t>SVM, Random Forest, Árvores de Decisão</w:t>
            </w:r>
          </w:p>
        </w:tc>
        <w:tc>
          <w:tcPr>
            <w:tcW w:w="1320" w:type="dxa"/>
          </w:tcPr>
          <w:p w14:paraId="4EF57DB0" w14:textId="77777777" w:rsidR="00DA6248" w:rsidRDefault="00000000">
            <w:r>
              <w:t>Autenticação e rastreabilidade</w:t>
            </w:r>
          </w:p>
        </w:tc>
        <w:tc>
          <w:tcPr>
            <w:tcW w:w="1320" w:type="dxa"/>
          </w:tcPr>
          <w:p w14:paraId="4EF57DB1" w14:textId="77777777" w:rsidR="00DA6248" w:rsidRDefault="00000000">
            <w:r>
              <w:t>Ásia, Europa</w:t>
            </w:r>
          </w:p>
        </w:tc>
      </w:tr>
    </w:tbl>
    <w:p w14:paraId="4EF57DB3" w14:textId="77777777" w:rsidR="00DA6248" w:rsidRDefault="00000000">
      <w:pPr>
        <w:pStyle w:val="Corpodetexto"/>
      </w:pPr>
      <w:r>
        <w:rPr>
          <w:i/>
          <w:iCs/>
        </w:rPr>
        <w:lastRenderedPageBreak/>
        <w:t>Fonte: Dez clusters identificados pela análise de cluster (k-means e hierárquica) baseada em produto, instrumento analítico, algoritmo e tipo de aplicação. Apenas os três clusters mais notáveis são detalhados aqui.</w:t>
      </w:r>
      <w:bookmarkEnd w:id="24"/>
      <w:bookmarkEnd w:id="147"/>
      <w:bookmarkEnd w:id="148"/>
    </w:p>
    <w:sectPr w:rsidR="00DA6248">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40502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C64BD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95679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61251D"/>
    <w:multiLevelType w:val="multilevel"/>
    <w:tmpl w:val="271A5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B41EA3"/>
    <w:multiLevelType w:val="hybridMultilevel"/>
    <w:tmpl w:val="33607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716098F"/>
    <w:multiLevelType w:val="hybridMultilevel"/>
    <w:tmpl w:val="CFA8D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A836239"/>
    <w:multiLevelType w:val="multilevel"/>
    <w:tmpl w:val="8CC4BF00"/>
    <w:lvl w:ilvl="0">
      <w:start w:val="1"/>
      <w:numFmt w:val="decimal"/>
      <w:lvlText w:val="%1."/>
      <w:lvlJc w:val="left"/>
      <w:pPr>
        <w:ind w:left="720" w:hanging="360"/>
      </w:pPr>
      <w:rPr>
        <w:rFonts w:hint="default"/>
        <w:b/>
        <w:bCs/>
        <w:color w:val="auto"/>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DC3AB5"/>
    <w:multiLevelType w:val="multilevel"/>
    <w:tmpl w:val="BF70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9D0710"/>
    <w:multiLevelType w:val="multilevel"/>
    <w:tmpl w:val="2C3C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358F0"/>
    <w:multiLevelType w:val="multilevel"/>
    <w:tmpl w:val="738A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0D210E"/>
    <w:multiLevelType w:val="multilevel"/>
    <w:tmpl w:val="BA6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C6621"/>
    <w:multiLevelType w:val="hybridMultilevel"/>
    <w:tmpl w:val="AEC2E3E6"/>
    <w:lvl w:ilvl="0" w:tplc="0416000F">
      <w:start w:val="1"/>
      <w:numFmt w:val="decimal"/>
      <w:lvlText w:val="%1."/>
      <w:lvlJc w:val="left"/>
      <w:pPr>
        <w:ind w:left="1077" w:hanging="360"/>
      </w:pPr>
    </w:lvl>
    <w:lvl w:ilvl="1" w:tplc="04160019" w:tentative="1">
      <w:start w:val="1"/>
      <w:numFmt w:val="lowerLetter"/>
      <w:lvlText w:val="%2."/>
      <w:lvlJc w:val="left"/>
      <w:pPr>
        <w:ind w:left="1797" w:hanging="360"/>
      </w:pPr>
    </w:lvl>
    <w:lvl w:ilvl="2" w:tplc="0416001B" w:tentative="1">
      <w:start w:val="1"/>
      <w:numFmt w:val="lowerRoman"/>
      <w:lvlText w:val="%3."/>
      <w:lvlJc w:val="right"/>
      <w:pPr>
        <w:ind w:left="2517" w:hanging="180"/>
      </w:pPr>
    </w:lvl>
    <w:lvl w:ilvl="3" w:tplc="0416000F" w:tentative="1">
      <w:start w:val="1"/>
      <w:numFmt w:val="decimal"/>
      <w:lvlText w:val="%4."/>
      <w:lvlJc w:val="left"/>
      <w:pPr>
        <w:ind w:left="3237" w:hanging="360"/>
      </w:pPr>
    </w:lvl>
    <w:lvl w:ilvl="4" w:tplc="04160019" w:tentative="1">
      <w:start w:val="1"/>
      <w:numFmt w:val="lowerLetter"/>
      <w:lvlText w:val="%5."/>
      <w:lvlJc w:val="left"/>
      <w:pPr>
        <w:ind w:left="3957" w:hanging="360"/>
      </w:pPr>
    </w:lvl>
    <w:lvl w:ilvl="5" w:tplc="0416001B" w:tentative="1">
      <w:start w:val="1"/>
      <w:numFmt w:val="lowerRoman"/>
      <w:lvlText w:val="%6."/>
      <w:lvlJc w:val="right"/>
      <w:pPr>
        <w:ind w:left="4677" w:hanging="180"/>
      </w:pPr>
    </w:lvl>
    <w:lvl w:ilvl="6" w:tplc="0416000F" w:tentative="1">
      <w:start w:val="1"/>
      <w:numFmt w:val="decimal"/>
      <w:lvlText w:val="%7."/>
      <w:lvlJc w:val="left"/>
      <w:pPr>
        <w:ind w:left="5397" w:hanging="360"/>
      </w:pPr>
    </w:lvl>
    <w:lvl w:ilvl="7" w:tplc="04160019" w:tentative="1">
      <w:start w:val="1"/>
      <w:numFmt w:val="lowerLetter"/>
      <w:lvlText w:val="%8."/>
      <w:lvlJc w:val="left"/>
      <w:pPr>
        <w:ind w:left="6117" w:hanging="360"/>
      </w:pPr>
    </w:lvl>
    <w:lvl w:ilvl="8" w:tplc="0416001B" w:tentative="1">
      <w:start w:val="1"/>
      <w:numFmt w:val="lowerRoman"/>
      <w:lvlText w:val="%9."/>
      <w:lvlJc w:val="right"/>
      <w:pPr>
        <w:ind w:left="6837" w:hanging="180"/>
      </w:pPr>
    </w:lvl>
  </w:abstractNum>
  <w:abstractNum w:abstractNumId="11" w15:restartNumberingAfterBreak="0">
    <w:nsid w:val="2CE33930"/>
    <w:multiLevelType w:val="multilevel"/>
    <w:tmpl w:val="2C3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1761B7"/>
    <w:multiLevelType w:val="multilevel"/>
    <w:tmpl w:val="E954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96EA2"/>
    <w:multiLevelType w:val="multilevel"/>
    <w:tmpl w:val="313C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F3EEF"/>
    <w:multiLevelType w:val="hybridMultilevel"/>
    <w:tmpl w:val="29FAC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6F152FF"/>
    <w:multiLevelType w:val="multilevel"/>
    <w:tmpl w:val="A418D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17C1B"/>
    <w:multiLevelType w:val="multilevel"/>
    <w:tmpl w:val="B85E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350F0B"/>
    <w:multiLevelType w:val="multilevel"/>
    <w:tmpl w:val="B59E1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F761B9"/>
    <w:multiLevelType w:val="multilevel"/>
    <w:tmpl w:val="5E6E35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CE58D8"/>
    <w:multiLevelType w:val="hybridMultilevel"/>
    <w:tmpl w:val="485419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9D92F72"/>
    <w:multiLevelType w:val="hybridMultilevel"/>
    <w:tmpl w:val="E0EEC4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AE1769F"/>
    <w:multiLevelType w:val="multilevel"/>
    <w:tmpl w:val="2C10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6E1736"/>
    <w:multiLevelType w:val="hybridMultilevel"/>
    <w:tmpl w:val="51AC9A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6E91A94"/>
    <w:multiLevelType w:val="hybridMultilevel"/>
    <w:tmpl w:val="EA58BA2C"/>
    <w:lvl w:ilvl="0" w:tplc="8FE48D2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num w:numId="1" w16cid:durableId="1804808090">
    <w:abstractNumId w:val="19"/>
  </w:num>
  <w:num w:numId="2" w16cid:durableId="1316641717">
    <w:abstractNumId w:val="22"/>
  </w:num>
  <w:num w:numId="3" w16cid:durableId="1274752609">
    <w:abstractNumId w:val="3"/>
  </w:num>
  <w:num w:numId="4" w16cid:durableId="1142624806">
    <w:abstractNumId w:val="13"/>
  </w:num>
  <w:num w:numId="5" w16cid:durableId="984821539">
    <w:abstractNumId w:val="4"/>
  </w:num>
  <w:num w:numId="6" w16cid:durableId="1315337769">
    <w:abstractNumId w:val="21"/>
  </w:num>
  <w:num w:numId="7" w16cid:durableId="170678665">
    <w:abstractNumId w:val="2"/>
  </w:num>
  <w:num w:numId="8" w16cid:durableId="2042586461">
    <w:abstractNumId w:val="12"/>
  </w:num>
  <w:num w:numId="9" w16cid:durableId="511146687">
    <w:abstractNumId w:val="11"/>
  </w:num>
  <w:num w:numId="10" w16cid:durableId="604727274">
    <w:abstractNumId w:val="18"/>
  </w:num>
  <w:num w:numId="11" w16cid:durableId="692074996">
    <w:abstractNumId w:val="9"/>
  </w:num>
  <w:num w:numId="12" w16cid:durableId="1202208730">
    <w:abstractNumId w:val="14"/>
  </w:num>
  <w:num w:numId="13" w16cid:durableId="1669862986">
    <w:abstractNumId w:val="20"/>
  </w:num>
  <w:num w:numId="14" w16cid:durableId="1000931449">
    <w:abstractNumId w:val="23"/>
  </w:num>
  <w:num w:numId="15" w16cid:durableId="274218917">
    <w:abstractNumId w:val="16"/>
  </w:num>
  <w:num w:numId="16" w16cid:durableId="445124364">
    <w:abstractNumId w:val="15"/>
  </w:num>
  <w:num w:numId="17" w16cid:durableId="685134783">
    <w:abstractNumId w:val="5"/>
  </w:num>
  <w:num w:numId="18" w16cid:durableId="306470888">
    <w:abstractNumId w:val="10"/>
  </w:num>
  <w:num w:numId="19" w16cid:durableId="258373208">
    <w:abstractNumId w:val="7"/>
  </w:num>
  <w:num w:numId="20" w16cid:durableId="701828610">
    <w:abstractNumId w:val="17"/>
  </w:num>
  <w:num w:numId="21" w16cid:durableId="2143182229">
    <w:abstractNumId w:val="8"/>
  </w:num>
  <w:num w:numId="22" w16cid:durableId="589973191">
    <w:abstractNumId w:val="6"/>
  </w:num>
  <w:num w:numId="23" w16cid:durableId="1462189685">
    <w:abstractNumId w:val="0"/>
  </w:num>
  <w:num w:numId="24" w16cid:durableId="407851781">
    <w:abstractNumId w:val="0"/>
  </w:num>
  <w:num w:numId="25" w16cid:durableId="780221685">
    <w:abstractNumId w:val="1"/>
  </w:num>
  <w:num w:numId="26" w16cid:durableId="373694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3739B"/>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1606"/>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2FA"/>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051C"/>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3B29"/>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B7A1F"/>
    <w:rsid w:val="008C2176"/>
    <w:rsid w:val="008C3700"/>
    <w:rsid w:val="008C4B4F"/>
    <w:rsid w:val="008C668E"/>
    <w:rsid w:val="008C6855"/>
    <w:rsid w:val="008C6EC5"/>
    <w:rsid w:val="008C742A"/>
    <w:rsid w:val="008C7D4E"/>
    <w:rsid w:val="008C7F4B"/>
    <w:rsid w:val="008D0332"/>
    <w:rsid w:val="008D0823"/>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445"/>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248"/>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1C2C"/>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57C41"/>
  <w15:docId w15:val="{8D9EFC13-8604-4D18-B965-AFD1F6EDC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imes New Roman"/>
        <w:sz w:val="24"/>
        <w:szCs w:val="24"/>
        <w:lang w:val="pt-BR" w:eastAsia="en-US" w:bidi="ar-SA"/>
      </w:rPr>
    </w:rPrDefault>
    <w:pPrDefault>
      <w:pPr>
        <w:spacing w:after="120" w:line="276"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F2"/>
    <w:pPr>
      <w:spacing w:after="0"/>
    </w:pPr>
  </w:style>
  <w:style w:type="paragraph" w:styleId="Ttulo1">
    <w:name w:val="heading 1"/>
    <w:basedOn w:val="Normal"/>
    <w:next w:val="Normal"/>
    <w:link w:val="Ttulo1Char"/>
    <w:uiPriority w:val="9"/>
    <w:qFormat/>
    <w:rsid w:val="00047C24"/>
    <w:pPr>
      <w:keepNext/>
      <w:spacing w:before="120"/>
      <w:ind w:firstLine="0"/>
      <w:outlineLvl w:val="0"/>
    </w:pPr>
    <w:rPr>
      <w:rFonts w:eastAsiaTheme="majorEastAsia" w:cstheme="majorBidi"/>
      <w:b/>
      <w:bCs/>
      <w:kern w:val="32"/>
      <w:szCs w:val="32"/>
    </w:rPr>
  </w:style>
  <w:style w:type="paragraph" w:styleId="Ttulo2">
    <w:name w:val="heading 2"/>
    <w:basedOn w:val="Normal"/>
    <w:next w:val="Normal"/>
    <w:link w:val="Ttulo2Char"/>
    <w:autoRedefine/>
    <w:uiPriority w:val="9"/>
    <w:unhideWhenUsed/>
    <w:qFormat/>
    <w:rsid w:val="007B3C9C"/>
    <w:pPr>
      <w:keepNext/>
      <w:spacing w:before="240" w:after="60"/>
      <w:ind w:firstLine="0"/>
      <w:outlineLvl w:val="1"/>
    </w:pPr>
    <w:rPr>
      <w:rFonts w:eastAsiaTheme="majorEastAsia" w:cstheme="majorBidi"/>
      <w:b/>
      <w:bCs/>
      <w:iCs/>
      <w:szCs w:val="28"/>
    </w:rPr>
  </w:style>
  <w:style w:type="paragraph" w:styleId="Ttulo3">
    <w:name w:val="heading 3"/>
    <w:basedOn w:val="Normal"/>
    <w:next w:val="Normal"/>
    <w:link w:val="Ttulo3Char"/>
    <w:uiPriority w:val="9"/>
    <w:semiHidden/>
    <w:unhideWhenUsed/>
    <w:qFormat/>
    <w:rsid w:val="00C14DB6"/>
    <w:pPr>
      <w:keepNext/>
      <w:spacing w:before="240" w:after="60"/>
      <w:outlineLvl w:val="2"/>
    </w:pPr>
    <w:rPr>
      <w:rFonts w:eastAsiaTheme="majorEastAsia" w:cstheme="majorBidi"/>
      <w:b/>
      <w:bCs/>
      <w:sz w:val="26"/>
      <w:szCs w:val="26"/>
    </w:rPr>
  </w:style>
  <w:style w:type="paragraph" w:styleId="Ttulo4">
    <w:name w:val="heading 4"/>
    <w:basedOn w:val="Normal"/>
    <w:next w:val="Normal"/>
    <w:link w:val="Ttulo4Char"/>
    <w:uiPriority w:val="9"/>
    <w:semiHidden/>
    <w:unhideWhenUsed/>
    <w:qFormat/>
    <w:rsid w:val="00C14DB6"/>
    <w:pPr>
      <w:keepNext/>
      <w:spacing w:before="240" w:after="60"/>
      <w:outlineLvl w:val="3"/>
    </w:pPr>
    <w:rPr>
      <w:rFonts w:cstheme="majorBidi"/>
      <w:b/>
      <w:bCs/>
      <w:sz w:val="28"/>
      <w:szCs w:val="28"/>
    </w:rPr>
  </w:style>
  <w:style w:type="paragraph" w:styleId="Ttulo5">
    <w:name w:val="heading 5"/>
    <w:basedOn w:val="Normal"/>
    <w:next w:val="Normal"/>
    <w:link w:val="Ttulo5Char"/>
    <w:uiPriority w:val="9"/>
    <w:semiHidden/>
    <w:unhideWhenUsed/>
    <w:qFormat/>
    <w:rsid w:val="00C14DB6"/>
    <w:pPr>
      <w:spacing w:before="240" w:after="60"/>
      <w:outlineLvl w:val="4"/>
    </w:pPr>
    <w:rPr>
      <w:rFonts w:cstheme="majorBidi"/>
      <w:b/>
      <w:bCs/>
      <w:i/>
      <w:iCs/>
      <w:sz w:val="26"/>
      <w:szCs w:val="26"/>
    </w:rPr>
  </w:style>
  <w:style w:type="paragraph" w:styleId="Ttulo6">
    <w:name w:val="heading 6"/>
    <w:basedOn w:val="Normal"/>
    <w:next w:val="Normal"/>
    <w:link w:val="Ttulo6Char"/>
    <w:uiPriority w:val="9"/>
    <w:semiHidden/>
    <w:unhideWhenUsed/>
    <w:qFormat/>
    <w:rsid w:val="00C14DB6"/>
    <w:pPr>
      <w:spacing w:before="240" w:after="60"/>
      <w:outlineLvl w:val="5"/>
    </w:pPr>
    <w:rPr>
      <w:rFonts w:cstheme="majorBidi"/>
      <w:b/>
      <w:bCs/>
      <w:sz w:val="22"/>
      <w:szCs w:val="22"/>
    </w:rPr>
  </w:style>
  <w:style w:type="paragraph" w:styleId="Ttulo7">
    <w:name w:val="heading 7"/>
    <w:basedOn w:val="Normal"/>
    <w:next w:val="Normal"/>
    <w:link w:val="Ttulo7Char"/>
    <w:uiPriority w:val="9"/>
    <w:semiHidden/>
    <w:unhideWhenUsed/>
    <w:qFormat/>
    <w:rsid w:val="00C14DB6"/>
    <w:pPr>
      <w:spacing w:before="240" w:after="60"/>
      <w:outlineLvl w:val="6"/>
    </w:pPr>
    <w:rPr>
      <w:rFonts w:cstheme="majorBidi"/>
    </w:rPr>
  </w:style>
  <w:style w:type="paragraph" w:styleId="Ttulo8">
    <w:name w:val="heading 8"/>
    <w:basedOn w:val="Normal"/>
    <w:next w:val="Normal"/>
    <w:link w:val="Ttulo8Char"/>
    <w:uiPriority w:val="9"/>
    <w:semiHidden/>
    <w:unhideWhenUsed/>
    <w:qFormat/>
    <w:rsid w:val="00C14DB6"/>
    <w:pPr>
      <w:spacing w:before="240" w:after="60"/>
      <w:outlineLvl w:val="7"/>
    </w:pPr>
    <w:rPr>
      <w:rFonts w:cstheme="majorBidi"/>
      <w:i/>
      <w:iCs/>
    </w:rPr>
  </w:style>
  <w:style w:type="paragraph" w:styleId="Ttulo9">
    <w:name w:val="heading 9"/>
    <w:basedOn w:val="Normal"/>
    <w:next w:val="Normal"/>
    <w:link w:val="Ttulo9Char"/>
    <w:uiPriority w:val="9"/>
    <w:semiHidden/>
    <w:unhideWhenUsed/>
    <w:qFormat/>
    <w:rsid w:val="00C14DB6"/>
    <w:pPr>
      <w:spacing w:before="240" w:after="60"/>
      <w:outlineLvl w:val="8"/>
    </w:pPr>
    <w:rPr>
      <w:rFonts w:eastAsiaTheme="majorEastAsia" w:cstheme="majorBidi"/>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7B3C9C"/>
    <w:rPr>
      <w:rFonts w:eastAsiaTheme="majorEastAsia" w:cstheme="majorBidi"/>
      <w:b/>
      <w:bCs/>
      <w:iCs/>
      <w:szCs w:val="28"/>
    </w:rPr>
  </w:style>
  <w:style w:type="character" w:customStyle="1" w:styleId="Ttulo3Char">
    <w:name w:val="Título 3 Char"/>
    <w:basedOn w:val="Fontepargpadro"/>
    <w:link w:val="Ttulo3"/>
    <w:uiPriority w:val="9"/>
    <w:semiHidden/>
    <w:rsid w:val="00C14DB6"/>
    <w:rPr>
      <w:rFonts w:eastAsiaTheme="majorEastAsia" w:cstheme="majorBidi"/>
      <w:b/>
      <w:bCs/>
      <w:sz w:val="26"/>
      <w:szCs w:val="26"/>
    </w:rPr>
  </w:style>
  <w:style w:type="character" w:styleId="nfase">
    <w:name w:val="Emphasis"/>
    <w:basedOn w:val="Fontepargpadro"/>
    <w:uiPriority w:val="20"/>
    <w:qFormat/>
    <w:rsid w:val="00C14DB6"/>
    <w:rPr>
      <w:rFonts w:asciiTheme="minorHAnsi" w:hAnsiTheme="minorHAnsi"/>
      <w:b/>
      <w:i/>
      <w:iCs/>
    </w:rPr>
  </w:style>
  <w:style w:type="character" w:styleId="Nmerodelinha">
    <w:name w:val="line number"/>
    <w:basedOn w:val="Fontepargpadro"/>
    <w:uiPriority w:val="99"/>
    <w:semiHidden/>
    <w:unhideWhenUsed/>
    <w:rsid w:val="00F01386"/>
  </w:style>
  <w:style w:type="character" w:customStyle="1" w:styleId="CabealhoChar">
    <w:name w:val="Cabeçalho Char"/>
    <w:basedOn w:val="Fontepargpadro"/>
    <w:link w:val="Cabealho"/>
    <w:uiPriority w:val="99"/>
    <w:qFormat/>
    <w:rsid w:val="00F01386"/>
  </w:style>
  <w:style w:type="character" w:customStyle="1" w:styleId="RodapChar">
    <w:name w:val="Rodapé Char"/>
    <w:basedOn w:val="Fontepargpadro"/>
    <w:link w:val="Rodap"/>
    <w:uiPriority w:val="99"/>
    <w:qFormat/>
    <w:rsid w:val="00F01386"/>
  </w:style>
  <w:style w:type="character" w:customStyle="1" w:styleId="Numeraodelinhas">
    <w:name w:val="Numeração de linhas"/>
  </w:style>
  <w:style w:type="paragraph" w:styleId="Ttulo">
    <w:name w:val="Title"/>
    <w:basedOn w:val="Normal"/>
    <w:next w:val="Normal"/>
    <w:link w:val="TtuloChar"/>
    <w:uiPriority w:val="10"/>
    <w:qFormat/>
    <w:rsid w:val="00C14DB6"/>
    <w:pPr>
      <w:spacing w:before="240" w:after="60"/>
      <w:jc w:val="center"/>
      <w:outlineLvl w:val="0"/>
    </w:pPr>
    <w:rPr>
      <w:rFonts w:eastAsiaTheme="majorEastAsia" w:cstheme="majorBidi"/>
      <w:b/>
      <w:bCs/>
      <w:kern w:val="28"/>
      <w:szCs w:val="32"/>
    </w:rPr>
  </w:style>
  <w:style w:type="paragraph" w:styleId="Corpodetexto">
    <w:name w:val="Body Text"/>
    <w:basedOn w:val="Normal"/>
    <w:rsid w:val="00074070"/>
    <w:pPr>
      <w:spacing w:after="120"/>
    </w:pPr>
  </w:style>
  <w:style w:type="paragraph" w:styleId="Lista">
    <w:name w:val="List"/>
    <w:basedOn w:val="Corpodetexto"/>
    <w:rPr>
      <w:rFonts w:cs="Lucida Sans"/>
    </w:rPr>
  </w:style>
  <w:style w:type="paragraph" w:styleId="Legenda">
    <w:name w:val="caption"/>
    <w:basedOn w:val="Normal"/>
    <w:next w:val="Normal"/>
    <w:uiPriority w:val="35"/>
    <w:unhideWhenUsed/>
    <w:rsid w:val="005C69B5"/>
    <w:rPr>
      <w:b/>
      <w:bCs/>
      <w:smallCaps/>
      <w:color w:val="595959" w:themeColor="text1" w:themeTint="A6"/>
      <w:spacing w:val="6"/>
    </w:rPr>
  </w:style>
  <w:style w:type="paragraph" w:customStyle="1" w:styleId="ndice">
    <w:name w:val="Índice"/>
    <w:basedOn w:val="Normal"/>
    <w:pPr>
      <w:suppressLineNumbers/>
    </w:pPr>
    <w:rPr>
      <w:rFonts w:cs="Lucida Sans"/>
    </w:rPr>
  </w:style>
  <w:style w:type="paragraph" w:styleId="NormalWeb">
    <w:name w:val="Normal (Web)"/>
    <w:basedOn w:val="Normal"/>
    <w:uiPriority w:val="99"/>
    <w:unhideWhenUsed/>
    <w:rsid w:val="001B2024"/>
    <w:pPr>
      <w:spacing w:beforeAutospacing="1" w:afterAutospacing="1"/>
      <w:jc w:val="left"/>
    </w:pPr>
    <w:rPr>
      <w:rFonts w:ascii="Times New Roman" w:eastAsia="Times New Roman" w:hAnsi="Times New Roman"/>
      <w:lang w:eastAsia="pt-BR"/>
    </w:rPr>
  </w:style>
  <w:style w:type="paragraph" w:styleId="Bibliografia">
    <w:name w:val="Bibliography"/>
    <w:basedOn w:val="Normal"/>
    <w:next w:val="Normal"/>
    <w:uiPriority w:val="37"/>
    <w:unhideWhenUsed/>
    <w:rsid w:val="00490DEC"/>
    <w:pPr>
      <w:spacing w:after="240"/>
    </w:pPr>
  </w:style>
  <w:style w:type="paragraph" w:customStyle="1" w:styleId="CabealhoeRodap">
    <w:name w:val="Cabeçalho e Rodapé"/>
    <w:basedOn w:val="Normal"/>
  </w:style>
  <w:style w:type="paragraph" w:styleId="Cabealho">
    <w:name w:val="header"/>
    <w:basedOn w:val="Normal"/>
    <w:link w:val="CabealhoChar"/>
    <w:uiPriority w:val="99"/>
    <w:unhideWhenUsed/>
    <w:rsid w:val="00F01386"/>
    <w:pPr>
      <w:tabs>
        <w:tab w:val="center" w:pos="4252"/>
        <w:tab w:val="right" w:pos="8504"/>
      </w:tabs>
    </w:pPr>
  </w:style>
  <w:style w:type="paragraph" w:styleId="Rodap">
    <w:name w:val="footer"/>
    <w:basedOn w:val="Normal"/>
    <w:link w:val="RodapChar"/>
    <w:uiPriority w:val="99"/>
    <w:unhideWhenUsed/>
    <w:rsid w:val="00F01386"/>
    <w:pPr>
      <w:tabs>
        <w:tab w:val="center" w:pos="4252"/>
        <w:tab w:val="right" w:pos="8504"/>
      </w:tabs>
    </w:pPr>
  </w:style>
  <w:style w:type="paragraph" w:styleId="PargrafodaLista">
    <w:name w:val="List Paragraph"/>
    <w:basedOn w:val="Normal"/>
    <w:uiPriority w:val="34"/>
    <w:qFormat/>
    <w:rsid w:val="00C14DB6"/>
    <w:pPr>
      <w:ind w:left="720"/>
      <w:contextualSpacing/>
    </w:pPr>
  </w:style>
  <w:style w:type="paragraph" w:customStyle="1" w:styleId="Text">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rPr>
  </w:style>
  <w:style w:type="paragraph" w:styleId="Textodenotaderodap">
    <w:name w:val="footnote text"/>
    <w:basedOn w:val="Normal"/>
    <w:link w:val="TextodenotaderodapChar"/>
    <w:uiPriority w:val="99"/>
    <w:semiHidden/>
    <w:unhideWhenUsed/>
    <w:rsid w:val="00E329AA"/>
    <w:rPr>
      <w:sz w:val="20"/>
      <w:szCs w:val="20"/>
    </w:rPr>
  </w:style>
  <w:style w:type="character" w:customStyle="1" w:styleId="TextodenotaderodapChar">
    <w:name w:val="Texto de nota de rodapé Char"/>
    <w:basedOn w:val="Fontepargpadro"/>
    <w:link w:val="Textodenotaderodap"/>
    <w:uiPriority w:val="99"/>
    <w:semiHidden/>
    <w:rsid w:val="00E329AA"/>
    <w:rPr>
      <w:sz w:val="20"/>
      <w:szCs w:val="20"/>
    </w:rPr>
  </w:style>
  <w:style w:type="character" w:styleId="Refdenotaderodap">
    <w:name w:val="footnote reference"/>
    <w:basedOn w:val="Fontepargpadro"/>
    <w:uiPriority w:val="99"/>
    <w:semiHidden/>
    <w:unhideWhenUsed/>
    <w:rsid w:val="00E329AA"/>
    <w:rPr>
      <w:vertAlign w:val="superscript"/>
    </w:rPr>
  </w:style>
  <w:style w:type="table" w:styleId="Tabelacomgrade">
    <w:name w:val="Table Grid"/>
    <w:basedOn w:val="Tabelanormal"/>
    <w:uiPriority w:val="59"/>
    <w:rsid w:val="00A3040E"/>
    <w:tblPr>
      <w:tblBorders>
        <w:top w:val="single" w:sz="4" w:space="0" w:color="auto"/>
        <w:bottom w:val="single" w:sz="4" w:space="0" w:color="auto"/>
      </w:tblBorders>
    </w:tblPr>
  </w:style>
  <w:style w:type="character" w:styleId="Refdecomentrio">
    <w:name w:val="annotation reference"/>
    <w:basedOn w:val="Fontepargpadro"/>
    <w:uiPriority w:val="99"/>
    <w:semiHidden/>
    <w:unhideWhenUsed/>
    <w:rsid w:val="00F248A8"/>
    <w:rPr>
      <w:sz w:val="16"/>
      <w:szCs w:val="16"/>
    </w:rPr>
  </w:style>
  <w:style w:type="paragraph" w:styleId="Textodecomentrio">
    <w:name w:val="annotation text"/>
    <w:basedOn w:val="Normal"/>
    <w:link w:val="TextodecomentrioChar"/>
    <w:uiPriority w:val="99"/>
    <w:unhideWhenUsed/>
    <w:rsid w:val="00F248A8"/>
    <w:rPr>
      <w:sz w:val="20"/>
      <w:szCs w:val="20"/>
    </w:rPr>
  </w:style>
  <w:style w:type="character" w:customStyle="1" w:styleId="TextodecomentrioChar">
    <w:name w:val="Texto de comentário Char"/>
    <w:basedOn w:val="Fontepargpadro"/>
    <w:link w:val="Textodecomentrio"/>
    <w:uiPriority w:val="99"/>
    <w:rsid w:val="00F248A8"/>
    <w:rPr>
      <w:sz w:val="20"/>
      <w:szCs w:val="20"/>
    </w:rPr>
  </w:style>
  <w:style w:type="paragraph" w:styleId="Assuntodocomentrio">
    <w:name w:val="annotation subject"/>
    <w:basedOn w:val="Textodecomentrio"/>
    <w:next w:val="Textodecomentrio"/>
    <w:link w:val="AssuntodocomentrioChar"/>
    <w:uiPriority w:val="99"/>
    <w:semiHidden/>
    <w:unhideWhenUsed/>
    <w:rsid w:val="00F248A8"/>
    <w:rPr>
      <w:b/>
      <w:bCs/>
    </w:rPr>
  </w:style>
  <w:style w:type="character" w:customStyle="1" w:styleId="AssuntodocomentrioChar">
    <w:name w:val="Assunto do comentário Char"/>
    <w:basedOn w:val="TextodecomentrioChar"/>
    <w:link w:val="Assuntodocomentrio"/>
    <w:uiPriority w:val="99"/>
    <w:semiHidden/>
    <w:rsid w:val="00F248A8"/>
    <w:rPr>
      <w:b/>
      <w:bCs/>
      <w:sz w:val="20"/>
      <w:szCs w:val="20"/>
    </w:rPr>
  </w:style>
  <w:style w:type="paragraph" w:customStyle="1" w:styleId="Default">
    <w:name w:val="Default"/>
    <w:rsid w:val="009D0B22"/>
    <w:pPr>
      <w:autoSpaceDE w:val="0"/>
      <w:autoSpaceDN w:val="0"/>
      <w:adjustRightInd w:val="0"/>
    </w:pPr>
    <w:rPr>
      <w:rFonts w:ascii="Times New Roman" w:hAnsi="Times New Roman"/>
      <w:color w:val="000000"/>
    </w:rPr>
  </w:style>
  <w:style w:type="paragraph" w:styleId="Partesuperior-zdoformulrio">
    <w:name w:val="HTML Top of Form"/>
    <w:basedOn w:val="Normal"/>
    <w:next w:val="Normal"/>
    <w:link w:val="Partesuperior-zdoformulrioChar"/>
    <w:hidden/>
    <w:uiPriority w:val="99"/>
    <w:semiHidden/>
    <w:unhideWhenUsed/>
    <w:rsid w:val="00DE1B48"/>
    <w:pPr>
      <w:pBdr>
        <w:bottom w:val="single" w:sz="6" w:space="1" w:color="auto"/>
      </w:pBdr>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DE1B48"/>
    <w:rPr>
      <w:rFonts w:ascii="Arial" w:eastAsia="Times New Roman" w:hAnsi="Arial" w:cs="Arial"/>
      <w:vanish/>
      <w:sz w:val="16"/>
      <w:szCs w:val="16"/>
      <w:lang w:eastAsia="pt-BR"/>
    </w:rPr>
  </w:style>
  <w:style w:type="paragraph" w:styleId="Parteinferiordoformulrio">
    <w:name w:val="HTML Bottom of Form"/>
    <w:basedOn w:val="Normal"/>
    <w:next w:val="Normal"/>
    <w:link w:val="ParteinferiordoformulrioChar"/>
    <w:hidden/>
    <w:uiPriority w:val="99"/>
    <w:semiHidden/>
    <w:unhideWhenUsed/>
    <w:rsid w:val="00DE1B48"/>
    <w:pPr>
      <w:pBdr>
        <w:top w:val="single" w:sz="6" w:space="1" w:color="auto"/>
      </w:pBdr>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DE1B48"/>
    <w:rPr>
      <w:rFonts w:ascii="Arial" w:eastAsia="Times New Roman" w:hAnsi="Arial" w:cs="Arial"/>
      <w:vanish/>
      <w:sz w:val="16"/>
      <w:szCs w:val="16"/>
      <w:lang w:eastAsia="pt-BR"/>
    </w:rPr>
  </w:style>
  <w:style w:type="character" w:customStyle="1" w:styleId="Ttulo4Char">
    <w:name w:val="Título 4 Char"/>
    <w:basedOn w:val="Fontepargpadro"/>
    <w:link w:val="Ttulo4"/>
    <w:uiPriority w:val="9"/>
    <w:semiHidden/>
    <w:rsid w:val="00C14DB6"/>
    <w:rPr>
      <w:rFonts w:cstheme="majorBidi"/>
      <w:b/>
      <w:bCs/>
      <w:sz w:val="28"/>
      <w:szCs w:val="28"/>
    </w:rPr>
  </w:style>
  <w:style w:type="character" w:customStyle="1" w:styleId="Ttulo5Char">
    <w:name w:val="Título 5 Char"/>
    <w:basedOn w:val="Fontepargpadro"/>
    <w:link w:val="Ttulo5"/>
    <w:uiPriority w:val="9"/>
    <w:semiHidden/>
    <w:rsid w:val="00C14DB6"/>
    <w:rPr>
      <w:rFonts w:cstheme="majorBidi"/>
      <w:b/>
      <w:bCs/>
      <w:i/>
      <w:iCs/>
      <w:sz w:val="26"/>
      <w:szCs w:val="26"/>
    </w:rPr>
  </w:style>
  <w:style w:type="character" w:styleId="TextodoEspaoReservado">
    <w:name w:val="Placeholder Text"/>
    <w:basedOn w:val="Fontepargpadro"/>
    <w:uiPriority w:val="99"/>
    <w:semiHidden/>
    <w:rsid w:val="00A5576C"/>
    <w:rPr>
      <w:color w:val="666666"/>
    </w:rPr>
  </w:style>
  <w:style w:type="paragraph" w:styleId="Reviso">
    <w:name w:val="Revision"/>
    <w:hidden/>
    <w:uiPriority w:val="99"/>
    <w:semiHidden/>
    <w:rsid w:val="00AE7C19"/>
    <w:pPr>
      <w:spacing w:after="0"/>
      <w:jc w:val="left"/>
    </w:pPr>
  </w:style>
  <w:style w:type="character" w:styleId="Hyperlink">
    <w:name w:val="Hyperlink"/>
    <w:basedOn w:val="Fontepargpadro"/>
    <w:uiPriority w:val="99"/>
    <w:unhideWhenUsed/>
    <w:rsid w:val="00F74F3D"/>
    <w:rPr>
      <w:color w:val="0563C1" w:themeColor="hyperlink"/>
      <w:u w:val="single"/>
    </w:rPr>
  </w:style>
  <w:style w:type="character" w:styleId="MenoPendente">
    <w:name w:val="Unresolved Mention"/>
    <w:basedOn w:val="Fontepargpadro"/>
    <w:uiPriority w:val="99"/>
    <w:semiHidden/>
    <w:unhideWhenUsed/>
    <w:rsid w:val="00F74F3D"/>
    <w:rPr>
      <w:color w:val="605E5C"/>
      <w:shd w:val="clear" w:color="auto" w:fill="E1DFDD"/>
    </w:rPr>
  </w:style>
  <w:style w:type="character" w:styleId="HiperlinkVisitado">
    <w:name w:val="FollowedHyperlink"/>
    <w:basedOn w:val="Fontepargpadro"/>
    <w:uiPriority w:val="99"/>
    <w:semiHidden/>
    <w:unhideWhenUsed/>
    <w:rsid w:val="00470203"/>
    <w:rPr>
      <w:color w:val="954F72" w:themeColor="followedHyperlink"/>
      <w:u w:val="single"/>
    </w:rPr>
  </w:style>
  <w:style w:type="character" w:customStyle="1" w:styleId="Ttulo1Char">
    <w:name w:val="Título 1 Char"/>
    <w:basedOn w:val="Fontepargpadro"/>
    <w:link w:val="Ttulo1"/>
    <w:uiPriority w:val="9"/>
    <w:rsid w:val="00047C24"/>
    <w:rPr>
      <w:rFonts w:eastAsiaTheme="majorEastAsia" w:cstheme="majorBidi"/>
      <w:b/>
      <w:bCs/>
      <w:kern w:val="32"/>
      <w:szCs w:val="32"/>
    </w:rPr>
  </w:style>
  <w:style w:type="paragraph" w:customStyle="1" w:styleId="Estiloartigosdiego">
    <w:name w:val="Estilo artigos diego"/>
    <w:basedOn w:val="Ttulo"/>
    <w:link w:val="EstiloartigosdiegoChar"/>
    <w:rsid w:val="005D12D9"/>
    <w:pPr>
      <w:jc w:val="left"/>
    </w:pPr>
    <w:rPr>
      <w:rFonts w:ascii="Aptos" w:hAnsi="Aptos"/>
      <w:b w:val="0"/>
    </w:rPr>
  </w:style>
  <w:style w:type="character" w:customStyle="1" w:styleId="TtuloChar">
    <w:name w:val="Título Char"/>
    <w:basedOn w:val="Fontepargpadro"/>
    <w:link w:val="Ttulo"/>
    <w:uiPriority w:val="10"/>
    <w:rsid w:val="00C14DB6"/>
    <w:rPr>
      <w:rFonts w:eastAsiaTheme="majorEastAsia" w:cstheme="majorBidi"/>
      <w:b/>
      <w:bCs/>
      <w:kern w:val="28"/>
      <w:szCs w:val="32"/>
    </w:rPr>
  </w:style>
  <w:style w:type="character" w:customStyle="1" w:styleId="EstiloartigosdiegoChar">
    <w:name w:val="Estilo artigos diego Char"/>
    <w:basedOn w:val="TtuloChar"/>
    <w:link w:val="Estiloartigosdiego"/>
    <w:rsid w:val="005D12D9"/>
    <w:rPr>
      <w:rFonts w:ascii="Liberation Sans" w:eastAsia="Microsoft YaHei" w:hAnsi="Liberation Sans" w:cs="Lucida Sans"/>
      <w:b w:val="0"/>
      <w:bCs/>
      <w:kern w:val="28"/>
      <w:sz w:val="24"/>
      <w:szCs w:val="2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Ttulo6Char">
    <w:name w:val="Título 6 Char"/>
    <w:basedOn w:val="Fontepargpadro"/>
    <w:link w:val="Ttulo6"/>
    <w:uiPriority w:val="9"/>
    <w:semiHidden/>
    <w:rsid w:val="00C14DB6"/>
    <w:rPr>
      <w:rFonts w:cstheme="majorBidi"/>
      <w:b/>
      <w:bCs/>
      <w:sz w:val="22"/>
      <w:szCs w:val="22"/>
    </w:rPr>
  </w:style>
  <w:style w:type="character" w:customStyle="1" w:styleId="Ttulo7Char">
    <w:name w:val="Título 7 Char"/>
    <w:basedOn w:val="Fontepargpadro"/>
    <w:link w:val="Ttulo7"/>
    <w:uiPriority w:val="9"/>
    <w:semiHidden/>
    <w:rsid w:val="00C14DB6"/>
    <w:rPr>
      <w:rFonts w:cstheme="majorBidi"/>
    </w:rPr>
  </w:style>
  <w:style w:type="character" w:customStyle="1" w:styleId="Ttulo8Char">
    <w:name w:val="Título 8 Char"/>
    <w:basedOn w:val="Fontepargpadro"/>
    <w:link w:val="Ttulo8"/>
    <w:uiPriority w:val="9"/>
    <w:semiHidden/>
    <w:rsid w:val="00C14DB6"/>
    <w:rPr>
      <w:rFonts w:cstheme="majorBidi"/>
      <w:i/>
      <w:iCs/>
    </w:rPr>
  </w:style>
  <w:style w:type="character" w:customStyle="1" w:styleId="Ttulo9Char">
    <w:name w:val="Título 9 Char"/>
    <w:basedOn w:val="Fontepargpadro"/>
    <w:link w:val="Ttulo9"/>
    <w:uiPriority w:val="9"/>
    <w:semiHidden/>
    <w:rsid w:val="00C14DB6"/>
    <w:rPr>
      <w:rFonts w:eastAsiaTheme="majorEastAsia" w:cstheme="majorBidi"/>
      <w:sz w:val="22"/>
      <w:szCs w:val="22"/>
    </w:rPr>
  </w:style>
  <w:style w:type="paragraph" w:styleId="Subttulo">
    <w:name w:val="Subtitle"/>
    <w:basedOn w:val="Normal"/>
    <w:next w:val="Normal"/>
    <w:link w:val="SubttuloChar"/>
    <w:uiPriority w:val="11"/>
    <w:qFormat/>
    <w:rsid w:val="00C14DB6"/>
    <w:pPr>
      <w:spacing w:after="60"/>
      <w:jc w:val="center"/>
      <w:outlineLvl w:val="1"/>
    </w:pPr>
    <w:rPr>
      <w:rFonts w:eastAsiaTheme="majorEastAsia" w:cstheme="majorBidi"/>
    </w:rPr>
  </w:style>
  <w:style w:type="character" w:customStyle="1" w:styleId="SubttuloChar">
    <w:name w:val="Subtítulo Char"/>
    <w:basedOn w:val="Fontepargpadro"/>
    <w:link w:val="Subttulo"/>
    <w:uiPriority w:val="11"/>
    <w:rsid w:val="00C14DB6"/>
    <w:rPr>
      <w:rFonts w:eastAsiaTheme="majorEastAsia" w:cstheme="majorBidi"/>
    </w:rPr>
  </w:style>
  <w:style w:type="character" w:styleId="Forte">
    <w:name w:val="Strong"/>
    <w:basedOn w:val="Fontepargpadro"/>
    <w:uiPriority w:val="22"/>
    <w:qFormat/>
    <w:rsid w:val="00C14DB6"/>
    <w:rPr>
      <w:b/>
      <w:bCs/>
    </w:rPr>
  </w:style>
  <w:style w:type="paragraph" w:styleId="SemEspaamento">
    <w:name w:val="No Spacing"/>
    <w:basedOn w:val="Normal"/>
    <w:uiPriority w:val="1"/>
    <w:qFormat/>
    <w:rsid w:val="00C14DB6"/>
    <w:rPr>
      <w:szCs w:val="32"/>
    </w:rPr>
  </w:style>
  <w:style w:type="paragraph" w:styleId="Citao">
    <w:name w:val="Quote"/>
    <w:basedOn w:val="Normal"/>
    <w:next w:val="Normal"/>
    <w:link w:val="CitaoChar"/>
    <w:uiPriority w:val="29"/>
    <w:qFormat/>
    <w:rsid w:val="00C14DB6"/>
    <w:rPr>
      <w:i/>
    </w:rPr>
  </w:style>
  <w:style w:type="character" w:customStyle="1" w:styleId="CitaoChar">
    <w:name w:val="Citação Char"/>
    <w:basedOn w:val="Fontepargpadro"/>
    <w:link w:val="Citao"/>
    <w:uiPriority w:val="29"/>
    <w:rsid w:val="00C14DB6"/>
    <w:rPr>
      <w:i/>
    </w:rPr>
  </w:style>
  <w:style w:type="paragraph" w:styleId="CitaoIntensa">
    <w:name w:val="Intense Quote"/>
    <w:basedOn w:val="Normal"/>
    <w:next w:val="Normal"/>
    <w:link w:val="CitaoIntensaChar"/>
    <w:uiPriority w:val="30"/>
    <w:qFormat/>
    <w:rsid w:val="00C14DB6"/>
    <w:pPr>
      <w:ind w:left="720" w:right="720"/>
    </w:pPr>
    <w:rPr>
      <w:rFonts w:cstheme="majorBidi"/>
      <w:b/>
      <w:i/>
      <w:szCs w:val="22"/>
    </w:rPr>
  </w:style>
  <w:style w:type="character" w:customStyle="1" w:styleId="CitaoIntensaChar">
    <w:name w:val="Citação Intensa Char"/>
    <w:basedOn w:val="Fontepargpadro"/>
    <w:link w:val="CitaoIntensa"/>
    <w:uiPriority w:val="30"/>
    <w:rsid w:val="00C14DB6"/>
    <w:rPr>
      <w:rFonts w:cstheme="majorBidi"/>
      <w:b/>
      <w:i/>
      <w:szCs w:val="22"/>
    </w:rPr>
  </w:style>
  <w:style w:type="character" w:styleId="nfaseSutil">
    <w:name w:val="Subtle Emphasis"/>
    <w:uiPriority w:val="19"/>
    <w:qFormat/>
    <w:rsid w:val="00C14DB6"/>
    <w:rPr>
      <w:i/>
      <w:color w:val="5A5A5A" w:themeColor="text1" w:themeTint="A5"/>
    </w:rPr>
  </w:style>
  <w:style w:type="character" w:styleId="nfaseIntensa">
    <w:name w:val="Intense Emphasis"/>
    <w:basedOn w:val="Fontepargpadro"/>
    <w:uiPriority w:val="21"/>
    <w:qFormat/>
    <w:rsid w:val="00C14DB6"/>
    <w:rPr>
      <w:b/>
      <w:i/>
      <w:sz w:val="24"/>
      <w:szCs w:val="24"/>
      <w:u w:val="single"/>
    </w:rPr>
  </w:style>
  <w:style w:type="character" w:styleId="RefernciaSutil">
    <w:name w:val="Subtle Reference"/>
    <w:basedOn w:val="Fontepargpadro"/>
    <w:uiPriority w:val="31"/>
    <w:qFormat/>
    <w:rsid w:val="00C14DB6"/>
    <w:rPr>
      <w:sz w:val="24"/>
      <w:szCs w:val="24"/>
      <w:u w:val="single"/>
    </w:rPr>
  </w:style>
  <w:style w:type="character" w:styleId="RefernciaIntensa">
    <w:name w:val="Intense Reference"/>
    <w:basedOn w:val="Fontepargpadro"/>
    <w:uiPriority w:val="32"/>
    <w:qFormat/>
    <w:rsid w:val="00C14DB6"/>
    <w:rPr>
      <w:b/>
      <w:sz w:val="24"/>
      <w:u w:val="single"/>
    </w:rPr>
  </w:style>
  <w:style w:type="character" w:styleId="TtulodoLivro">
    <w:name w:val="Book Title"/>
    <w:basedOn w:val="Fontepargpadro"/>
    <w:uiPriority w:val="33"/>
    <w:qFormat/>
    <w:rsid w:val="00C14DB6"/>
    <w:rPr>
      <w:rFonts w:asciiTheme="majorHAnsi" w:eastAsiaTheme="majorEastAsia" w:hAnsiTheme="majorHAnsi"/>
      <w:b/>
      <w:i/>
      <w:sz w:val="24"/>
      <w:szCs w:val="24"/>
    </w:rPr>
  </w:style>
  <w:style w:type="paragraph" w:styleId="CabealhodoSumrio">
    <w:name w:val="TOC Heading"/>
    <w:basedOn w:val="Ttulo1"/>
    <w:next w:val="Normal"/>
    <w:uiPriority w:val="39"/>
    <w:semiHidden/>
    <w:unhideWhenUsed/>
    <w:qFormat/>
    <w:rsid w:val="00C14DB6"/>
    <w:pPr>
      <w:outlineLvl w:val="9"/>
    </w:pPr>
  </w:style>
  <w:style w:type="paragraph" w:customStyle="1" w:styleId="EstiloTtulo212ptNoItlicoAntes0ptDepoisde6pt">
    <w:name w:val="Estilo Título 2 + 12 pt Não Itálico Antes:  0 pt Depois de:  6 pt"/>
    <w:basedOn w:val="Ttulo2"/>
    <w:autoRedefine/>
    <w:qFormat/>
    <w:rsid w:val="00976A9F"/>
    <w:pPr>
      <w:spacing w:before="0" w:after="120"/>
    </w:pPr>
    <w:rPr>
      <w:rFonts w:eastAsia="Times New Roman" w:cs="Times New Roman"/>
      <w:i/>
      <w:iCs w:val="0"/>
      <w:szCs w:val="20"/>
    </w:rPr>
  </w:style>
  <w:style w:type="paragraph" w:customStyle="1" w:styleId="Image">
    <w:name w:val="Image"/>
    <w:basedOn w:val="Ttulodanota"/>
    <w:next w:val="Normal"/>
    <w:link w:val="ImageChar"/>
    <w:qFormat/>
    <w:rsid w:val="008457F2"/>
    <w:pPr>
      <w:ind w:firstLine="0"/>
      <w:jc w:val="center"/>
    </w:pPr>
    <w:rPr>
      <w:noProof/>
    </w:rPr>
  </w:style>
  <w:style w:type="character" w:customStyle="1" w:styleId="ImageChar">
    <w:name w:val="Image Char"/>
    <w:basedOn w:val="Fontepargpadro"/>
    <w:link w:val="Image"/>
    <w:rsid w:val="00DE06BA"/>
    <w:rPr>
      <w:noProof/>
    </w:rPr>
  </w:style>
  <w:style w:type="paragraph" w:styleId="Ttulodanota">
    <w:name w:val="Note Heading"/>
    <w:basedOn w:val="Normal"/>
    <w:next w:val="Normal"/>
    <w:link w:val="TtulodanotaChar"/>
    <w:uiPriority w:val="99"/>
    <w:semiHidden/>
    <w:unhideWhenUsed/>
    <w:rsid w:val="00DE06BA"/>
    <w:pPr>
      <w:spacing w:line="240" w:lineRule="auto"/>
    </w:pPr>
  </w:style>
  <w:style w:type="character" w:customStyle="1" w:styleId="TtulodanotaChar">
    <w:name w:val="Título da nota Char"/>
    <w:basedOn w:val="Fontepargpadro"/>
    <w:link w:val="Ttulodanota"/>
    <w:uiPriority w:val="99"/>
    <w:semiHidden/>
    <w:rsid w:val="00DE06BA"/>
  </w:style>
  <w:style w:type="table" w:customStyle="1" w:styleId="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val="single" w:sz="4" w:space="0" w:color="auto"/>
        <w:left w:val="none" w:sz="0" w:space="0" w:color="auto"/>
        <w:bottom w:val="single" w:sz="4" w:space="0" w:color="auto"/>
        <w:right w:val="none" w:sz="0" w:space="0" w:color="auto"/>
        <w:insideH w:val="none" w:sz="0" w:space="0" w:color="auto"/>
        <w:insideV w:val="none" w:sz="0" w:space="0" w:color="auto"/>
      </w:tblBorders>
    </w:tblPr>
    <w:tcPr>
      <w:vAlign w:val="center"/>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463F45"/>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2307/3001666" TargetMode="External"/><Relationship Id="rId21" Type="http://schemas.openxmlformats.org/officeDocument/2006/relationships/hyperlink" Target="https://doi.org/10.1088/1742-5468/2008/10/P10008" TargetMode="External"/><Relationship Id="rId42" Type="http://schemas.openxmlformats.org/officeDocument/2006/relationships/hyperlink" Target="https://doi.org/10.1136/bmj.327.7414.557" TargetMode="External"/><Relationship Id="rId47" Type="http://schemas.openxmlformats.org/officeDocument/2006/relationships/hyperlink" Target="https://doi.org/10.1016/j.telpol.2014.10.002" TargetMode="External"/><Relationship Id="rId63" Type="http://schemas.openxmlformats.org/officeDocument/2006/relationships/hyperlink" Target="https://doi.org/10.1007/s10462-024-10844-w" TargetMode="External"/><Relationship Id="rId68" Type="http://schemas.openxmlformats.org/officeDocument/2006/relationships/hyperlink" Target="https://doi.org/10.1016/j.foodcont.2022.109421" TargetMode="External"/><Relationship Id="rId84" Type="http://schemas.openxmlformats.org/officeDocument/2006/relationships/hyperlink" Target="https://doi.org/10.1038/s41598-021-82306-0" TargetMode="External"/><Relationship Id="rId89" Type="http://schemas.openxmlformats.org/officeDocument/2006/relationships/hyperlink" Target="https://ggplot2.tidyverse.org" TargetMode="External"/><Relationship Id="rId16" Type="http://schemas.openxmlformats.org/officeDocument/2006/relationships/hyperlink" Target="https://doi.org/10.1136/ebmental-2019-300117" TargetMode="External"/><Relationship Id="rId11" Type="http://schemas.openxmlformats.org/officeDocument/2006/relationships/image" Target="media/image7.png"/><Relationship Id="rId32" Type="http://schemas.openxmlformats.org/officeDocument/2006/relationships/hyperlink" Target="https://doi.org/10.1038/s41586-023-06168-y" TargetMode="External"/><Relationship Id="rId37" Type="http://schemas.openxmlformats.org/officeDocument/2006/relationships/hyperlink" Target="https://doi.org/10.1093/jxb/erac328" TargetMode="External"/><Relationship Id="rId53" Type="http://schemas.openxmlformats.org/officeDocument/2006/relationships/hyperlink" Target="https://doi.org/10.5194/gmd-15-2839-2022" TargetMode="External"/><Relationship Id="rId58" Type="http://schemas.openxmlformats.org/officeDocument/2006/relationships/hyperlink" Target="https://doi.org/10.1007/s12161-024-02625-6" TargetMode="External"/><Relationship Id="rId74" Type="http://schemas.openxmlformats.org/officeDocument/2006/relationships/hyperlink" Target="https://doi.org/10.1037/0033-2909.86.2.420" TargetMode="External"/><Relationship Id="rId79" Type="http://schemas.openxmlformats.org/officeDocument/2006/relationships/hyperlink" Target="https://doi.org/10.1111/j.1475-4762.2007.00765.x" TargetMode="External"/><Relationship Id="rId5" Type="http://schemas.openxmlformats.org/officeDocument/2006/relationships/image" Target="media/image1.png"/><Relationship Id="rId90" Type="http://schemas.openxmlformats.org/officeDocument/2006/relationships/hyperlink" Target="https://doi.org/10.1038/sdata.2016.18" TargetMode="External"/><Relationship Id="rId95" Type="http://schemas.openxmlformats.org/officeDocument/2006/relationships/hyperlink" Target="https://doi.org/10.1038/s41538-021-00100-8" TargetMode="External"/><Relationship Id="rId22" Type="http://schemas.openxmlformats.org/officeDocument/2006/relationships/hyperlink" Target="https://doi.org/10.1002/9780470743386" TargetMode="External"/><Relationship Id="rId27" Type="http://schemas.openxmlformats.org/officeDocument/2006/relationships/hyperlink" Target="https://igraph.org" TargetMode="External"/><Relationship Id="rId43" Type="http://schemas.openxmlformats.org/officeDocument/2006/relationships/hyperlink" Target="https://doi.org/10.1007/s41060-024-00509-w" TargetMode="External"/><Relationship Id="rId48" Type="http://schemas.openxmlformats.org/officeDocument/2006/relationships/hyperlink" Target="https://doi.org/10.1177/2053951714564227" TargetMode="External"/><Relationship Id="rId64" Type="http://schemas.openxmlformats.org/officeDocument/2006/relationships/hyperlink" Target="https://doi.org/10.1016/j.jag.2021.102456" TargetMode="External"/><Relationship Id="rId69" Type="http://schemas.openxmlformats.org/officeDocument/2006/relationships/hyperlink" Target="https://doi.org/10.1038/s42256-019-0048-x" TargetMode="External"/><Relationship Id="rId80" Type="http://schemas.openxmlformats.org/officeDocument/2006/relationships/hyperlink" Target="https://www.R-project.org/" TargetMode="External"/><Relationship Id="rId85" Type="http://schemas.openxmlformats.org/officeDocument/2006/relationships/hyperlink" Target="https://www.fao.org/3/i9321en/I9321EN.pdf"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doi.org/10.1136/jech-2013-203104" TargetMode="External"/><Relationship Id="rId25" Type="http://schemas.openxmlformats.org/officeDocument/2006/relationships/hyperlink" Target="https://doi.org/10.1007/s13593-015-0337-y" TargetMode="External"/><Relationship Id="rId33" Type="http://schemas.openxmlformats.org/officeDocument/2006/relationships/hyperlink" Target="https://doi.org/10.2777/1524" TargetMode="External"/><Relationship Id="rId38" Type="http://schemas.openxmlformats.org/officeDocument/2006/relationships/hyperlink" Target="https://doi.org/10.1177/10860266231168905" TargetMode="External"/><Relationship Id="rId46" Type="http://schemas.openxmlformats.org/officeDocument/2006/relationships/hyperlink" Target="https://doi.org/10.1016/j.agsy.2021.103217" TargetMode="External"/><Relationship Id="rId59" Type="http://schemas.openxmlformats.org/officeDocument/2006/relationships/hyperlink" Target="https://doi.org/10.1016/j.lwt.2024.115886" TargetMode="External"/><Relationship Id="rId67" Type="http://schemas.openxmlformats.org/officeDocument/2006/relationships/hyperlink" Target="https://doi.org/10.2174/1386207324666210309102239" TargetMode="External"/><Relationship Id="rId20" Type="http://schemas.openxmlformats.org/officeDocument/2006/relationships/hyperlink" Target="https://doi.org/10.1017/CBO9780511541957" TargetMode="External"/><Relationship Id="rId41" Type="http://schemas.openxmlformats.org/officeDocument/2006/relationships/hyperlink" Target="https://doi.org/10.3390/s22020498" TargetMode="External"/><Relationship Id="rId54" Type="http://schemas.openxmlformats.org/officeDocument/2006/relationships/hyperlink" Target="https://doi.org/10.3390/s18082674" TargetMode="External"/><Relationship Id="rId62" Type="http://schemas.openxmlformats.org/officeDocument/2006/relationships/hyperlink" Target="https://doi.org/10.1126/science.aab2374" TargetMode="External"/><Relationship Id="rId70" Type="http://schemas.openxmlformats.org/officeDocument/2006/relationships/hyperlink" Target="https://doi.org/10.22237/jmasm/1257035100" TargetMode="External"/><Relationship Id="rId75" Type="http://schemas.openxmlformats.org/officeDocument/2006/relationships/hyperlink" Target="https://ces.uc.pt/publicacoes/santos_beyond_abyssal_thinking.pdf" TargetMode="External"/><Relationship Id="rId83" Type="http://schemas.openxmlformats.org/officeDocument/2006/relationships/hyperlink" Target="https://doi.org/10.7326/M18-0850" TargetMode="External"/><Relationship Id="rId88" Type="http://schemas.openxmlformats.org/officeDocument/2006/relationships/hyperlink" Target="https://doi.org/10.1016/j.fochx.2025.103069" TargetMode="External"/><Relationship Id="rId91" Type="http://schemas.openxmlformats.org/officeDocument/2006/relationships/hyperlink" Target="https://doi.org/10.1038/sdata.2016.18" TargetMode="External"/><Relationship Id="rId96" Type="http://schemas.openxmlformats.org/officeDocument/2006/relationships/hyperlink" Target="https://doi.org/10.1016/j.ijmedinf.2019.08.018"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doi.org/10.1016/j.scitotenv.2023.169139" TargetMode="External"/><Relationship Id="rId23" Type="http://schemas.openxmlformats.org/officeDocument/2006/relationships/hyperlink" Target="https://doi.org/10.1007/978-94-007-6603-1" TargetMode="External"/><Relationship Id="rId28" Type="http://schemas.openxmlformats.org/officeDocument/2006/relationships/hyperlink" Target="https://doi.org/10.1016/0197-2456(86)90046-2" TargetMode="External"/><Relationship Id="rId36" Type="http://schemas.openxmlformats.org/officeDocument/2006/relationships/hyperlink" Target="https://doi.org/10.1108/BFJ-12-2014-0392" TargetMode="External"/><Relationship Id="rId49" Type="http://schemas.openxmlformats.org/officeDocument/2006/relationships/hyperlink" Target="https://www.jstatsoft.org/v25/i01/" TargetMode="External"/><Relationship Id="rId57" Type="http://schemas.openxmlformats.org/officeDocument/2006/relationships/hyperlink" Target="https://doi.org/10.1214/aoms/1177730491" TargetMode="External"/><Relationship Id="rId10" Type="http://schemas.openxmlformats.org/officeDocument/2006/relationships/image" Target="media/image6.png"/><Relationship Id="rId31" Type="http://schemas.openxmlformats.org/officeDocument/2006/relationships/hyperlink" Target="https://doi.org/10.1136/bmj.315.7109.629" TargetMode="External"/><Relationship Id="rId44" Type="http://schemas.openxmlformats.org/officeDocument/2006/relationships/hyperlink" Target="https://doi.org/10.1002/9781118548387" TargetMode="External"/><Relationship Id="rId52" Type="http://schemas.openxmlformats.org/officeDocument/2006/relationships/hyperlink" Target="https://doi.org/10.1007/s100219900037" TargetMode="External"/><Relationship Id="rId60" Type="http://schemas.openxmlformats.org/officeDocument/2006/relationships/hyperlink" Target="https://doi.org/10.1016/j.agsy.2019.104706" TargetMode="External"/><Relationship Id="rId65" Type="http://schemas.openxmlformats.org/officeDocument/2006/relationships/hyperlink" Target="https://doi.org/10.1016/j.fochx.2025.103194" TargetMode="External"/><Relationship Id="rId73" Type="http://schemas.openxmlformats.org/officeDocument/2006/relationships/hyperlink" Target="https://doi.org/10.1093/biomet/52.3-4.591" TargetMode="External"/><Relationship Id="rId78" Type="http://schemas.openxmlformats.org/officeDocument/2006/relationships/hyperlink" Target="https://doi.org/10.2307/2331554" TargetMode="External"/><Relationship Id="rId81" Type="http://schemas.openxmlformats.org/officeDocument/2006/relationships/hyperlink" Target="https://doi.org/10.1002/sim.1187" TargetMode="External"/><Relationship Id="rId86" Type="http://schemas.openxmlformats.org/officeDocument/2006/relationships/hyperlink" Target="https://doi.org/10.18637/jss.v036.i03" TargetMode="External"/><Relationship Id="rId94" Type="http://schemas.openxmlformats.org/officeDocument/2006/relationships/hyperlink" Target="https://www.wto.org/english/docs_e/legal_e/27-trips.pdf"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hyperlink" Target="https://doi.org/10.17605/OSF.IO/2EKYQ" TargetMode="External"/><Relationship Id="rId18" Type="http://schemas.openxmlformats.org/officeDocument/2006/relationships/hyperlink" Target="https://doi.org/10.1016/j.worlddev.2015.05.004" TargetMode="External"/><Relationship Id="rId39" Type="http://schemas.openxmlformats.org/officeDocument/2006/relationships/hyperlink" Target="https://pmc.ncbi.nlm.nih.gov/articles/PMC11513333/" TargetMode="External"/><Relationship Id="rId34" Type="http://schemas.openxmlformats.org/officeDocument/2006/relationships/hyperlink" Target="http://data.europa.eu/eli/reg/2012/1151/oj" TargetMode="External"/><Relationship Id="rId50" Type="http://schemas.openxmlformats.org/officeDocument/2006/relationships/hyperlink" Target="https://doi.org/10.1021/bk-2005-0894.ch001" TargetMode="External"/><Relationship Id="rId55" Type="http://schemas.openxmlformats.org/officeDocument/2006/relationships/hyperlink" Target="https://doi.org/10.1371/journal.pone.0279904" TargetMode="External"/><Relationship Id="rId76" Type="http://schemas.openxmlformats.org/officeDocument/2006/relationships/hyperlink" Target="https://doi.org/10.2307/1412159" TargetMode="External"/><Relationship Id="rId97" Type="http://schemas.openxmlformats.org/officeDocument/2006/relationships/fontTable" Target="fontTable.xml"/><Relationship Id="rId7" Type="http://schemas.openxmlformats.org/officeDocument/2006/relationships/image" Target="media/image3.png"/><Relationship Id="rId71" Type="http://schemas.openxmlformats.org/officeDocument/2006/relationships/hyperlink" Target="https://doi.org/10.21105/joss.02341" TargetMode="External"/><Relationship Id="rId92" Type="http://schemas.openxmlformats.org/officeDocument/2006/relationships/hyperlink" Target="https://www.worldbank.org/en/topic/agriculture/brief/open-data-for-agriculture" TargetMode="External"/><Relationship Id="rId2" Type="http://schemas.openxmlformats.org/officeDocument/2006/relationships/styles" Target="styles.xml"/><Relationship Id="rId29" Type="http://schemas.openxmlformats.org/officeDocument/2006/relationships/hyperlink" Target="https://doi.org/10.1111/j.0006-341X.2000.00455.x" TargetMode="External"/><Relationship Id="rId24" Type="http://schemas.openxmlformats.org/officeDocument/2006/relationships/hyperlink" Target="https://doi.org/10.1186/s12911-021-01533-7" TargetMode="External"/><Relationship Id="rId40" Type="http://schemas.openxmlformats.org/officeDocument/2006/relationships/hyperlink" Target="https://doi.org/10.1016/j.tifs.2023.104321" TargetMode="External"/><Relationship Id="rId45" Type="http://schemas.openxmlformats.org/officeDocument/2006/relationships/hyperlink" Target="https://doi.org/10.1016/j.patter.2023.100804" TargetMode="External"/><Relationship Id="rId66" Type="http://schemas.openxmlformats.org/officeDocument/2006/relationships/hyperlink" Target="https://doi.org/10.1016/j.compag.2020.105942" TargetMode="External"/><Relationship Id="rId87" Type="http://schemas.openxmlformats.org/officeDocument/2006/relationships/hyperlink" Target="https://doi.org/10.1016/j.ecolmodel.2021.109692" TargetMode="External"/><Relationship Id="rId61" Type="http://schemas.openxmlformats.org/officeDocument/2006/relationships/hyperlink" Target="https://arxiv.org/pdf/2202.07455.pdf" TargetMode="External"/><Relationship Id="rId82" Type="http://schemas.openxmlformats.org/officeDocument/2006/relationships/hyperlink" Target="https://doi.org/10.5281/zenodo.1480624" TargetMode="External"/><Relationship Id="rId19" Type="http://schemas.openxmlformats.org/officeDocument/2006/relationships/hyperlink" Target="https://doi.org/10.1007/978-3-319-53073-4" TargetMode="External"/><Relationship Id="rId14" Type="http://schemas.openxmlformats.org/officeDocument/2006/relationships/hyperlink" Target="https://doi.org/10.3390/foods12142813" TargetMode="External"/><Relationship Id="rId30" Type="http://schemas.openxmlformats.org/officeDocument/2006/relationships/hyperlink" Target="https://doi.org/10.1016/j.ecoinf.2021.101472" TargetMode="External"/><Relationship Id="rId35" Type="http://schemas.openxmlformats.org/officeDocument/2006/relationships/hyperlink" Target="https://doi.org/10.1016/j.jpa.2025.xxxxxx" TargetMode="External"/><Relationship Id="rId56" Type="http://schemas.openxmlformats.org/officeDocument/2006/relationships/hyperlink" Target="https://papers.nips.cc/paper/7062-a-unified-approach-to-interpreting-model-predictions.pdf" TargetMode="External"/><Relationship Id="rId77" Type="http://schemas.openxmlformats.org/officeDocument/2006/relationships/hyperlink" Target="https://doi.org/10.3390/foods13010003" TargetMode="External"/><Relationship Id="rId8" Type="http://schemas.openxmlformats.org/officeDocument/2006/relationships/image" Target="media/image4.png"/><Relationship Id="rId51" Type="http://schemas.openxmlformats.org/officeDocument/2006/relationships/hyperlink" Target="https://doi.org/10.5751/ES-08834-210442" TargetMode="External"/><Relationship Id="rId72" Type="http://schemas.openxmlformats.org/officeDocument/2006/relationships/hyperlink" Target="https://doi.org/10.3390/rs11080920" TargetMode="External"/><Relationship Id="rId93" Type="http://schemas.openxmlformats.org/officeDocument/2006/relationships/hyperlink" Target="https://doi.org/10.34667/tind.42184" TargetMode="External"/><Relationship Id="rId98"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36</Pages>
  <Words>13007</Words>
  <Characters>70242</Characters>
  <Application>Microsoft Office Word</Application>
  <DocSecurity>0</DocSecurity>
  <Lines>585</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Terroir Digital e Auditabilidade de Serviços Ecossistêmicos via Aprendizado de Máquina em Indicações Geográficas Digital Terroir and Ecosystem Service Auditability via Machine Learning in Geographical Indications</dc:title>
  <dc:creator>Catuxe Varjão de Santana Oliveira, Paulo Roberto Gagliardi, Luiz Diego Vidal Santos, Gustavo da Silva Quirino, Ana Karla de Souza Abud, Cristiane Toniolo Dias</dc:creator>
  <cp:keywords/>
  <cp:lastModifiedBy>Diego Vidal Santos</cp:lastModifiedBy>
  <cp:revision>11</cp:revision>
  <dcterms:created xsi:type="dcterms:W3CDTF">2025-11-30T15:24:00Z</dcterms:created>
  <dcterms:modified xsi:type="dcterms:W3CDTF">2025-11-30T15:34:00Z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harvard.csl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