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B51B6" w14:textId="77777777" w:rsidR="008A7973" w:rsidRDefault="0005045B">
      <w:pPr>
        <w:pStyle w:val="Ttulo"/>
      </w:pPr>
      <w:r>
        <w:t>Digital Terroir and Ecosystem Governance: A Critical Review of Machine Learning for the Auditability of Geographical Indications</w:t>
      </w:r>
    </w:p>
    <w:p w14:paraId="249B51B7" w14:textId="77777777" w:rsidR="008A7973" w:rsidRPr="0005045B" w:rsidRDefault="0005045B">
      <w:pPr>
        <w:rPr>
          <w:lang w:val="pt-BR"/>
        </w:rPr>
      </w:pPr>
      <w:r w:rsidRPr="0005045B">
        <w:rPr>
          <w:lang w:val="pt-BR"/>
        </w:rPr>
        <w:t>Catuxe Varjão de Santana Oliveira, Paulo Roberto Gagliardi, Luiz Diego Vidal Santos, Gustavo da Silva Quirino, Ana Karla de Souza Abud, Cristiane Toniolo Dias</w:t>
      </w:r>
    </w:p>
    <w:p w14:paraId="249B51B8" w14:textId="77777777" w:rsidR="008A7973" w:rsidRDefault="0005045B">
      <w:pPr>
        <w:pStyle w:val="Ttulo1"/>
      </w:pPr>
      <w:bookmarkStart w:id="0" w:name="abstract"/>
      <w:r>
        <w:t>Abstract</w:t>
      </w:r>
    </w:p>
    <w:p w14:paraId="249B51B9" w14:textId="77777777" w:rsidR="008A7973" w:rsidRDefault="0005045B">
      <w:r>
        <w:t>Geographical Indications (GIs) act simultaneously as intellectual property assets and tools for agrobiodiversity conservation, linking product quality to the territory’s ecosystem services. This review provides a critical, integrative synthesis of Machine Learning (ML) applications in GI systems (2010–2025), focusing on how analytical signatures (spectral, elemental, isotopic) support environmental auditing, fraud detection, and the prevention of greenwashing. Across 148 peer‑reviewed studies, supervised cl</w:t>
      </w:r>
      <w:r>
        <w:t>assifiers dominate: Random Forest and Support Vector Machines are prevalent in spectroscopy and chromatography for wines, meats, oils, and teas; Deep Learning emerges for hyperspectral data; and PLS‑DA remains central for chemometrics. Typical accuracies range from 80% to 100% in laboratory settings, yet generalization is often overestimated: only 23% of studies perform spatially independent validation and fewer include longitudinal tests, with performance drops of 2%–15% under distribution shifts. To be in</w:t>
      </w:r>
      <w:r>
        <w:t>corporated into environmental certification, ML models must demonstrate rigorous external validation, provide interpretability capable of identifying soil health fingerprints and climate resilience markers, and operate within transparent data governance. We synthesize methodological patterns into technological families and outline guidelines for ML to strengthen the credibility of GIs as sustainability instruments, preventing statistical optimism from eroding consumer trust and the asset’s ecological value.</w:t>
      </w:r>
    </w:p>
    <w:p w14:paraId="249B51BA" w14:textId="77777777" w:rsidR="008A7973" w:rsidRDefault="0005045B">
      <w:pPr>
        <w:pStyle w:val="Corpodetexto"/>
      </w:pPr>
      <w:r>
        <w:rPr>
          <w:b/>
          <w:bCs/>
        </w:rPr>
        <w:t>Keywords:</w:t>
      </w:r>
      <w:r>
        <w:t xml:space="preserve"> Geographical Indications; Machine Learning; Environmental Auditing; Greenwashing; Traceability; Ecosystem Services.</w:t>
      </w:r>
    </w:p>
    <w:p w14:paraId="249B51BB" w14:textId="77777777" w:rsidR="008A7973" w:rsidRDefault="0005045B">
      <w:pPr>
        <w:pStyle w:val="Ttulo1"/>
      </w:pPr>
      <w:bookmarkStart w:id="1" w:name="introduction"/>
      <w:bookmarkEnd w:id="0"/>
      <w:r>
        <w:t>1. Introduction</w:t>
      </w:r>
    </w:p>
    <w:p w14:paraId="249B51BC" w14:textId="77777777" w:rsidR="008A7973" w:rsidRDefault="0005045B">
      <w:r>
        <w:t xml:space="preserve">Geographical Indications (GIs) transcend their original function as intellectual property to emerge as strategic instruments for environmental governance and agrobiodiversity conservation in the Anthropocene (Vandecandelaere </w:t>
      </w:r>
      <w:r>
        <w:rPr>
          <w:i/>
          <w:iCs/>
        </w:rPr>
        <w:t>et al.</w:t>
      </w:r>
      <w:r>
        <w:t xml:space="preserve">, 2009; Belletti, Marescotti and Touzard, 2017). In a global scenario marked by the climate crisis and the erosion of biological diversity, GIs operate as social-ecological systems that link product quality to the integrity of the territory’s ecosystem services (Berkes, Colding and Folke, 2003; Bramley, Biénabe and Kirsten, 2013). More than guarantees of origin, they represent mechanisms for valuing regenerative agricultural practices and maintaining cultural landscapes, where </w:t>
      </w:r>
      <w:r>
        <w:rPr>
          <w:i/>
          <w:iCs/>
        </w:rPr>
        <w:t>terroir</w:t>
      </w:r>
      <w:r>
        <w:t xml:space="preserve"> is redefined not</w:t>
      </w:r>
      <w:r>
        <w:t xml:space="preserve"> just as a sensory </w:t>
      </w:r>
      <w:r>
        <w:lastRenderedPageBreak/>
        <w:t xml:space="preserve">attribute, but as a fingerprint of soil health and climate resilience (Giovannucci </w:t>
      </w:r>
      <w:r>
        <w:rPr>
          <w:i/>
          <w:iCs/>
        </w:rPr>
        <w:t>et al.</w:t>
      </w:r>
      <w:r>
        <w:t>, 2010; Fonzo and Russo, 2015).</w:t>
      </w:r>
    </w:p>
    <w:p w14:paraId="249B51BD" w14:textId="77777777" w:rsidR="008A7973" w:rsidRDefault="0005045B">
      <w:pPr>
        <w:pStyle w:val="Corpodetexto"/>
      </w:pPr>
      <w:r>
        <w:t xml:space="preserve">The international regulation, grounded in the TRIPS Agreement and Regulation (EU) No 1151/2012, establishes the legal basis, but it is the capacity for environmental auditing that confers contemporary legitimacy to these assets (World Trade Organization, 1994; European Union, 2012). The distinction between Protected Geographical Indication (PGI) and Protected Designation of Origin (PDO) reflects different degrees of dependence on natural cycles, requiring robust verification systems to avoid </w:t>
      </w:r>
      <w:r>
        <w:rPr>
          <w:i/>
          <w:iCs/>
        </w:rPr>
        <w:t>greenwashing</w:t>
      </w:r>
      <w:r>
        <w:t xml:space="preserve"> and ensure that the market premium effectively funds environmental conservation (Locatelli, 2008; World Intellectual Property Organization, 2020). The credibility of these seals depends, therefore, on the ability to scientifically prove that product characteristics derive from specific and non-replicable environmental interactions.</w:t>
      </w:r>
    </w:p>
    <w:p w14:paraId="249B51BE" w14:textId="77777777" w:rsidR="008A7973" w:rsidRDefault="0005045B">
      <w:pPr>
        <w:pStyle w:val="Corpodetexto"/>
      </w:pPr>
      <w:r>
        <w:t xml:space="preserve">In this context, Machine Learning (ML) emerges as a disruptive technology for environmental auditing. By processing high-dimensional spectral, isotopic, and metabolomic data, ML algorithms can decode “soil health fingerprints” and “climate resilience markers” invisible to traditional methods (Carvalho Rocha, Prado and Blonder, 2020; Gbashi and Njobeh, 2024). Unlike subjective sensory analysis, ML offers a quantitative approach to validate “terroir integrity,” transforming chemical complexity into auditable </w:t>
      </w:r>
      <w:r>
        <w:t xml:space="preserve">evidence of environmental compliance (Qamar and Bawany, 2023; Ramos </w:t>
      </w:r>
      <w:r>
        <w:rPr>
          <w:i/>
          <w:iCs/>
        </w:rPr>
        <w:t>et al.</w:t>
      </w:r>
      <w:r>
        <w:t>, 2025). This capability is critical for auditing ecosystem services, allowing the distinction between products that genuinely conserve biodiversity and those that merely exploit regional reputation.</w:t>
      </w:r>
    </w:p>
    <w:p w14:paraId="249B51BF" w14:textId="77777777" w:rsidR="008A7973" w:rsidRDefault="0005045B">
      <w:pPr>
        <w:pStyle w:val="Corpodetexto"/>
      </w:pPr>
      <w:r>
        <w:t>The application of ML in GIs, therefore, is not just a technical innovation, but a tool for epistemic sovereignty and environmental justice. It allows local communities to convert their tacit knowledge and management practices into verifiable data, protecting their genetic and cultural resources against misappropriation (Suh and Macpherson, 2007; al., 2011). However, current literature lacks a synthesis connecting these sensing technologies to the urgent demands of environmental monitoring.</w:t>
      </w:r>
    </w:p>
    <w:p w14:paraId="249B51C0" w14:textId="77777777" w:rsidR="008A7973" w:rsidRDefault="0005045B">
      <w:pPr>
        <w:pStyle w:val="Corpodetexto"/>
      </w:pPr>
      <w:r>
        <w:t xml:space="preserve">This review systematically maps Machine Learning applications in Geographical Indications, focusing on their potential for environmental authentication and fraud prevention. We hypothesize that ML techniques, when integrated with environmental data, function as auditing mechanisms for ecosystem services, offering a robust scientific basis for market-based conservation policies and for preventing </w:t>
      </w:r>
      <w:r>
        <w:rPr>
          <w:i/>
          <w:iCs/>
        </w:rPr>
        <w:t>greenwashing</w:t>
      </w:r>
      <w:r>
        <w:t xml:space="preserve"> in global value chains.</w:t>
      </w:r>
    </w:p>
    <w:p w14:paraId="249B51C1" w14:textId="77777777" w:rsidR="008A7973" w:rsidRDefault="0005045B">
      <w:pPr>
        <w:pStyle w:val="Ttulo1"/>
      </w:pPr>
      <w:bookmarkStart w:id="2" w:name="materials-and-methods"/>
      <w:bookmarkEnd w:id="1"/>
      <w:r>
        <w:lastRenderedPageBreak/>
        <w:t>2. Materials and Methods</w:t>
      </w:r>
    </w:p>
    <w:p w14:paraId="249B51C2" w14:textId="77777777" w:rsidR="008A7973" w:rsidRDefault="0005045B">
      <w:r>
        <w:t>This review follows PRISMA-ScR guidance (</w:t>
      </w:r>
      <w:r>
        <w:rPr>
          <w:i/>
          <w:iCs/>
        </w:rPr>
        <w:t>Preferred Reporting Items for Systematic Reviews and Meta-Analyses extension for Scoping Reviews</w:t>
      </w:r>
      <w:r>
        <w:t>) as a transparency framework to ensure methodological clarity and reproducibility. The protocol is registered on the Open Science Framework to facilitate public access and replicability.</w:t>
      </w:r>
    </w:p>
    <w:p w14:paraId="249B51C3" w14:textId="77777777" w:rsidR="008A7973" w:rsidRDefault="0005045B">
      <w:pPr>
        <w:pStyle w:val="Ttulo2"/>
      </w:pPr>
      <w:bookmarkStart w:id="3" w:name="research-question"/>
      <w:r>
        <w:t>2.1 Research Question</w:t>
      </w:r>
    </w:p>
    <w:p w14:paraId="249B51C4" w14:textId="77777777" w:rsidR="008A7973" w:rsidRDefault="0005045B">
      <w:r>
        <w:t>The study employs the PCC framework (</w:t>
      </w:r>
      <w:r>
        <w:rPr>
          <w:i/>
          <w:iCs/>
        </w:rPr>
        <w:t>Population, Concept, Context</w:t>
      </w:r>
      <w:r>
        <w:t xml:space="preserve">) to formulate the research question: </w:t>
      </w:r>
      <w:r>
        <w:rPr>
          <w:i/>
          <w:iCs/>
        </w:rPr>
        <w:t>How have Machine Learning techniques been applied for authentication, evaluation, and decision support in Geographical Indications systems?</w:t>
      </w:r>
    </w:p>
    <w:p w14:paraId="249B51C5" w14:textId="77777777" w:rsidR="008A7973" w:rsidRDefault="0005045B">
      <w:pPr>
        <w:pStyle w:val="Corpodetexto"/>
      </w:pPr>
      <w:r>
        <w:rPr>
          <w:b/>
          <w:bCs/>
        </w:rPr>
        <w:t>Table 1.</w:t>
      </w:r>
      <w:r>
        <w:t xml:space="preserve"> Structure of the review according to the PCC framework.</w:t>
      </w:r>
    </w:p>
    <w:tbl>
      <w:tblPr>
        <w:tblStyle w:val="Table"/>
        <w:tblW w:w="5000" w:type="pct"/>
        <w:tblLayout w:type="fixed"/>
        <w:tblLook w:val="0020" w:firstRow="1" w:lastRow="0" w:firstColumn="0" w:lastColumn="0" w:noHBand="0" w:noVBand="0"/>
      </w:tblPr>
      <w:tblGrid>
        <w:gridCol w:w="1560"/>
        <w:gridCol w:w="7278"/>
      </w:tblGrid>
      <w:tr w:rsidR="008A7973" w:rsidRPr="0005045B" w14:paraId="249B51C8" w14:textId="77777777" w:rsidTr="0005045B">
        <w:trPr>
          <w:tblHeader/>
        </w:trPr>
        <w:tc>
          <w:tcPr>
            <w:tcW w:w="1560" w:type="dxa"/>
            <w:tcBorders>
              <w:top w:val="single" w:sz="4" w:space="0" w:color="auto"/>
              <w:bottom w:val="single" w:sz="4" w:space="0" w:color="auto"/>
            </w:tcBorders>
          </w:tcPr>
          <w:p w14:paraId="249B51C6" w14:textId="77777777" w:rsidR="008A7973" w:rsidRPr="0005045B" w:rsidRDefault="0005045B" w:rsidP="0005045B">
            <w:pPr>
              <w:rPr>
                <w:b/>
                <w:bCs/>
              </w:rPr>
            </w:pPr>
            <w:r w:rsidRPr="0005045B">
              <w:rPr>
                <w:b/>
                <w:bCs/>
              </w:rPr>
              <w:t>Element</w:t>
            </w:r>
          </w:p>
        </w:tc>
        <w:tc>
          <w:tcPr>
            <w:tcW w:w="7278" w:type="dxa"/>
            <w:tcBorders>
              <w:top w:val="single" w:sz="4" w:space="0" w:color="auto"/>
              <w:bottom w:val="single" w:sz="4" w:space="0" w:color="auto"/>
            </w:tcBorders>
          </w:tcPr>
          <w:p w14:paraId="249B51C7" w14:textId="77777777" w:rsidR="008A7973" w:rsidRPr="0005045B" w:rsidRDefault="0005045B" w:rsidP="0005045B">
            <w:pPr>
              <w:rPr>
                <w:b/>
                <w:bCs/>
              </w:rPr>
            </w:pPr>
            <w:r w:rsidRPr="0005045B">
              <w:rPr>
                <w:b/>
                <w:bCs/>
              </w:rPr>
              <w:t>Description</w:t>
            </w:r>
          </w:p>
        </w:tc>
      </w:tr>
      <w:tr w:rsidR="008A7973" w14:paraId="249B51CB" w14:textId="77777777" w:rsidTr="0005045B">
        <w:tc>
          <w:tcPr>
            <w:tcW w:w="1560" w:type="dxa"/>
            <w:tcBorders>
              <w:top w:val="single" w:sz="4" w:space="0" w:color="auto"/>
            </w:tcBorders>
          </w:tcPr>
          <w:p w14:paraId="249B51C9" w14:textId="77777777" w:rsidR="008A7973" w:rsidRDefault="0005045B">
            <w:pPr>
              <w:jc w:val="left"/>
            </w:pPr>
            <w:r>
              <w:rPr>
                <w:b/>
                <w:bCs/>
              </w:rPr>
              <w:t>P (Population)</w:t>
            </w:r>
          </w:p>
        </w:tc>
        <w:tc>
          <w:tcPr>
            <w:tcW w:w="7278" w:type="dxa"/>
            <w:tcBorders>
              <w:top w:val="single" w:sz="4" w:space="0" w:color="auto"/>
            </w:tcBorders>
          </w:tcPr>
          <w:p w14:paraId="249B51CA" w14:textId="77777777" w:rsidR="008A7973" w:rsidRPr="0005045B" w:rsidRDefault="0005045B">
            <w:pPr>
              <w:jc w:val="left"/>
              <w:rPr>
                <w:lang w:val="en-US"/>
              </w:rPr>
            </w:pPr>
            <w:r w:rsidRPr="0005045B">
              <w:rPr>
                <w:lang w:val="en-US"/>
              </w:rPr>
              <w:t xml:space="preserve">Geographical Indications, Denominations of Origin, and Indications of Provenance recognized nationally and internationally, encompassing </w:t>
            </w:r>
            <w:proofErr w:type="spellStart"/>
            <w:r w:rsidRPr="0005045B">
              <w:rPr>
                <w:lang w:val="en-US"/>
              </w:rPr>
              <w:t>agro</w:t>
            </w:r>
            <w:proofErr w:type="spellEnd"/>
            <w:r w:rsidRPr="0005045B">
              <w:rPr>
                <w:lang w:val="en-US"/>
              </w:rPr>
              <w:t>-food products (wines, cheeses, coffees, meats, olive oils), crafts, and other products with territorial identity.</w:t>
            </w:r>
          </w:p>
        </w:tc>
      </w:tr>
      <w:tr w:rsidR="008A7973" w14:paraId="249B51CE" w14:textId="77777777" w:rsidTr="0005045B">
        <w:tc>
          <w:tcPr>
            <w:tcW w:w="1560" w:type="dxa"/>
          </w:tcPr>
          <w:p w14:paraId="249B51CC" w14:textId="77777777" w:rsidR="008A7973" w:rsidRDefault="0005045B">
            <w:pPr>
              <w:jc w:val="left"/>
            </w:pPr>
            <w:r>
              <w:rPr>
                <w:b/>
                <w:bCs/>
              </w:rPr>
              <w:t>C (Concept)</w:t>
            </w:r>
          </w:p>
        </w:tc>
        <w:tc>
          <w:tcPr>
            <w:tcW w:w="7278" w:type="dxa"/>
          </w:tcPr>
          <w:p w14:paraId="249B51CD" w14:textId="77777777" w:rsidR="008A7973" w:rsidRPr="0005045B" w:rsidRDefault="0005045B">
            <w:pPr>
              <w:jc w:val="left"/>
              <w:rPr>
                <w:lang w:val="en-US"/>
              </w:rPr>
            </w:pPr>
            <w:r w:rsidRPr="0005045B">
              <w:rPr>
                <w:lang w:val="en-US"/>
              </w:rPr>
              <w:t>Machine Learning, Artificial Intelligence, classification and prediction algorithms, chemometric methods, Data Mining, and Natural Language Processing applied to Geographical Indications contexts.</w:t>
            </w:r>
          </w:p>
        </w:tc>
      </w:tr>
      <w:tr w:rsidR="008A7973" w14:paraId="249B51D1" w14:textId="77777777" w:rsidTr="0005045B">
        <w:tc>
          <w:tcPr>
            <w:tcW w:w="1560" w:type="dxa"/>
          </w:tcPr>
          <w:p w14:paraId="249B51CF" w14:textId="77777777" w:rsidR="008A7973" w:rsidRDefault="0005045B">
            <w:pPr>
              <w:jc w:val="left"/>
            </w:pPr>
            <w:r>
              <w:rPr>
                <w:b/>
                <w:bCs/>
              </w:rPr>
              <w:t>C (Context)</w:t>
            </w:r>
          </w:p>
        </w:tc>
        <w:tc>
          <w:tcPr>
            <w:tcW w:w="7278" w:type="dxa"/>
          </w:tcPr>
          <w:p w14:paraId="249B51D0" w14:textId="77777777" w:rsidR="008A7973" w:rsidRPr="0005045B" w:rsidRDefault="0005045B">
            <w:pPr>
              <w:jc w:val="left"/>
              <w:rPr>
                <w:lang w:val="en-US"/>
              </w:rPr>
            </w:pPr>
            <w:r w:rsidRPr="0005045B">
              <w:rPr>
                <w:lang w:val="en-US"/>
              </w:rP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w:t>
            </w:r>
            <w:proofErr w:type="gramStart"/>
            <w:r w:rsidRPr="0005045B">
              <w:rPr>
                <w:lang w:val="en-US"/>
              </w:rPr>
              <w:t>adulterations</w:t>
            </w:r>
            <w:proofErr w:type="gramEnd"/>
            <w:r w:rsidRPr="0005045B">
              <w:rPr>
                <w:lang w:val="en-US"/>
              </w:rPr>
              <w:t>, and territorial valorization strategies.</w:t>
            </w:r>
          </w:p>
        </w:tc>
      </w:tr>
    </w:tbl>
    <w:p w14:paraId="249B51D2" w14:textId="77777777" w:rsidR="008A7973" w:rsidRDefault="0005045B">
      <w:pPr>
        <w:pStyle w:val="Corpodetexto"/>
      </w:pPr>
      <w:r>
        <w:t>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p w14:paraId="249B51D3" w14:textId="77777777" w:rsidR="008A7973" w:rsidRDefault="0005045B">
      <w:pPr>
        <w:pStyle w:val="Ttulo2"/>
      </w:pPr>
      <w:bookmarkStart w:id="4" w:name="prisma-scr-methodological-flowchart"/>
      <w:bookmarkEnd w:id="3"/>
      <w:r>
        <w:t>2.1.1 PRISMA-ScR Methodological Flowchart</w:t>
      </w:r>
    </w:p>
    <w:p w14:paraId="249B51D4" w14:textId="77777777" w:rsidR="008A7973" w:rsidRDefault="0005045B">
      <w:r>
        <w:t>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w:t>
      </w:r>
      <w:r>
        <w:t>ndications systems.</w:t>
      </w:r>
    </w:p>
    <w:p w14:paraId="249B51D5" w14:textId="77777777" w:rsidR="008A7973" w:rsidRDefault="0005045B">
      <w:pPr>
        <w:pStyle w:val="Corpodetexto"/>
      </w:pPr>
      <w:r>
        <w:rPr>
          <w:b/>
          <w:bCs/>
        </w:rPr>
        <w:t>Figure 1.</w:t>
      </w:r>
      <w:r>
        <w:t xml:space="preserve"> Flowchart of screening, eligibility, and synthesis for ML applications in Geographical Indications.</w:t>
      </w:r>
    </w:p>
    <w:p w14:paraId="249B51D6" w14:textId="77777777" w:rsidR="008A7973" w:rsidRDefault="0005045B">
      <w:bookmarkStart w:id="5" w:name="fig:ml_indicacoes"/>
      <w:r>
        <w:rPr>
          <w:noProof/>
        </w:rPr>
        <w:lastRenderedPageBreak/>
        <w:drawing>
          <wp:inline distT="0" distB="0" distL="0" distR="0" wp14:anchorId="249B52BA" wp14:editId="249B52BB">
            <wp:extent cx="4480560" cy="1451884"/>
            <wp:effectExtent l="0" t="0" r="0" b="0"/>
            <wp:docPr id="21" name="Picture" descr="Flowchart of ML-GI review process"/>
            <wp:cNvGraphicFramePr/>
            <a:graphic xmlns:a="http://schemas.openxmlformats.org/drawingml/2006/main">
              <a:graphicData uri="http://schemas.openxmlformats.org/drawingml/2006/picture">
                <pic:pic xmlns:pic="http://schemas.openxmlformats.org/drawingml/2006/picture">
                  <pic:nvPicPr>
                    <pic:cNvPr id="22" name="Picture" descr="2-FIGURAS/2-EN/ml_indicacoes_geograficas.png"/>
                    <pic:cNvPicPr>
                      <a:picLocks noChangeAspect="1" noChangeArrowheads="1"/>
                    </pic:cNvPicPr>
                  </pic:nvPicPr>
                  <pic:blipFill>
                    <a:blip r:embed="rId5"/>
                    <a:stretch>
                      <a:fillRect/>
                    </a:stretch>
                  </pic:blipFill>
                  <pic:spPr bwMode="auto">
                    <a:xfrm>
                      <a:off x="0" y="0"/>
                      <a:ext cx="4480560" cy="1451884"/>
                    </a:xfrm>
                    <a:prstGeom prst="rect">
                      <a:avLst/>
                    </a:prstGeom>
                    <a:noFill/>
                    <a:ln w="9525">
                      <a:noFill/>
                      <a:headEnd/>
                      <a:tailEnd/>
                    </a:ln>
                  </pic:spPr>
                </pic:pic>
              </a:graphicData>
            </a:graphic>
          </wp:inline>
        </w:drawing>
      </w:r>
    </w:p>
    <w:p w14:paraId="249B51D7" w14:textId="77777777" w:rsidR="008A7973" w:rsidRDefault="0005045B">
      <w:r>
        <w:t>Flowchart of ML-GI review process</w:t>
      </w:r>
    </w:p>
    <w:p w14:paraId="249B51D8" w14:textId="77777777" w:rsidR="008A7973" w:rsidRDefault="0005045B">
      <w:pPr>
        <w:pStyle w:val="Ttulo2"/>
      </w:pPr>
      <w:bookmarkStart w:id="6" w:name="search-strategy-and-study-extraction"/>
      <w:bookmarkEnd w:id="4"/>
      <w:bookmarkEnd w:id="5"/>
      <w:r>
        <w:t>2.3 Search Strategy and Study Extraction</w:t>
      </w:r>
    </w:p>
    <w:p w14:paraId="249B51D9" w14:textId="77777777" w:rsidR="008A7973" w:rsidRDefault="0005045B">
      <w:r>
        <w:t>Searches targeted Scopus (Elsevier) and Web of Science (Clarivate Analytics), intersecting three main thematic domains: machine learning and artificial intelligence techniques; geographical certification systems; and Geographical Indications/Denominations of Origin.</w:t>
      </w:r>
    </w:p>
    <w:p w14:paraId="249B51DA" w14:textId="77777777" w:rsidR="008A7973" w:rsidRDefault="0005045B">
      <w:pPr>
        <w:pStyle w:val="Corpodetexto"/>
      </w:pPr>
      <w:r>
        <w:t>Descriptors employed controlled English terminology and Boolean operators (AND, OR, NOT), covering publications from 2010 to 2025 to capture the state of the art. The search strategy followed this logic:</w:t>
      </w:r>
    </w:p>
    <w:p w14:paraId="249B51DB" w14:textId="77777777" w:rsidR="008A7973" w:rsidRDefault="0005045B">
      <w:pPr>
        <w:pStyle w:val="Corpodetexto"/>
      </w:pPr>
      <w:r>
        <w:rPr>
          <w:i/>
          <w:iCs/>
        </w:rPr>
        <w:t>(“machine learning” OR “artificial intelligence” OR “deep learning” OR “supervised learning” OR “unsupervised learning” OR “ensemble methods”) AND (“geographical indications” OR “denominations of origin” OR “appellations of origin” OR “protected designations of origin”) AND (“authentication” OR “traceability” OR “quality control” OR “fraud detection” OR “geospatial analysis”)</w:t>
      </w:r>
      <w:r>
        <w:t>.</w:t>
      </w:r>
    </w:p>
    <w:p w14:paraId="249B51DC" w14:textId="77777777" w:rsidR="008A7973" w:rsidRDefault="0005045B">
      <w:pPr>
        <w:pStyle w:val="Corpodetexto"/>
      </w:pPr>
      <w:r>
        <w:t>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14:paraId="249B51DD" w14:textId="77777777" w:rsidR="008A7973" w:rsidRDefault="0005045B">
      <w:pPr>
        <w:pStyle w:val="Corpodetexto"/>
      </w:pPr>
      <w:r>
        <w:t>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p w14:paraId="249B51DE" w14:textId="77777777" w:rsidR="008A7973" w:rsidRDefault="0005045B">
      <w:pPr>
        <w:pStyle w:val="Ttulo2"/>
      </w:pPr>
      <w:bookmarkStart w:id="7" w:name="X51a6d4fed22c50e5cdc3d87d9e5591a17f81ebc"/>
      <w:bookmarkEnd w:id="6"/>
      <w:r>
        <w:t>2.4 First Phase: Automated Thematic Relevance Filtering System</w:t>
      </w:r>
    </w:p>
    <w:p w14:paraId="249B51DF" w14:textId="77777777" w:rsidR="008A7973" w:rsidRDefault="0005045B">
      <w:pPr>
        <w:pStyle w:val="Ttulo3"/>
      </w:pPr>
      <w:bookmarkStart w:id="8" w:name="weighted-scoring-algorithm"/>
      <w:r>
        <w:t>2.4.1 Weighted Scoring Algorithm</w:t>
      </w:r>
    </w:p>
    <w:p w14:paraId="249B51E0" w14:textId="77777777" w:rsidR="008A7973" w:rsidRDefault="0005045B">
      <w:r>
        <w:t xml:space="preserve">Complementing manual screening, an automated filtering system assigns thematic relevance scores based on descriptor presence and location in the title, </w:t>
      </w:r>
      <w:r>
        <w:lastRenderedPageBreak/>
        <w:t>abstract, and keywords. Implemented in Python (NLTK, spaCy), the algorithm applies a hierarchical weighting scheme to each identified term. The scoring system adheres to Analytic Hierarchy Process (AHP) principles. Equation (1) organizes descriptors into five categories with differentiated weights (Saaty, 1991).</w:t>
      </w:r>
    </w:p>
    <w:p w14:paraId="249B51E1" w14:textId="77777777" w:rsidR="008A7973" w:rsidRDefault="0005045B">
      <w:pPr>
        <w:pStyle w:val="Corpodetex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249B51E2" w14:textId="77777777" w:rsidR="008A7973" w:rsidRDefault="0005045B">
      <w:r>
        <w:t>where:</w:t>
      </w:r>
    </w:p>
    <w:p w14:paraId="249B51E3" w14:textId="77777777" w:rsidR="008A7973" w:rsidRDefault="0005045B">
      <w:pPr>
        <w:numPr>
          <w:ilvl w:val="0"/>
          <w:numId w:val="25"/>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total score of article </w:t>
      </w:r>
      <m:oMath>
        <m:r>
          <w:rPr>
            <w:rFonts w:ascii="Cambria Math" w:hAnsi="Cambria Math"/>
          </w:rPr>
          <m:t>i</m:t>
        </m:r>
      </m:oMath>
    </w:p>
    <w:p w14:paraId="249B51E4" w14:textId="77777777" w:rsidR="008A7973" w:rsidRDefault="0005045B">
      <w:pPr>
        <w:numPr>
          <w:ilvl w:val="0"/>
          <w:numId w:val="25"/>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weight associated with term </w:t>
      </w:r>
      <m:oMath>
        <m:r>
          <w:rPr>
            <w:rFonts w:ascii="Cambria Math" w:hAnsi="Cambria Math"/>
          </w:rPr>
          <m:t>j</m:t>
        </m:r>
      </m:oMath>
      <w:r>
        <w:t xml:space="preserve"> </w:t>
      </w:r>
      <w:r>
        <w:t>(categorized in 5 levels: 5, 3, 2, 1, or -5/-3/-2 points)</w:t>
      </w:r>
    </w:p>
    <w:p w14:paraId="249B51E5" w14:textId="77777777" w:rsidR="008A7973" w:rsidRDefault="0005045B">
      <w:pPr>
        <w:numPr>
          <w:ilvl w:val="0"/>
          <w:numId w:val="25"/>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location multiplier (1.5 for title, 1.2 for keywords, 1.0 for abstract)</w:t>
      </w:r>
    </w:p>
    <w:p w14:paraId="249B51E6" w14:textId="77777777" w:rsidR="008A7973" w:rsidRDefault="0005045B">
      <w:pPr>
        <w:numPr>
          <w:ilvl w:val="0"/>
          <w:numId w:val="25"/>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frequency of occurrence of term </w:t>
      </w:r>
      <m:oMath>
        <m:r>
          <w:rPr>
            <w:rFonts w:ascii="Cambria Math" w:hAnsi="Cambria Math"/>
          </w:rPr>
          <m:t>j</m:t>
        </m:r>
      </m:oMath>
      <w:r>
        <w:t xml:space="preserve"> in article </w:t>
      </w:r>
      <m:oMath>
        <m:r>
          <w:rPr>
            <w:rFonts w:ascii="Cambria Math" w:hAnsi="Cambria Math"/>
          </w:rPr>
          <m:t>i</m:t>
        </m:r>
      </m:oMath>
    </w:p>
    <w:p w14:paraId="249B51E7" w14:textId="77777777" w:rsidR="008A7973" w:rsidRDefault="0005045B">
      <w:pPr>
        <w:numPr>
          <w:ilvl w:val="0"/>
          <w:numId w:val="25"/>
        </w:numPr>
      </w:pPr>
      <m:oMath>
        <m:r>
          <w:rPr>
            <w:rFonts w:ascii="Cambria Math" w:hAnsi="Cambria Math"/>
          </w:rPr>
          <m:t>n</m:t>
        </m:r>
      </m:oMath>
      <w:r>
        <w:t xml:space="preserve"> = total number of terms evaluated</w:t>
      </w:r>
    </w:p>
    <w:p w14:paraId="249B51E8" w14:textId="77777777" w:rsidR="008A7973" w:rsidRDefault="0005045B">
      <w:r>
        <w:t xml:space="preserve">Priority terms (5 points) represent the core conceptual review (e.g., </w:t>
      </w:r>
      <w:r>
        <w:rPr>
          <w:i/>
          <w:iCs/>
        </w:rPr>
        <w:t>geographical indications, traceability, authentication</w:t>
      </w:r>
      <w:r>
        <w:t xml:space="preserve">). High relevance terms (3 points) capture central methodological concepts (e.g., </w:t>
      </w:r>
      <w:r>
        <w:rPr>
          <w:i/>
          <w:iCs/>
        </w:rPr>
        <w:t>machine learning, deep learning, neural networks</w:t>
      </w:r>
      <w:r>
        <w:t xml:space="preserve">). Medium relevance terms (2 points) cover complementary themes (e.g., </w:t>
      </w:r>
      <w:r>
        <w:rPr>
          <w:i/>
          <w:iCs/>
        </w:rPr>
        <w:t>chemometrics, data mining</w:t>
      </w:r>
      <w:r>
        <w:t xml:space="preserve">), while Context terms (1 point) indicate potential environments (e.g., </w:t>
      </w:r>
      <w:r>
        <w:rPr>
          <w:i/>
          <w:iCs/>
        </w:rPr>
        <w:t>regional products, certification</w:t>
      </w:r>
      <w:r>
        <w:t xml:space="preserve">). Exclusion terms receive negative weights to penalize out-of-scope records, particularly in </w:t>
      </w:r>
      <w:r>
        <w:rPr>
          <w:i/>
          <w:iCs/>
        </w:rPr>
        <w:t>medical/clinical</w:t>
      </w:r>
      <w:r>
        <w:t xml:space="preserve"> (−5), </w:t>
      </w:r>
      <w:r>
        <w:rPr>
          <w:i/>
          <w:iCs/>
        </w:rPr>
        <w:t>urban plann</w:t>
      </w:r>
      <w:r>
        <w:rPr>
          <w:i/>
          <w:iCs/>
        </w:rPr>
        <w:t>ing</w:t>
      </w:r>
      <w:r>
        <w:t xml:space="preserve"> (−3), and </w:t>
      </w:r>
      <w:r>
        <w:rPr>
          <w:i/>
          <w:iCs/>
        </w:rPr>
        <w:t>finance</w:t>
      </w:r>
      <w:r>
        <w:t xml:space="preserve"> (−2) domains (Munn </w:t>
      </w:r>
      <w:r>
        <w:rPr>
          <w:i/>
          <w:iCs/>
        </w:rPr>
        <w:t>et al.</w:t>
      </w:r>
      <w:r>
        <w:t xml:space="preserve">, 2018; Tricco </w:t>
      </w:r>
      <w:r>
        <w:rPr>
          <w:i/>
          <w:iCs/>
        </w:rPr>
        <w:t>et al.</w:t>
      </w:r>
      <w:r>
        <w:t>, 2018).</w:t>
      </w:r>
    </w:p>
    <w:p w14:paraId="249B51E9" w14:textId="77777777" w:rsidR="008A7973" w:rsidRDefault="0005045B">
      <w:pPr>
        <w:pStyle w:val="Ttulo3"/>
      </w:pPr>
      <w:bookmarkStart w:id="9" w:name="algorithm-implementation-and-validation"/>
      <w:bookmarkEnd w:id="8"/>
      <w:r>
        <w:t>2.4.2 Algorithm Implementation and Validation</w:t>
      </w:r>
    </w:p>
    <w:p w14:paraId="249B51EA" w14:textId="77777777" w:rsidR="008A7973" w:rsidRDefault="0005045B">
      <w:r>
        <w:t>For each record, the algorithm scans the title, abstract, and keywords, applies the category weights, and multiplies each occurrence by the location factor. The final score sums these products across all identified terms.</w:t>
      </w:r>
    </w:p>
    <w:p w14:paraId="249B51EB" w14:textId="77777777" w:rsidR="008A7973" w:rsidRDefault="0005045B">
      <w:pPr>
        <w:pStyle w:val="Corpodetexto"/>
      </w:pPr>
      <w:r>
        <w:t>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p w14:paraId="249B51EC" w14:textId="77777777" w:rsidR="008A7973" w:rsidRDefault="0005045B">
      <w:pPr>
        <w:pStyle w:val="Ttulo3"/>
      </w:pPr>
      <w:bookmarkStart w:id="10" w:name="X490bbeb2aaaf014196396fff65d0dc66760b6fc"/>
      <w:bookmarkEnd w:id="9"/>
      <w:r>
        <w:t>2.4.3 Participatory Validation and Algorithm Refinement</w:t>
      </w:r>
    </w:p>
    <w:p w14:paraId="249B51ED" w14:textId="77777777" w:rsidR="008A7973" w:rsidRDefault="0005045B">
      <w:r>
        <w:t xml:space="preserve">To ensure scientific validity, a validation protocol involving three independent reviewers specializing in machine learning and GI systems was implemented. The protocol included a systematic manual review of 272 studies to verify adherence to </w:t>
      </w:r>
      <w:r>
        <w:lastRenderedPageBreak/>
        <w:t xml:space="preserve">inclusion criteria. An inter-rater concordance test verified classification consistency (Tricco, Lillie, </w:t>
      </w:r>
      <w:r>
        <w:rPr>
          <w:i/>
          <w:iCs/>
        </w:rPr>
        <w:t>et al.</w:t>
      </w:r>
      <w:r>
        <w:t>, 2018).</w:t>
      </w:r>
    </w:p>
    <w:p w14:paraId="249B51EE" w14:textId="77777777" w:rsidR="008A7973" w:rsidRDefault="0005045B">
      <w:pPr>
        <w:pStyle w:val="Corpodetexto"/>
      </w:pPr>
      <w:r>
        <w:t>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p w14:paraId="249B51EF" w14:textId="77777777" w:rsidR="008A7973" w:rsidRDefault="0005045B">
      <w:pPr>
        <w:pStyle w:val="Ttulo3"/>
      </w:pPr>
      <w:bookmarkStart w:id="11" w:name="Xe3fcea40ca83c6ba31c91a31de7749ef6e65ff9"/>
      <w:bookmarkEnd w:id="10"/>
      <w:r>
        <w:t>2.4.4 Coverage Verification and Automated Categorization</w:t>
      </w:r>
    </w:p>
    <w:p w14:paraId="249B51F0" w14:textId="77777777" w:rsidR="008A7973" w:rsidRDefault="0005045B">
      <w:r>
        <w:t>An automated system verified bibliographic coverage, ensuring completeness and consistency between textual citations and bibliographic files.</w:t>
      </w:r>
    </w:p>
    <w:p w14:paraId="249B51F1" w14:textId="77777777" w:rsidR="008A7973" w:rsidRDefault="0005045B">
      <w:pPr>
        <w:pStyle w:val="Corpodetexto"/>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 (Young, Luz and Lone, 2019; Casey </w:t>
      </w:r>
      <w:r>
        <w:rPr>
          <w:i/>
          <w:iCs/>
        </w:rPr>
        <w:t>et al.</w:t>
      </w:r>
      <w:r>
        <w:t>, 2021). References were classified into predefined methodological categories, including machine learning techniques and GI systems.</w:t>
      </w:r>
    </w:p>
    <w:p w14:paraId="249B51F2" w14:textId="77777777" w:rsidR="008A7973" w:rsidRDefault="0005045B">
      <w:pPr>
        <w:pStyle w:val="Corpodetexto"/>
      </w:pPr>
      <w:r>
        <w:t>To quantify coverage and study adequacy, citation coverage metrics and corpus bibliographic usage rates were applied (Webster and Watson, 2002; Tranfield, Denyer and Smart, 2003). These metrics allow quantitative evaluation of reference base utilization, ensuring selected studies adequately reflect the review’s thematic scope.</w:t>
      </w:r>
    </w:p>
    <w:p w14:paraId="249B51F3" w14:textId="77777777" w:rsidR="008A7973" w:rsidRDefault="0005045B">
      <w:pPr>
        <w:pStyle w:val="Ttulo2"/>
      </w:pPr>
      <w:bookmarkStart w:id="12" w:name="X83856b48d81732a17e15263cd4def15bcd52a86"/>
      <w:bookmarkEnd w:id="7"/>
      <w:bookmarkEnd w:id="11"/>
      <w:r>
        <w:t>2.5 Second Phase: Manual Methodological Quality Assessment</w:t>
      </w:r>
    </w:p>
    <w:p w14:paraId="249B51F4" w14:textId="77777777" w:rsidR="008A7973" w:rsidRDefault="0005045B">
      <w:r>
        <w:t xml:space="preserve">In the second phase, three independent reviewers assessed the methodological quality of selected studies, ensuring multidisciplinary analysis and reducing interpretive bias. The MMAT scale (Pluye </w:t>
      </w:r>
      <w:r>
        <w:rPr>
          <w:i/>
          <w:iCs/>
        </w:rPr>
        <w:t>et al.</w:t>
      </w:r>
      <w:r>
        <w:t xml:space="preserve">, 2009; Hong </w:t>
      </w:r>
      <w:r>
        <w:rPr>
          <w:i/>
          <w:iCs/>
        </w:rPr>
        <w:t>et al.</w:t>
      </w:r>
      <w:r>
        <w:t>, 2018) 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14:paraId="249B51F5" w14:textId="77777777" w:rsidR="008A7973" w:rsidRDefault="0005045B">
      <w:pPr>
        <w:pStyle w:val="Corpodetexto"/>
      </w:pPr>
      <w:r>
        <w:t>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 (Surname and Surname, 2025).</w:t>
      </w:r>
    </w:p>
    <w:p w14:paraId="249B51F6" w14:textId="77777777" w:rsidR="008A7973" w:rsidRDefault="0005045B">
      <w:pPr>
        <w:pStyle w:val="Corpodetexto"/>
      </w:pPr>
      <w:r>
        <w:rPr>
          <w:b/>
          <w:bCs/>
        </w:rPr>
        <w:t>Table 2.</w:t>
      </w:r>
      <w:r>
        <w:t xml:space="preserve"> Indicators of methodological quality for ML-GI studies.</w:t>
      </w:r>
    </w:p>
    <w:tbl>
      <w:tblPr>
        <w:tblStyle w:val="Table"/>
        <w:tblW w:w="5000" w:type="pct"/>
        <w:tblLayout w:type="fixed"/>
        <w:tblLook w:val="0020" w:firstRow="1" w:lastRow="0" w:firstColumn="0" w:lastColumn="0" w:noHBand="0" w:noVBand="0"/>
      </w:tblPr>
      <w:tblGrid>
        <w:gridCol w:w="851"/>
        <w:gridCol w:w="6087"/>
        <w:gridCol w:w="1900"/>
      </w:tblGrid>
      <w:tr w:rsidR="008A7973" w:rsidRPr="0005045B" w14:paraId="249B51FA" w14:textId="77777777" w:rsidTr="0005045B">
        <w:trPr>
          <w:tblHeader/>
        </w:trPr>
        <w:tc>
          <w:tcPr>
            <w:tcW w:w="851" w:type="dxa"/>
            <w:tcBorders>
              <w:top w:val="single" w:sz="4" w:space="0" w:color="auto"/>
              <w:bottom w:val="single" w:sz="4" w:space="0" w:color="auto"/>
            </w:tcBorders>
          </w:tcPr>
          <w:p w14:paraId="249B51F7" w14:textId="77777777" w:rsidR="008A7973" w:rsidRPr="0005045B" w:rsidRDefault="0005045B">
            <w:pPr>
              <w:rPr>
                <w:b/>
                <w:bCs/>
              </w:rPr>
            </w:pPr>
            <w:r w:rsidRPr="0005045B">
              <w:rPr>
                <w:b/>
                <w:bCs/>
              </w:rPr>
              <w:t>Code</w:t>
            </w:r>
          </w:p>
        </w:tc>
        <w:tc>
          <w:tcPr>
            <w:tcW w:w="6087" w:type="dxa"/>
            <w:tcBorders>
              <w:top w:val="single" w:sz="4" w:space="0" w:color="auto"/>
              <w:bottom w:val="single" w:sz="4" w:space="0" w:color="auto"/>
            </w:tcBorders>
          </w:tcPr>
          <w:p w14:paraId="249B51F8" w14:textId="77777777" w:rsidR="008A7973" w:rsidRPr="0005045B" w:rsidRDefault="0005045B">
            <w:pPr>
              <w:rPr>
                <w:b/>
                <w:bCs/>
              </w:rPr>
            </w:pPr>
            <w:r w:rsidRPr="0005045B">
              <w:rPr>
                <w:b/>
                <w:bCs/>
              </w:rPr>
              <w:t>Indicator</w:t>
            </w:r>
          </w:p>
        </w:tc>
        <w:tc>
          <w:tcPr>
            <w:tcW w:w="1900" w:type="dxa"/>
            <w:tcBorders>
              <w:top w:val="single" w:sz="4" w:space="0" w:color="auto"/>
              <w:bottom w:val="single" w:sz="4" w:space="0" w:color="auto"/>
            </w:tcBorders>
          </w:tcPr>
          <w:p w14:paraId="249B51F9" w14:textId="77777777" w:rsidR="008A7973" w:rsidRPr="0005045B" w:rsidRDefault="0005045B">
            <w:pPr>
              <w:rPr>
                <w:b/>
                <w:bCs/>
              </w:rPr>
            </w:pPr>
            <w:r w:rsidRPr="0005045B">
              <w:rPr>
                <w:b/>
                <w:bCs/>
              </w:rPr>
              <w:t>Domain</w:t>
            </w:r>
          </w:p>
        </w:tc>
      </w:tr>
      <w:tr w:rsidR="008A7973" w14:paraId="249B51FE" w14:textId="77777777" w:rsidTr="0005045B">
        <w:tc>
          <w:tcPr>
            <w:tcW w:w="851" w:type="dxa"/>
            <w:tcBorders>
              <w:top w:val="single" w:sz="4" w:space="0" w:color="auto"/>
            </w:tcBorders>
          </w:tcPr>
          <w:p w14:paraId="249B51FB" w14:textId="77777777" w:rsidR="008A7973" w:rsidRDefault="0005045B">
            <w:r>
              <w:t>RIG</w:t>
            </w:r>
          </w:p>
        </w:tc>
        <w:tc>
          <w:tcPr>
            <w:tcW w:w="6087" w:type="dxa"/>
            <w:tcBorders>
              <w:top w:val="single" w:sz="4" w:space="0" w:color="auto"/>
            </w:tcBorders>
          </w:tcPr>
          <w:p w14:paraId="249B51FC" w14:textId="77777777" w:rsidR="008A7973" w:rsidRPr="0005045B" w:rsidRDefault="0005045B">
            <w:pPr>
              <w:rPr>
                <w:lang w:val="en-US"/>
              </w:rPr>
            </w:pPr>
            <w:r w:rsidRPr="0005045B">
              <w:rPr>
                <w:lang w:val="en-US"/>
              </w:rPr>
              <w:t>Methodological rigor in territorial data collection and processing</w:t>
            </w:r>
          </w:p>
        </w:tc>
        <w:tc>
          <w:tcPr>
            <w:tcW w:w="1900" w:type="dxa"/>
            <w:tcBorders>
              <w:top w:val="single" w:sz="4" w:space="0" w:color="auto"/>
            </w:tcBorders>
          </w:tcPr>
          <w:p w14:paraId="249B51FD" w14:textId="77777777" w:rsidR="008A7973" w:rsidRDefault="0005045B">
            <w:r>
              <w:t xml:space="preserve">Territorial </w:t>
            </w:r>
            <w:proofErr w:type="spellStart"/>
            <w:r>
              <w:t>Quality</w:t>
            </w:r>
            <w:proofErr w:type="spellEnd"/>
          </w:p>
        </w:tc>
      </w:tr>
      <w:tr w:rsidR="008A7973" w14:paraId="249B5202" w14:textId="77777777" w:rsidTr="0005045B">
        <w:tc>
          <w:tcPr>
            <w:tcW w:w="851" w:type="dxa"/>
          </w:tcPr>
          <w:p w14:paraId="249B51FF" w14:textId="77777777" w:rsidR="008A7973" w:rsidRDefault="0005045B">
            <w:r>
              <w:lastRenderedPageBreak/>
              <w:t>VAL</w:t>
            </w:r>
          </w:p>
        </w:tc>
        <w:tc>
          <w:tcPr>
            <w:tcW w:w="6087" w:type="dxa"/>
          </w:tcPr>
          <w:p w14:paraId="249B5200" w14:textId="77777777" w:rsidR="008A7973" w:rsidRPr="0005045B" w:rsidRDefault="0005045B">
            <w:pPr>
              <w:rPr>
                <w:lang w:val="en-US"/>
              </w:rPr>
            </w:pPr>
            <w:r w:rsidRPr="0005045B">
              <w:rPr>
                <w:lang w:val="en-US"/>
              </w:rPr>
              <w:t>Technical validation of algorithms with appropriate metrics</w:t>
            </w:r>
          </w:p>
        </w:tc>
        <w:tc>
          <w:tcPr>
            <w:tcW w:w="1900" w:type="dxa"/>
          </w:tcPr>
          <w:p w14:paraId="249B5201" w14:textId="77777777" w:rsidR="008A7973" w:rsidRDefault="0005045B">
            <w:proofErr w:type="spellStart"/>
            <w:r>
              <w:t>Computational</w:t>
            </w:r>
            <w:proofErr w:type="spellEnd"/>
            <w:r>
              <w:t xml:space="preserve"> </w:t>
            </w:r>
            <w:proofErr w:type="spellStart"/>
            <w:r>
              <w:t>Quality</w:t>
            </w:r>
            <w:proofErr w:type="spellEnd"/>
          </w:p>
        </w:tc>
      </w:tr>
      <w:tr w:rsidR="008A7973" w14:paraId="249B5206" w14:textId="77777777" w:rsidTr="0005045B">
        <w:tc>
          <w:tcPr>
            <w:tcW w:w="851" w:type="dxa"/>
          </w:tcPr>
          <w:p w14:paraId="249B5203" w14:textId="77777777" w:rsidR="008A7973" w:rsidRDefault="0005045B">
            <w:r>
              <w:t>ETI</w:t>
            </w:r>
          </w:p>
        </w:tc>
        <w:tc>
          <w:tcPr>
            <w:tcW w:w="6087" w:type="dxa"/>
          </w:tcPr>
          <w:p w14:paraId="249B5204" w14:textId="77777777" w:rsidR="008A7973" w:rsidRPr="0005045B" w:rsidRDefault="0005045B">
            <w:pPr>
              <w:rPr>
                <w:lang w:val="en-US"/>
              </w:rPr>
            </w:pPr>
            <w:r w:rsidRPr="0005045B">
              <w:rPr>
                <w:lang w:val="en-US"/>
              </w:rPr>
              <w:t>Adherence to ethical protocols for research with producer communities</w:t>
            </w:r>
          </w:p>
        </w:tc>
        <w:tc>
          <w:tcPr>
            <w:tcW w:w="1900" w:type="dxa"/>
          </w:tcPr>
          <w:p w14:paraId="249B5205" w14:textId="77777777" w:rsidR="008A7973" w:rsidRDefault="0005045B">
            <w:proofErr w:type="spellStart"/>
            <w:r>
              <w:t>Ethical</w:t>
            </w:r>
            <w:proofErr w:type="spellEnd"/>
            <w:r>
              <w:t xml:space="preserve"> </w:t>
            </w:r>
            <w:proofErr w:type="spellStart"/>
            <w:r>
              <w:t>Quality</w:t>
            </w:r>
            <w:proofErr w:type="spellEnd"/>
          </w:p>
        </w:tc>
      </w:tr>
      <w:tr w:rsidR="008A7973" w14:paraId="249B520A" w14:textId="77777777" w:rsidTr="0005045B">
        <w:tc>
          <w:tcPr>
            <w:tcW w:w="851" w:type="dxa"/>
          </w:tcPr>
          <w:p w14:paraId="249B5207" w14:textId="77777777" w:rsidR="008A7973" w:rsidRDefault="0005045B">
            <w:r>
              <w:t>REP</w:t>
            </w:r>
          </w:p>
        </w:tc>
        <w:tc>
          <w:tcPr>
            <w:tcW w:w="6087" w:type="dxa"/>
          </w:tcPr>
          <w:p w14:paraId="249B5208" w14:textId="77777777" w:rsidR="008A7973" w:rsidRDefault="0005045B">
            <w:r>
              <w:t>Reproducibility of computational experiments</w:t>
            </w:r>
          </w:p>
        </w:tc>
        <w:tc>
          <w:tcPr>
            <w:tcW w:w="1900" w:type="dxa"/>
          </w:tcPr>
          <w:p w14:paraId="249B5209" w14:textId="77777777" w:rsidR="008A7973" w:rsidRDefault="0005045B">
            <w:r>
              <w:t>Technical Quality</w:t>
            </w:r>
          </w:p>
        </w:tc>
      </w:tr>
      <w:tr w:rsidR="008A7973" w14:paraId="249B520E" w14:textId="77777777" w:rsidTr="0005045B">
        <w:tc>
          <w:tcPr>
            <w:tcW w:w="851" w:type="dxa"/>
          </w:tcPr>
          <w:p w14:paraId="249B520B" w14:textId="77777777" w:rsidR="008A7973" w:rsidRDefault="0005045B">
            <w:r>
              <w:t>INT</w:t>
            </w:r>
          </w:p>
        </w:tc>
        <w:tc>
          <w:tcPr>
            <w:tcW w:w="6087" w:type="dxa"/>
          </w:tcPr>
          <w:p w14:paraId="249B520C" w14:textId="77777777" w:rsidR="008A7973" w:rsidRPr="0005045B" w:rsidRDefault="0005045B">
            <w:pPr>
              <w:rPr>
                <w:lang w:val="en-US"/>
              </w:rPr>
            </w:pPr>
            <w:r w:rsidRPr="0005045B">
              <w:rPr>
                <w:lang w:val="en-US"/>
              </w:rPr>
              <w:t>Effective integration between quantitative and qualitative territorial methods</w:t>
            </w:r>
          </w:p>
        </w:tc>
        <w:tc>
          <w:tcPr>
            <w:tcW w:w="1900" w:type="dxa"/>
          </w:tcPr>
          <w:p w14:paraId="249B520D" w14:textId="77777777" w:rsidR="008A7973" w:rsidRDefault="0005045B">
            <w:proofErr w:type="spellStart"/>
            <w:r>
              <w:t>Methodological</w:t>
            </w:r>
            <w:proofErr w:type="spellEnd"/>
            <w:r>
              <w:t xml:space="preserve"> </w:t>
            </w:r>
            <w:proofErr w:type="spellStart"/>
            <w:r>
              <w:t>Quality</w:t>
            </w:r>
            <w:proofErr w:type="spellEnd"/>
          </w:p>
        </w:tc>
      </w:tr>
      <w:tr w:rsidR="008A7973" w14:paraId="249B5212" w14:textId="77777777" w:rsidTr="0005045B">
        <w:tc>
          <w:tcPr>
            <w:tcW w:w="851" w:type="dxa"/>
          </w:tcPr>
          <w:p w14:paraId="249B520F" w14:textId="77777777" w:rsidR="008A7973" w:rsidRDefault="0005045B">
            <w:r>
              <w:t>IMP</w:t>
            </w:r>
          </w:p>
        </w:tc>
        <w:tc>
          <w:tcPr>
            <w:tcW w:w="6087" w:type="dxa"/>
          </w:tcPr>
          <w:p w14:paraId="249B5210" w14:textId="77777777" w:rsidR="008A7973" w:rsidRPr="0005045B" w:rsidRDefault="0005045B">
            <w:pPr>
              <w:rPr>
                <w:lang w:val="en-US"/>
              </w:rPr>
            </w:pPr>
            <w:r w:rsidRPr="0005045B">
              <w:rPr>
                <w:lang w:val="en-US"/>
              </w:rPr>
              <w:t>Impact and applicability of results for GI systems</w:t>
            </w:r>
          </w:p>
        </w:tc>
        <w:tc>
          <w:tcPr>
            <w:tcW w:w="1900" w:type="dxa"/>
          </w:tcPr>
          <w:p w14:paraId="249B5211" w14:textId="77777777" w:rsidR="008A7973" w:rsidRDefault="0005045B">
            <w:r>
              <w:t xml:space="preserve">Social </w:t>
            </w:r>
            <w:proofErr w:type="spellStart"/>
            <w:r>
              <w:t>Quality</w:t>
            </w:r>
            <w:proofErr w:type="spellEnd"/>
          </w:p>
        </w:tc>
      </w:tr>
      <w:tr w:rsidR="008A7973" w14:paraId="249B5216" w14:textId="77777777" w:rsidTr="0005045B">
        <w:tc>
          <w:tcPr>
            <w:tcW w:w="851" w:type="dxa"/>
          </w:tcPr>
          <w:p w14:paraId="249B5213" w14:textId="77777777" w:rsidR="008A7973" w:rsidRDefault="0005045B">
            <w:r>
              <w:t>DOC</w:t>
            </w:r>
          </w:p>
        </w:tc>
        <w:tc>
          <w:tcPr>
            <w:tcW w:w="6087" w:type="dxa"/>
          </w:tcPr>
          <w:p w14:paraId="249B5214" w14:textId="77777777" w:rsidR="008A7973" w:rsidRPr="0005045B" w:rsidRDefault="0005045B">
            <w:pPr>
              <w:rPr>
                <w:lang w:val="en-US"/>
              </w:rPr>
            </w:pPr>
            <w:r w:rsidRPr="0005045B">
              <w:rPr>
                <w:lang w:val="en-US"/>
              </w:rPr>
              <w:t>Complete documentation of algorithms and certification procedures</w:t>
            </w:r>
          </w:p>
        </w:tc>
        <w:tc>
          <w:tcPr>
            <w:tcW w:w="1900" w:type="dxa"/>
          </w:tcPr>
          <w:p w14:paraId="249B5215" w14:textId="77777777" w:rsidR="008A7973" w:rsidRDefault="0005045B">
            <w:proofErr w:type="spellStart"/>
            <w:r>
              <w:t>Documentary</w:t>
            </w:r>
            <w:proofErr w:type="spellEnd"/>
            <w:r>
              <w:t xml:space="preserve"> </w:t>
            </w:r>
            <w:proofErr w:type="spellStart"/>
            <w:r>
              <w:t>Quality</w:t>
            </w:r>
            <w:proofErr w:type="spellEnd"/>
          </w:p>
        </w:tc>
      </w:tr>
      <w:tr w:rsidR="008A7973" w14:paraId="249B521A" w14:textId="77777777" w:rsidTr="0005045B">
        <w:tc>
          <w:tcPr>
            <w:tcW w:w="851" w:type="dxa"/>
          </w:tcPr>
          <w:p w14:paraId="249B5217" w14:textId="77777777" w:rsidR="008A7973" w:rsidRDefault="0005045B">
            <w:r>
              <w:t>GEN</w:t>
            </w:r>
          </w:p>
        </w:tc>
        <w:tc>
          <w:tcPr>
            <w:tcW w:w="6087" w:type="dxa"/>
          </w:tcPr>
          <w:p w14:paraId="249B5218" w14:textId="77777777" w:rsidR="008A7973" w:rsidRPr="0005045B" w:rsidRDefault="0005045B">
            <w:pPr>
              <w:rPr>
                <w:lang w:val="en-US"/>
              </w:rPr>
            </w:pPr>
            <w:r w:rsidRPr="0005045B">
              <w:rPr>
                <w:lang w:val="en-US"/>
              </w:rPr>
              <w:t>Generalizability and transferability of proposed methods</w:t>
            </w:r>
          </w:p>
        </w:tc>
        <w:tc>
          <w:tcPr>
            <w:tcW w:w="1900" w:type="dxa"/>
          </w:tcPr>
          <w:p w14:paraId="249B5219" w14:textId="77777777" w:rsidR="008A7973" w:rsidRDefault="0005045B">
            <w:proofErr w:type="spellStart"/>
            <w:r>
              <w:t>Scientific</w:t>
            </w:r>
            <w:proofErr w:type="spellEnd"/>
            <w:r>
              <w:t xml:space="preserve"> </w:t>
            </w:r>
            <w:proofErr w:type="spellStart"/>
            <w:r>
              <w:t>Quality</w:t>
            </w:r>
            <w:proofErr w:type="spellEnd"/>
          </w:p>
        </w:tc>
      </w:tr>
    </w:tbl>
    <w:p w14:paraId="249B521B" w14:textId="77777777" w:rsidR="008A7973" w:rsidRDefault="0005045B">
      <w:pPr>
        <w:pStyle w:val="Ttulo3"/>
      </w:pPr>
      <w:bookmarkStart w:id="13" w:name="X9a11c98267a64c1c606ffa67740526b4b4a478d"/>
      <w:r>
        <w:t>2.5.1 Consensus Procedures and Inter-Rater Validation</w:t>
      </w:r>
    </w:p>
    <w:p w14:paraId="249B521C" w14:textId="77777777" w:rsidR="008A7973" w:rsidRDefault="0005045B">
      <w:r>
        <w:t>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 Shrout and Fleiss (1979), obtaining a value of 0.87 (95% CI: 0.84–0.91), indicating good concordance.</w:t>
      </w:r>
    </w:p>
    <w:p w14:paraId="249B521D" w14:textId="77777777" w:rsidR="008A7973" w:rsidRDefault="0005045B">
      <w:pPr>
        <w:pStyle w:val="Ttulo3"/>
      </w:pPr>
      <w:bookmarkStart w:id="14" w:name="X038e4647e408e5b51afeb797a9d021cc0ddde9a"/>
      <w:bookmarkEnd w:id="13"/>
      <w:r>
        <w:t>2.5.2 Specific Criteria for Interdisciplinary Studies</w:t>
      </w:r>
    </w:p>
    <w:p w14:paraId="249B521E" w14:textId="77777777" w:rsidR="008A7973" w:rsidRDefault="0005045B">
      <w:r>
        <w:t>Given the interdisciplinary nature of the studies, quality criteria examined the coherence of quantitative-qualitative integration, validation across multiple geographical contexts, algorithmic transparency, ethical adherence, and practical applicability for certification.</w:t>
      </w:r>
    </w:p>
    <w:p w14:paraId="249B521F" w14:textId="77777777" w:rsidR="008A7973" w:rsidRDefault="0005045B">
      <w:pPr>
        <w:pStyle w:val="Corpodetexto"/>
      </w:pPr>
      <w:r>
        <w:t>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p w14:paraId="249B5220" w14:textId="77777777" w:rsidR="008A7973" w:rsidRDefault="0005045B">
      <w:pPr>
        <w:pStyle w:val="Ttulo2"/>
      </w:pPr>
      <w:bookmarkStart w:id="15" w:name="third-phase-bibliometric-analysis"/>
      <w:bookmarkEnd w:id="12"/>
      <w:bookmarkEnd w:id="14"/>
      <w:r>
        <w:t>2.6 Third Phase: Bibliometric Analysis</w:t>
      </w:r>
    </w:p>
    <w:p w14:paraId="249B5221" w14:textId="77777777" w:rsidR="008A7973" w:rsidRDefault="0005045B">
      <w:r>
        <w:t>Lotka’s Law (Lotka, 1926) 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p w14:paraId="249B5222" w14:textId="77777777" w:rsidR="008A7973" w:rsidRDefault="0005045B">
      <w:pPr>
        <w:pStyle w:val="Ttulo2"/>
      </w:pPr>
      <w:bookmarkStart w:id="16" w:name="Xdc77d06ab5a57c1201f524951a51ab2fb15b341"/>
      <w:bookmarkEnd w:id="15"/>
      <w:r>
        <w:t>2.7 Fourth Phase: Qualitative Synthesis and Integration with Documentary Analysis</w:t>
      </w:r>
    </w:p>
    <w:p w14:paraId="249B5223" w14:textId="77777777" w:rsidR="008A7973" w:rsidRDefault="0005045B">
      <w:r>
        <w:t>The fourth phase systematically integrated findings with documentary analysis of regulatory frameworks to ground methodological recommendations.</w:t>
      </w:r>
    </w:p>
    <w:p w14:paraId="249B5224" w14:textId="77777777" w:rsidR="008A7973" w:rsidRDefault="0005045B">
      <w:pPr>
        <w:pStyle w:val="Corpodetexto"/>
      </w:pPr>
      <w:r>
        <w:lastRenderedPageBreak/>
        <w:t>The final synthesis combined thematic qualitative analysis with selection based on the Pareto principle (80/20), prioritizing the top 20% of articles by combined score (40% methodological quality, 35% thematic relevance, 25% bibliometric impact).</w:t>
      </w:r>
    </w:p>
    <w:p w14:paraId="249B5225" w14:textId="77777777" w:rsidR="008A7973" w:rsidRDefault="0005045B">
      <w:pPr>
        <w:pStyle w:val="Corpodetexto"/>
      </w:pPr>
      <w:r>
        <w:t>The final combined score was calculated using Equation (2):</w:t>
      </w:r>
    </w:p>
    <w:p w14:paraId="249B5226" w14:textId="77777777" w:rsidR="008A7973" w:rsidRDefault="0005045B">
      <w:pPr>
        <w:pStyle w:val="Corpodetexto"/>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249B5227" w14:textId="77777777" w:rsidR="008A7973" w:rsidRDefault="0005045B">
      <w:r>
        <w:t>Where:</w:t>
      </w:r>
    </w:p>
    <w:p w14:paraId="249B5228" w14:textId="77777777" w:rsidR="008A7973" w:rsidRDefault="0005045B">
      <w:pPr>
        <w:numPr>
          <w:ilvl w:val="0"/>
          <w:numId w:val="26"/>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final selection score</w:t>
      </w:r>
    </w:p>
    <w:p w14:paraId="249B5229" w14:textId="77777777" w:rsidR="008A7973" w:rsidRDefault="0005045B">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w:t>
      </w:r>
      <w:r>
        <w:t>= normalized methodological quality (0-1)</w:t>
      </w:r>
    </w:p>
    <w:p w14:paraId="249B522A" w14:textId="77777777" w:rsidR="008A7973" w:rsidRDefault="0005045B">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normalized thematic relevance (0-1)</w:t>
      </w:r>
    </w:p>
    <w:p w14:paraId="249B522B" w14:textId="77777777" w:rsidR="008A7973" w:rsidRDefault="0005045B">
      <w:pPr>
        <w:numPr>
          <w:ilvl w:val="0"/>
          <w:numId w:val="26"/>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normalized bibliometric impact (0-1)</w:t>
      </w:r>
    </w:p>
    <w:p w14:paraId="249B522C" w14:textId="77777777" w:rsidR="008A7973" w:rsidRDefault="0005045B">
      <w:pPr>
        <w:pStyle w:val="Ttulo2"/>
      </w:pPr>
      <w:bookmarkStart w:id="17" w:name="statistical-analyses"/>
      <w:bookmarkEnd w:id="16"/>
      <w:r>
        <w:t>2.8 Statistical Analyses</w:t>
      </w:r>
    </w:p>
    <w:p w14:paraId="249B522D" w14:textId="77777777" w:rsidR="008A7973" w:rsidRDefault="0005045B">
      <w:r>
        <w:t>Statistical analyses in R (Team, 2024) using RStudio (Team, 2023) systematically characterized the corpus and identified emerging patterns. Multiple Correspondence Analysis (MCA) investigated associations between categorical variables (algorithms, products, regions, analytical techniques), following Lê, Josse and Husson (2008) and Greenacre (2017), using FactoMineR to extract main dimensions. Subsequently, Cluster Analysis (k-means and hierarchical) using FactoMineR and factoextra identified recurring produ</w:t>
      </w:r>
      <w:r>
        <w:t>ct-instrument-algorithm groupings, synthesizing the “technological families” discussed in Section 3.8.</w:t>
      </w:r>
    </w:p>
    <w:p w14:paraId="249B522E" w14:textId="77777777" w:rsidR="008A7973" w:rsidRDefault="0005045B">
      <w:pPr>
        <w:pStyle w:val="Corpodetexto"/>
      </w:pPr>
      <w:r>
        <w:t xml:space="preserve">Network analysis mapped co-occurrences between algorithms, products, and regions (Csárdi and Nepusz, 2006; Schoch, 2020). Using igraph and ggraph, an undirected graph was constructed, calculating centrality metrics (degree, eigenvector, betweenness), and community detection was performed with the Louvain algorithm (Blondel </w:t>
      </w:r>
      <w:r>
        <w:rPr>
          <w:i/>
          <w:iCs/>
        </w:rPr>
        <w:t>et al.</w:t>
      </w:r>
      <w:r>
        <w:t>, 2008) to identify thematic modules (Section 3.9).</w:t>
      </w:r>
    </w:p>
    <w:p w14:paraId="249B522F" w14:textId="77777777" w:rsidR="008A7973" w:rsidRDefault="0005045B">
      <w:pPr>
        <w:pStyle w:val="Corpodetexto"/>
      </w:pPr>
      <w:r>
        <w:t>Time series and Spearman’s correlation test (Spearman, 1904) analyzed the temporal evolution of publications (2010–2025) to detect trends in study volume and algorithm adoption. Visualizations generated with ggplot2 used LOESS smoothing (Cleveland, 1979) to illustrate growth dynamics.</w:t>
      </w:r>
    </w:p>
    <w:p w14:paraId="249B5230" w14:textId="77777777" w:rsidR="008A7973" w:rsidRDefault="0005045B">
      <w:pPr>
        <w:pStyle w:val="Corpodetexto"/>
      </w:pPr>
      <w:r>
        <w:t xml:space="preserve">Finally, global predictive models evaluated whether bibliometric and methodological variables could anticipate study scores. Regression models (OLS, Ridge, Lasso, Random Forest) and classification models (Logistic Regression, Random Forest) were estimated using caret and randomForest with stratified k-fold cross-validation. Performance was evaluated via RMSE and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for regression, and accuracy, precision, sensitivity, and F1-score for classification (Section 3.7).</w:t>
      </w:r>
    </w:p>
    <w:p w14:paraId="249B5231" w14:textId="77777777" w:rsidR="008A7973" w:rsidRDefault="0005045B">
      <w:pPr>
        <w:pStyle w:val="Ttulo3"/>
      </w:pPr>
      <w:bookmarkStart w:id="18" w:name="multiple-correspondence-analysis-mca"/>
      <w:r>
        <w:lastRenderedPageBreak/>
        <w:t>2.8.1 Multiple Correspondence Analysis (MCA)</w:t>
      </w:r>
    </w:p>
    <w:p w14:paraId="249B5232" w14:textId="77777777" w:rsidR="008A7973" w:rsidRDefault="0005045B">
      <w:r>
        <w:t>MCA investigated associations between categorical variables, employing FactoMineR to interpret conceptual relationships. The analysis revealed three main dimensions explaining 45.2% of variance, with Dimension 1 (28.4%) contrasting European products (wines, cheeses) with Asian products (teas, meats), Dimension 2 (11.3%) separating spectroscopic techniques from chromatographic methods, and Dimension 3 (5.5%) differentiating supervised algorithms from unsupervised approaches.</w:t>
      </w:r>
    </w:p>
    <w:p w14:paraId="249B5233" w14:textId="77777777" w:rsidR="008A7973" w:rsidRDefault="0005045B">
      <w:pPr>
        <w:pStyle w:val="Ttulo3"/>
      </w:pPr>
      <w:bookmarkStart w:id="19" w:name="network-analysis"/>
      <w:bookmarkEnd w:id="18"/>
      <w:r>
        <w:t>2.8.2 Network Analysis</w:t>
      </w:r>
    </w:p>
    <w:p w14:paraId="249B5234" w14:textId="77777777" w:rsidR="008A7973" w:rsidRDefault="0005045B">
      <w:r>
        <w:t>Network analysis mapped co-occurrences, constructing a weighted undirected graph where nodes represent entities and edges indicate co-occurrence. Centrality metrics identified structurally central elements. The graph comprised 58 nodes and 142 edges (density = 0.43), with Neural Networks showing highest degree centrality (15), followed by SVM (12) and Random Forest (11). Modularity analysis identified three communities with Q = 0.62, representing technological specialization patterns.</w:t>
      </w:r>
    </w:p>
    <w:p w14:paraId="249B5235" w14:textId="77777777" w:rsidR="008A7973" w:rsidRDefault="0005045B">
      <w:pPr>
        <w:pStyle w:val="Corpodetexto"/>
      </w:pPr>
      <w:r>
        <w:t xml:space="preserve">Community detection using the Louvain algorithm (Blondel </w:t>
      </w:r>
      <w:r>
        <w:rPr>
          <w:i/>
          <w:iCs/>
        </w:rPr>
        <w:t>et al.</w:t>
      </w:r>
      <w:r>
        <w:t>, 2008) interpreted the resulting modular structure as thematic technological modules (Section 3.9).</w:t>
      </w:r>
    </w:p>
    <w:p w14:paraId="249B5236" w14:textId="77777777" w:rsidR="008A7973" w:rsidRDefault="0005045B">
      <w:pPr>
        <w:pStyle w:val="Ttulo3"/>
      </w:pPr>
      <w:bookmarkStart w:id="20" w:name="temporal-analysis"/>
      <w:bookmarkEnd w:id="19"/>
      <w:r>
        <w:t>2.8.3 Temporal Analysis</w:t>
      </w:r>
    </w:p>
    <w:p w14:paraId="249B5237" w14:textId="77777777" w:rsidR="008A7973" w:rsidRDefault="0005045B">
      <w:r>
        <w:t>Temporal evolution (2010–2025) was analyzed using Spearman’s correlation test (Spearman, 1904) and ggplot2 visualizations with LOESS smoothing (Cleveland, 1979) to illustrate field growth and technology adoption patterns across the study period.</w:t>
      </w:r>
    </w:p>
    <w:p w14:paraId="249B5238" w14:textId="77777777" w:rsidR="008A7973" w:rsidRDefault="0005045B">
      <w:pPr>
        <w:pStyle w:val="Corpodetexto"/>
      </w:pPr>
      <w:r>
        <w:rPr>
          <w:b/>
          <w:bCs/>
        </w:rPr>
        <w:t>Figure 2.</w:t>
      </w:r>
      <w:r>
        <w:t xml:space="preserve"> PRISMA-style flow diagram of identification, screening, and inclusion.</w:t>
      </w:r>
    </w:p>
    <w:p w14:paraId="249B5239" w14:textId="77777777" w:rsidR="008A7973" w:rsidRDefault="0005045B">
      <w:bookmarkStart w:id="21" w:name="fig:prisma2020"/>
      <w:r>
        <w:rPr>
          <w:noProof/>
        </w:rPr>
        <w:drawing>
          <wp:inline distT="0" distB="0" distL="0" distR="0" wp14:anchorId="249B52BC" wp14:editId="249B52BD">
            <wp:extent cx="4480560" cy="2473085"/>
            <wp:effectExtent l="0" t="0" r="0" b="0"/>
            <wp:docPr id="39" name="Picture" descr="PRISMA-style flow diagram"/>
            <wp:cNvGraphicFramePr/>
            <a:graphic xmlns:a="http://schemas.openxmlformats.org/drawingml/2006/main">
              <a:graphicData uri="http://schemas.openxmlformats.org/drawingml/2006/picture">
                <pic:pic xmlns:pic="http://schemas.openxmlformats.org/drawingml/2006/picture">
                  <pic:nvPicPr>
                    <pic:cNvPr id="40" name="Picture" descr="2-FIGURAS/2-EN/prisma_flowdiagram.png"/>
                    <pic:cNvPicPr>
                      <a:picLocks noChangeAspect="1" noChangeArrowheads="1"/>
                    </pic:cNvPicPr>
                  </pic:nvPicPr>
                  <pic:blipFill>
                    <a:blip r:embed="rId6"/>
                    <a:stretch>
                      <a:fillRect/>
                    </a:stretch>
                  </pic:blipFill>
                  <pic:spPr bwMode="auto">
                    <a:xfrm>
                      <a:off x="0" y="0"/>
                      <a:ext cx="4480560" cy="2473085"/>
                    </a:xfrm>
                    <a:prstGeom prst="rect">
                      <a:avLst/>
                    </a:prstGeom>
                    <a:noFill/>
                    <a:ln w="9525">
                      <a:noFill/>
                      <a:headEnd/>
                      <a:tailEnd/>
                    </a:ln>
                  </pic:spPr>
                </pic:pic>
              </a:graphicData>
            </a:graphic>
          </wp:inline>
        </w:drawing>
      </w:r>
    </w:p>
    <w:p w14:paraId="249B523A" w14:textId="77777777" w:rsidR="008A7973" w:rsidRDefault="0005045B">
      <w:r>
        <w:t>PRISMA-style flow diagram</w:t>
      </w:r>
    </w:p>
    <w:bookmarkEnd w:id="21"/>
    <w:p w14:paraId="249B523B" w14:textId="77777777" w:rsidR="008A7973" w:rsidRDefault="0005045B">
      <w:pPr>
        <w:pStyle w:val="Corpodetexto"/>
      </w:pPr>
      <w:r>
        <w:lastRenderedPageBreak/>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 (Ofori-Boateng </w:t>
      </w:r>
      <w:r>
        <w:rPr>
          <w:i/>
          <w:iCs/>
        </w:rPr>
        <w:t>et al.</w:t>
      </w:r>
      <w:r>
        <w:t>, 2024). The 100% reproducibility across multiple algorithm executions, combined with an inter-rater concordance of κ = 0.89, ensures that these findings reliably reflect the current state of scientific literature in this domain.</w:t>
      </w:r>
    </w:p>
    <w:p w14:paraId="249B523C" w14:textId="77777777" w:rsidR="008A7973" w:rsidRDefault="0005045B">
      <w:pPr>
        <w:pStyle w:val="Corpodetexto"/>
      </w:pPr>
      <w:r>
        <w:t>Manual methodological quality assessment yielded an intraclass correlation coefficient (ICC) of 0.87 (95% CI: 0.84–0.91), confirming robust inter-rater reliability and validating the inclusion criteria (Streiner and Norman, 2008). This validation confirms that the studies selected for synthesis meet rigorous methodological standards.</w:t>
      </w:r>
    </w:p>
    <w:p w14:paraId="249B523D" w14:textId="77777777" w:rsidR="008A7973" w:rsidRDefault="0005045B">
      <w:pPr>
        <w:pStyle w:val="Ttulo1"/>
      </w:pPr>
      <w:bookmarkStart w:id="22" w:name="results-and-discussion"/>
      <w:bookmarkEnd w:id="2"/>
      <w:bookmarkEnd w:id="17"/>
      <w:bookmarkEnd w:id="20"/>
      <w:r>
        <w:t>3. Results and Discussion</w:t>
      </w:r>
    </w:p>
    <w:p w14:paraId="249B523E" w14:textId="77777777" w:rsidR="008A7973" w:rsidRDefault="0005045B">
      <w:pPr>
        <w:pStyle w:val="Ttulo2"/>
      </w:pPr>
      <w:bookmarkStart w:id="23" w:name="Xe5f4b7ea23679217902aad19fe1787c18ce59de"/>
      <w:r>
        <w:t>3.1 Critical Synthesis of ML Applications in Geographical Indications</w:t>
      </w:r>
    </w:p>
    <w:p w14:paraId="249B523F" w14:textId="77777777" w:rsidR="008A7973" w:rsidRDefault="0005045B">
      <w:r>
        <w:t>The integration of Machine Learning (ML) into Geographical Indications (GIs) represents a paradigm shift in territorial certification, where data-driven models challenge traditional sensory and empirical approaches to origin verification. This critical review synthesizes evidence from 148 peer-reviewed studies (2010–2025), revealing that ML excels in sensing environmental signatures, such as spectral, elemental, and isotopic profiles, yet falters in seizing and transforming these insights into socially resi</w:t>
      </w:r>
      <w:r>
        <w:t>lient certification systems. Drawing on dynamic capabilities theory (</w:t>
      </w:r>
      <w:r>
        <w:rPr>
          <w:b/>
          <w:bCs/>
        </w:rPr>
        <w:t>Teece2007?</w:t>
      </w:r>
      <w:r>
        <w:t>), we argue that while ML enhances sensing capabilities through high-dimensional data processing, it often neglects seizing opportunities for equitable value capture and transforming institutions to address ecological and social vulnerabilities.</w:t>
      </w:r>
    </w:p>
    <w:p w14:paraId="249B5240" w14:textId="77777777" w:rsidR="008A7973" w:rsidRDefault="0005045B">
      <w:pPr>
        <w:pStyle w:val="Corpodetexto"/>
      </w:pPr>
      <w:r>
        <w:t xml:space="preserve">A dominant trend in the literature is the application of supervised ML algorithms for origin discrimination, with Random Forest and Support Vector Machines (SVM) prevailing in spectroscopy and chromatography for agricultural products like wines, meats, and teas (Chen </w:t>
      </w:r>
      <w:r>
        <w:rPr>
          <w:i/>
          <w:iCs/>
        </w:rPr>
        <w:t>et al.</w:t>
      </w:r>
      <w:r>
        <w:t xml:space="preserve">, 2020; Xu </w:t>
      </w:r>
      <w:r>
        <w:rPr>
          <w:i/>
          <w:iCs/>
        </w:rPr>
        <w:t>et al.</w:t>
      </w:r>
      <w:r>
        <w:t xml:space="preserve">, 2021; Mohammadi, Esteki and Simal-Gandara, 2024). These models achieve accuracies of 80–100% in controlled settings, demonstrating that ML can decode complex terroir relationships by identifying non-linear patterns in metabolomic and elemental data (Ramos </w:t>
      </w:r>
      <w:r>
        <w:rPr>
          <w:i/>
          <w:iCs/>
        </w:rPr>
        <w:t>et al.</w:t>
      </w:r>
      <w:r>
        <w:t xml:space="preserve">, 2025; Li </w:t>
      </w:r>
      <w:r>
        <w:rPr>
          <w:i/>
          <w:iCs/>
        </w:rPr>
        <w:t>et al.</w:t>
      </w:r>
      <w:r>
        <w:t xml:space="preserve">, 2025). Deep Learning, particularly Convolutional Neural Networks (CNNs), emerges for hyperspectral imaging, enabling automated feature extraction from unstructured data (Peng </w:t>
      </w:r>
      <w:r>
        <w:rPr>
          <w:i/>
          <w:iCs/>
        </w:rPr>
        <w:t>et al.</w:t>
      </w:r>
      <w:r>
        <w:t xml:space="preserve">, 2025; Feng </w:t>
      </w:r>
      <w:r>
        <w:rPr>
          <w:i/>
          <w:iCs/>
        </w:rPr>
        <w:t>et al.</w:t>
      </w:r>
      <w:r>
        <w:t>, 2025</w:t>
      </w:r>
      <w:r>
        <w:t xml:space="preserve">). PLS-DA and PCA remain foundational for chemometric preprocessing, reducing dimensionality while preserving territorial markers (Rebiai </w:t>
      </w:r>
      <w:r>
        <w:rPr>
          <w:i/>
          <w:iCs/>
        </w:rPr>
        <w:t>et al.</w:t>
      </w:r>
      <w:r>
        <w:t>, 2022).</w:t>
      </w:r>
    </w:p>
    <w:p w14:paraId="249B5241" w14:textId="77777777" w:rsidR="008A7973" w:rsidRDefault="0005045B">
      <w:pPr>
        <w:pStyle w:val="Corpodetexto"/>
      </w:pPr>
      <w:r>
        <w:lastRenderedPageBreak/>
        <w:t>Statistical analysis of the corpus reveals that 72% of studies focus on European and Asian products (wines: 34%, teas: 18%, olive oils: 8%), while Global South products remain underrepresented despite rich biodiversity potential. Temporal trends show exponential growth (Spearman’s ρ = 0.89, p &lt; 0.001), with Deep Learning adoption rising from 5% (2010–2015) to 28% (2020–2025). However, this technological optimism masks critical limitations.</w:t>
      </w:r>
    </w:p>
    <w:p w14:paraId="249B5242" w14:textId="77777777" w:rsidR="008A7973" w:rsidRDefault="0005045B">
      <w:pPr>
        <w:pStyle w:val="Corpodetexto"/>
      </w:pPr>
      <w:r>
        <w:t>Performance drops of 2–15% under spatial distribution shifts highlight a consensus on overfitting to local datasets, undermining generalization (Kuhn and Johnson, 2013; Effrosynidis and Arampatzis, 2021). Only 23% of studies employ external validation, revealing a methodological gap that risks eroding consumer trust in GI seals. From a Schumpeterian perspective (</w:t>
      </w:r>
      <w:r>
        <w:rPr>
          <w:b/>
          <w:bCs/>
        </w:rPr>
        <w:t>Schumpeter1934?</w:t>
      </w:r>
      <w:r>
        <w:t xml:space="preserve">), ML innovations in sensing are disruptive, but their diffusion is hindered by data silos and proprietary algorithms, perpetuating colonial biases where Northern institutions dominate model development (Wang </w:t>
      </w:r>
      <w:r>
        <w:rPr>
          <w:i/>
          <w:iCs/>
        </w:rPr>
        <w:t>et al.</w:t>
      </w:r>
      <w:r>
        <w:t>, 2025).</w:t>
      </w:r>
    </w:p>
    <w:p w14:paraId="249B5243" w14:textId="77777777" w:rsidR="008A7973" w:rsidRDefault="0005045B">
      <w:pPr>
        <w:pStyle w:val="Corpodetexto"/>
      </w:pPr>
      <w:r>
        <w:t xml:space="preserve">ML’s role in seizing value through fraud detection and quality control is evident in binary classification tasks, where sensitivity to adulteration prioritizes over overall accuracy (Salam </w:t>
      </w:r>
      <w:r>
        <w:rPr>
          <w:i/>
          <w:iCs/>
        </w:rPr>
        <w:t>et al.</w:t>
      </w:r>
      <w:r>
        <w:t xml:space="preserve">, 2021; Loyal </w:t>
      </w:r>
      <w:r>
        <w:rPr>
          <w:i/>
          <w:iCs/>
        </w:rPr>
        <w:t>et al.</w:t>
      </w:r>
      <w:r>
        <w:t xml:space="preserve">, 2022). For instance, SVM and KNN excel in identifying counterfeit products in honey and olive oils, integrating multimodal data (e.g., elemental and spectral) to approximate fraud probabilities (Isangediok and Gajamannage, 2022; Mohammadi, Esteki and Simal-Gandara, 2024). Regression models predict quality attributes like acidity or antioxidant capacity, offering rapid, non-destructive alternatives to traditional assays (Meena, Chakraborty and Mitra, 2024; Liu </w:t>
      </w:r>
      <w:r>
        <w:rPr>
          <w:i/>
          <w:iCs/>
        </w:rPr>
        <w:t>et al.</w:t>
      </w:r>
      <w:r>
        <w:t xml:space="preserve">, 2025). Yet, </w:t>
      </w:r>
      <w:r>
        <w:t xml:space="preserve">these applications often assume linear cost structures, ignoring asymmetric impacts on small producers in the Global South, where undetected fraud can devastate livelihoods (Iranzad and Liu, 2025). Blockchain-ML hybrids represent an emerging seizing strategy, enabling decentralized traceability that reduces intermediary risks (Gong, Zhang and Wang, 2023; Wang </w:t>
      </w:r>
      <w:r>
        <w:rPr>
          <w:i/>
          <w:iCs/>
        </w:rPr>
        <w:t>et al.</w:t>
      </w:r>
      <w:r>
        <w:t>, 2025). However, this convergence remains nascent, with only 21% of traceability studies adopting it, limiting its potential to transform suppl</w:t>
      </w:r>
      <w:r>
        <w:t>y chains into transparent, auditable systems.</w:t>
      </w:r>
    </w:p>
    <w:p w14:paraId="249B5244" w14:textId="77777777" w:rsidR="008A7973" w:rsidRDefault="0005045B">
      <w:pPr>
        <w:pStyle w:val="Corpodetexto"/>
      </w:pPr>
      <w:r>
        <w:t xml:space="preserve">The transformation phase, adapting institutions for sustainable GI systems, is where ML falls short. Interpretability emerges as a core lacuna, with only 14% of studies using SHAP or LIME to explain model decisions (Lundberg and Lee, 2017; Effrosynidis and Arampatzis, 2021). This opacity hinders legal defensibility, as certifiers demand transparent territorial markers for regulatory approval (He </w:t>
      </w:r>
      <w:r>
        <w:rPr>
          <w:i/>
          <w:iCs/>
        </w:rPr>
        <w:t>et al.</w:t>
      </w:r>
      <w:r>
        <w:t xml:space="preserve">, 2024). Network analysis identifies three technological modules, Trees + Spectroscopy, SVM/KNN + Chromatography, and Neural Networks + Sensors, yet these clusters reveal fragmentation rather than integration, with limited cross-module transfer </w:t>
      </w:r>
      <w:r>
        <w:lastRenderedPageBreak/>
        <w:t xml:space="preserve">learning (Blondel </w:t>
      </w:r>
      <w:r>
        <w:rPr>
          <w:i/>
          <w:iCs/>
        </w:rPr>
        <w:t>et al.</w:t>
      </w:r>
      <w:r>
        <w:t xml:space="preserve">, 2008; Chen </w:t>
      </w:r>
      <w:r>
        <w:rPr>
          <w:i/>
          <w:iCs/>
        </w:rPr>
        <w:t>et al.</w:t>
      </w:r>
      <w:r>
        <w:t>, 2020). From Berkes’ social-ecological resilience framework (Berkes, Colding and Folke, 2003), ML must foster adaptive governance that integrates producer communities and environmental monitoring. Current models are e</w:t>
      </w:r>
      <w:r>
        <w:t>cologically precise but socially sterile, failing to incorporate qualitative dimensions like traditional knowledge or community ethics (Huera-Lucero, García-López and Fernández-Ruiz, 2025). Longitudinal validation is absent in 94% of studies, ignoring temporal variability in terroir signatures under climate change (Kamilaris and Prenafeta-Boldú, 2018).</w:t>
      </w:r>
    </w:p>
    <w:p w14:paraId="249B5245" w14:textId="77777777" w:rsidR="008A7973" w:rsidRDefault="0005045B">
      <w:pPr>
        <w:pStyle w:val="Ttulo2"/>
      </w:pPr>
      <w:bookmarkStart w:id="24" w:name="Xa73d8d529670e0e2fcb0bf366e90ac885ac2618"/>
      <w:bookmarkEnd w:id="23"/>
      <w:r>
        <w:t>3.2 Product Registration and Algorithmic Shifts</w:t>
      </w:r>
    </w:p>
    <w:p w14:paraId="249B5246" w14:textId="77777777" w:rsidR="008A7973" w:rsidRDefault="0005045B">
      <w:r>
        <w:t>The temporal evolution of registered products (Figure 3a) reveals distinct patterns across major GI categories. Wine maintained consistent representation throughout the period, with peaks in 2021 (3 registrations) and 2023 (3 registrations), totaling 14 products across 2010–2025. Honey demonstrated concentrated growth, particularly during 2021–2024, accumulating 12 registrations. Olive products showed sporadic but sustained presence (6 total), while cheese and coffee remained underrepresented (4 and 1 regis</w:t>
      </w:r>
      <w:r>
        <w:t xml:space="preserve">trations, respectively). Spearman’s correlation analysis confirmed significant upward trends for wine (ρ = 0.615, p = 0.011), indicating systematic expansion in GI product diversity, especially post-2020 when accessibility to ML tools and high-performance analytical techniques drove methodological innovation (Liakos </w:t>
      </w:r>
      <w:r>
        <w:rPr>
          <w:i/>
          <w:iCs/>
        </w:rPr>
        <w:t>et al.</w:t>
      </w:r>
      <w:r>
        <w:t>, 2018).</w:t>
      </w:r>
    </w:p>
    <w:p w14:paraId="249B5247" w14:textId="77777777" w:rsidR="008A7973" w:rsidRDefault="0005045B">
      <w:pPr>
        <w:pStyle w:val="Corpodetexto"/>
      </w:pPr>
      <w:r>
        <w:t>Simultaneously, a paradigmatic shift in algorithms (Figure 3b) is evident: classical chemometric methods (PLS-DA, dominant until 2018) are being replaced by models with greater predictive capacity and flexibility (Random Forest, SVM from 2019 onward). Algorithm adoption showed significant shifts: SVM (ρ = 0.788, p &lt; 0.001) and Random Forest (ρ = 0.677, p = 0.004) demonstrated strong positive temporal correlations. Neural Networks emerged as the most adopted technique in 2020–2025 (33 applications), followed</w:t>
      </w:r>
      <w:r>
        <w:t xml:space="preserve"> by SVM (32) and Random Forest (21). Post-2022, Deep Learning and CNNs emerged specifically for processing hyperspectral and unstructured data (Lavine and Workman, 2005; Shah </w:t>
      </w:r>
      <w:r>
        <w:rPr>
          <w:i/>
          <w:iCs/>
        </w:rPr>
        <w:t>et al.</w:t>
      </w:r>
      <w:r>
        <w:t>, 2019).</w:t>
      </w:r>
    </w:p>
    <w:p w14:paraId="249B5248" w14:textId="77777777" w:rsidR="008A7973" w:rsidRDefault="0005045B">
      <w:pPr>
        <w:pStyle w:val="Corpodetexto"/>
      </w:pPr>
      <w:r>
        <w:t>Regional distribution remained stable, with 72% European/Asian focus, though Global South representation increased marginally from 18% to 22%.</w:t>
      </w:r>
    </w:p>
    <w:p w14:paraId="249B5249" w14:textId="77777777" w:rsidR="008A7973" w:rsidRDefault="0005045B">
      <w:pPr>
        <w:pStyle w:val="Corpodetexto"/>
      </w:pPr>
      <w:r>
        <w:rPr>
          <w:b/>
          <w:bCs/>
        </w:rPr>
        <w:t>Figure 3.</w:t>
      </w:r>
      <w:r>
        <w:t xml:space="preserve"> Temporal evolution of (a) registered GI products by category (Wine, Honey, Olive, Coffee, Cheese) and (b) adoption of main Machine Learning algorithms in GI studies.</w:t>
      </w:r>
    </w:p>
    <w:p w14:paraId="249B524A" w14:textId="77777777" w:rsidR="008A7973" w:rsidRDefault="0005045B">
      <w:bookmarkStart w:id="25" w:name="fig:temporal_evolution"/>
      <w:r>
        <w:rPr>
          <w:noProof/>
        </w:rPr>
        <w:lastRenderedPageBreak/>
        <w:drawing>
          <wp:inline distT="0" distB="0" distL="0" distR="0" wp14:anchorId="249B52BE" wp14:editId="249B52BF">
            <wp:extent cx="5040630" cy="1508552"/>
            <wp:effectExtent l="0" t="0" r="0" b="0"/>
            <wp:docPr id="47" name="Picture" descr="Temporal evolution of publications and algorithms"/>
            <wp:cNvGraphicFramePr/>
            <a:graphic xmlns:a="http://schemas.openxmlformats.org/drawingml/2006/main">
              <a:graphicData uri="http://schemas.openxmlformats.org/drawingml/2006/picture">
                <pic:pic xmlns:pic="http://schemas.openxmlformats.org/drawingml/2006/picture">
                  <pic:nvPicPr>
                    <pic:cNvPr id="48" name="Picture" descr="2-FIGURAS/2-EN/evolucao_temporal.png"/>
                    <pic:cNvPicPr>
                      <a:picLocks noChangeAspect="1" noChangeArrowheads="1"/>
                    </pic:cNvPicPr>
                  </pic:nvPicPr>
                  <pic:blipFill>
                    <a:blip r:embed="rId7"/>
                    <a:stretch>
                      <a:fillRect/>
                    </a:stretch>
                  </pic:blipFill>
                  <pic:spPr bwMode="auto">
                    <a:xfrm>
                      <a:off x="0" y="0"/>
                      <a:ext cx="5040630" cy="1508552"/>
                    </a:xfrm>
                    <a:prstGeom prst="rect">
                      <a:avLst/>
                    </a:prstGeom>
                    <a:noFill/>
                    <a:ln w="9525">
                      <a:noFill/>
                      <a:headEnd/>
                      <a:tailEnd/>
                    </a:ln>
                  </pic:spPr>
                </pic:pic>
              </a:graphicData>
            </a:graphic>
          </wp:inline>
        </w:drawing>
      </w:r>
    </w:p>
    <w:p w14:paraId="249B524B" w14:textId="77777777" w:rsidR="008A7973" w:rsidRDefault="0005045B">
      <w:r>
        <w:t>Temporal evolution of publications and algorithms</w:t>
      </w:r>
    </w:p>
    <w:p w14:paraId="249B524C" w14:textId="77777777" w:rsidR="008A7973" w:rsidRDefault="0005045B">
      <w:pPr>
        <w:pStyle w:val="Ttulo2"/>
      </w:pPr>
      <w:bookmarkStart w:id="26" w:name="Xac1ac0681f07297f75437e698acae22d19a6cb1"/>
      <w:bookmarkEnd w:id="24"/>
      <w:bookmarkEnd w:id="25"/>
      <w:r>
        <w:t>3.3 Algorithmic Landscape and Methodological Challenges</w:t>
      </w:r>
    </w:p>
    <w:p w14:paraId="249B524D" w14:textId="77777777" w:rsidR="008A7973" w:rsidRDefault="0005045B">
      <w:r>
        <w:t xml:space="preserve">The algorithmic landscape in GI authentication is dominated by supervised models like Random Forest, SVM, and PLS-DA, which excel in handling high-dimensional data from spectroscopy and chromatography (Xu </w:t>
      </w:r>
      <w:r>
        <w:rPr>
          <w:i/>
          <w:iCs/>
        </w:rPr>
        <w:t>et al.</w:t>
      </w:r>
      <w:r>
        <w:t xml:space="preserve">, 2021; Rebiai </w:t>
      </w:r>
      <w:r>
        <w:rPr>
          <w:i/>
          <w:iCs/>
        </w:rPr>
        <w:t>et al.</w:t>
      </w:r>
      <w:r>
        <w:t xml:space="preserve">, 2022; Mohammadi, Esteki and Simal-Gandara, 2024). These algorithms provide interpretable feature importance, crucial for regulatory transparency (Lundberg and Lee, 2017). However, Deep Learning’s opacity poses risks to legal defensibility, as “black-box” models fail to explain territorial markers (He </w:t>
      </w:r>
      <w:r>
        <w:rPr>
          <w:i/>
          <w:iCs/>
        </w:rPr>
        <w:t>et al.</w:t>
      </w:r>
      <w:r>
        <w:t>, 2024). Dimensionality reduction via PCA and feature selection (e.g., Boruta) mitigates overfitting but cannot compensate for data biases rooted in colonial research paradigm</w:t>
      </w:r>
      <w:r>
        <w:t>s (</w:t>
      </w:r>
      <w:r>
        <w:rPr>
          <w:b/>
          <w:bCs/>
        </w:rPr>
        <w:t>Zhang2025MRF?</w:t>
      </w:r>
      <w:r>
        <w:t>).</w:t>
      </w:r>
    </w:p>
    <w:p w14:paraId="249B524E" w14:textId="77777777" w:rsidR="008A7973" w:rsidRDefault="0005045B">
      <w:pPr>
        <w:pStyle w:val="Corpodetexto"/>
      </w:pPr>
      <w:r>
        <w:t>ML models demonstrate high accuracies (80–100%) in lab settings, yet external validation reveals drops of 2–15%, exposing statistical optimism that undermines GI integrity (Kuhn and Johnson, 2013; Effrosynidis and Arampatzis, 2021). This gap is not technical but epistemological: models trained on static datasets ignore dynamic terroir changes under climate shifts, risking false certifications that erode consumer trust (Iranzad and Liu, 2025).</w:t>
      </w:r>
    </w:p>
    <w:p w14:paraId="249B524F" w14:textId="77777777" w:rsidR="008A7973" w:rsidRDefault="0005045B">
      <w:pPr>
        <w:pStyle w:val="Corpodetexto"/>
      </w:pPr>
      <w:r>
        <w:t>The literature converges on a triadic set of structural deficiencies concerning spatial and temporal generalization, model interpretability alongside bias mitigation, and the incorporation of social-ecological dimensions. These limitations are statistically substantiated by the marginal prevalence of longitudinal validation (6%), the limited adoption of explainability techniques such as SHAP or LIME (14%), and the scarcity of cross-regional transfer learning tests (12%).</w:t>
      </w:r>
    </w:p>
    <w:p w14:paraId="249B5250" w14:textId="77777777" w:rsidR="008A7973" w:rsidRDefault="0005045B">
      <w:pPr>
        <w:pStyle w:val="Corpodetexto"/>
      </w:pPr>
      <w:r>
        <w:t xml:space="preserve">Furthermore, network analysis of 148 studies delineates three distinct technological modules with varying cohesion patterns (density: 0.53–0.68), yet highlights a persistent friction in cross-module knowledge transfer. Collectively, these gaps expose a pervasive technocratic bias wherein machine learning prioritizes algorithmic precision over equity and resilience. Consequently, the exponential growth of the field, though catalyzed by accessible computational tools, has failed to </w:t>
      </w:r>
      <w:r>
        <w:lastRenderedPageBreak/>
        <w:t xml:space="preserve">materialize into tangible policy impact, as models remain sequestered within academic silos rather than operationalizing conservation strategies Liakos </w:t>
      </w:r>
      <w:r>
        <w:rPr>
          <w:i/>
          <w:iCs/>
        </w:rPr>
        <w:t>et al.</w:t>
      </w:r>
      <w:r>
        <w:t xml:space="preserve"> (2018).</w:t>
      </w:r>
    </w:p>
    <w:p w14:paraId="249B5251" w14:textId="77777777" w:rsidR="008A7973" w:rsidRDefault="0005045B">
      <w:pPr>
        <w:pStyle w:val="Ttulo2"/>
      </w:pPr>
      <w:bookmarkStart w:id="27" w:name="technological-families-and-applications"/>
      <w:bookmarkEnd w:id="26"/>
      <w:r>
        <w:t>3.4 Technological Families and Applications</w:t>
      </w:r>
    </w:p>
    <w:p w14:paraId="249B5252" w14:textId="77777777" w:rsidR="008A7973" w:rsidRDefault="0005045B">
      <w:r>
        <w:t>Multiple Correspondence Analysis (Figura 4) of 148 studies revealed structured associations between categorical variables, explaining 45.2% of variance across three dimensions: Dimension 1 (28.4%) contrasts European products (wines 34%, cheeses 12%) with Asian products (teas 18%, meats 15%); Dimension 2 (11.3%) separates spectroscopic techniques (NIR, FTIR) from chromatographic methods (GC-MS, LC-MS); and Dimension 3 (5.5%) differentiates supervised algorithms (Random Forest, SVM) from unsupervised approach</w:t>
      </w:r>
      <w:r>
        <w:t>es (PCA, clustering).</w:t>
      </w:r>
    </w:p>
    <w:p w14:paraId="249B5253" w14:textId="77777777" w:rsidR="008A7973" w:rsidRDefault="0005045B">
      <w:pPr>
        <w:pStyle w:val="Corpodetexto"/>
      </w:pPr>
      <w:r>
        <w:rPr>
          <w:b/>
          <w:bCs/>
        </w:rPr>
        <w:t>Figure 4.</w:t>
      </w:r>
      <w:r>
        <w:t xml:space="preserve"> MCA biplot showing associations between products, algorithms, and analytical techniques. Dimension 1 separates European from Asian products, while Dimension 2 contrasts spectroscopic vs. chromatographic methods.</w:t>
      </w:r>
    </w:p>
    <w:p w14:paraId="249B5254" w14:textId="77777777" w:rsidR="008A7973" w:rsidRDefault="0005045B">
      <w:bookmarkStart w:id="28" w:name="fig:mca_biplot"/>
      <w:r>
        <w:rPr>
          <w:noProof/>
        </w:rPr>
        <w:drawing>
          <wp:inline distT="0" distB="0" distL="0" distR="0" wp14:anchorId="249B52C0" wp14:editId="249B52C1">
            <wp:extent cx="5040630" cy="3600232"/>
            <wp:effectExtent l="0" t="0" r="0" b="0"/>
            <wp:docPr id="53" name="Picture" descr="MCA biplot of technological associations"/>
            <wp:cNvGraphicFramePr/>
            <a:graphic xmlns:a="http://schemas.openxmlformats.org/drawingml/2006/main">
              <a:graphicData uri="http://schemas.openxmlformats.org/drawingml/2006/picture">
                <pic:pic xmlns:pic="http://schemas.openxmlformats.org/drawingml/2006/picture">
                  <pic:nvPicPr>
                    <pic:cNvPr id="54" name="Picture" descr="2-FIGURAS/2-EN/mca_biplot.png"/>
                    <pic:cNvPicPr>
                      <a:picLocks noChangeAspect="1" noChangeArrowheads="1"/>
                    </pic:cNvPicPr>
                  </pic:nvPicPr>
                  <pic:blipFill>
                    <a:blip r:embed="rId8"/>
                    <a:stretch>
                      <a:fillRect/>
                    </a:stretch>
                  </pic:blipFill>
                  <pic:spPr bwMode="auto">
                    <a:xfrm>
                      <a:off x="0" y="0"/>
                      <a:ext cx="5040630" cy="3600232"/>
                    </a:xfrm>
                    <a:prstGeom prst="rect">
                      <a:avLst/>
                    </a:prstGeom>
                    <a:noFill/>
                    <a:ln w="9525">
                      <a:noFill/>
                      <a:headEnd/>
                      <a:tailEnd/>
                    </a:ln>
                  </pic:spPr>
                </pic:pic>
              </a:graphicData>
            </a:graphic>
          </wp:inline>
        </w:drawing>
      </w:r>
    </w:p>
    <w:p w14:paraId="249B5255" w14:textId="77777777" w:rsidR="008A7973" w:rsidRDefault="0005045B">
      <w:r>
        <w:t>MCA biplot of technological associations</w:t>
      </w:r>
    </w:p>
    <w:bookmarkEnd w:id="28"/>
    <w:p w14:paraId="249B5256" w14:textId="77777777" w:rsidR="008A7973" w:rsidRDefault="0005045B">
      <w:pPr>
        <w:pStyle w:val="Corpodetexto"/>
      </w:pPr>
      <w:r>
        <w:t>The Multiple Correspondence Analysis (MCA) coordinates reveal a marked statistical polarization, wherein wines exhibit a strong convergence with Random Forest algorithms and NIR spectroscopy (0.85, 0.32), standing in sharp contrast to the predominant association between teas, SVM, and GC-MS (-0.67, 0.91). This statistical validation of technological families elucidates how specific algorithm-instrument-</w:t>
      </w:r>
      <w:r>
        <w:lastRenderedPageBreak/>
        <w:t xml:space="preserve">product triads crystallize within research practices (Salam </w:t>
      </w:r>
      <w:r>
        <w:rPr>
          <w:i/>
          <w:iCs/>
        </w:rPr>
        <w:t>et al.</w:t>
      </w:r>
      <w:r>
        <w:t>, 2021), evolving into functional architectures that encompass origin discrimination via multivariate signatures and sensitivity-prioritized fraud detection, extending to blockchain-integrated traceability, industrial predictive quality control, and consumer preference modeling Meena, Chakraborty and Mitra (2024). Nevertheless, the delineation of such hermetic technological clusters, exemplified by the entrenched application of SVM and NIR fo</w:t>
      </w:r>
      <w:r>
        <w:t xml:space="preserve">r honey, suggests the entrenchment of methodological silos which, as cautioned by Blondel </w:t>
      </w:r>
      <w:r>
        <w:rPr>
          <w:i/>
          <w:iCs/>
        </w:rPr>
        <w:t>et al.</w:t>
      </w:r>
      <w:r>
        <w:t xml:space="preserve"> (2008), ultimately impede cross-domain innovation.</w:t>
      </w:r>
    </w:p>
    <w:p w14:paraId="249B5257" w14:textId="77777777" w:rsidR="008A7973" w:rsidRDefault="0005045B">
      <w:pPr>
        <w:pStyle w:val="Ttulo2"/>
      </w:pPr>
      <w:bookmarkStart w:id="29" w:name="X0adf7dfdee69e63d67fa458adf82255bb74481c"/>
      <w:bookmarkEnd w:id="27"/>
      <w:r>
        <w:t>3.5 Future Directions and Policy Implications</w:t>
      </w:r>
    </w:p>
    <w:p w14:paraId="249B5258" w14:textId="77777777" w:rsidR="008A7973" w:rsidRDefault="0005045B">
      <w:r>
        <w:t xml:space="preserve">Critical gaps include limited transfer learning (12% of studies), absent longitudinal validation (94%), and scarce interpretability (14%) (Kamilaris and Prenafeta-Boldú, 2018; Chen </w:t>
      </w:r>
      <w:r>
        <w:rPr>
          <w:i/>
          <w:iCs/>
        </w:rPr>
        <w:t>et al.</w:t>
      </w:r>
      <w:r>
        <w:t>, 2020). Statistical analysis shows that while multimodal fusion accounts for 28% of recent studies (2024–2025), blockchain integration remains nascent (9%). Portable ML devices offer promise for in-situ authentication, but require model compression to democratize access (Effrosynidis and Arampatzis, 2021). Future research must integrate social-ecological dimensions, co-developing models with communities to ensure resilience (Berkes, Colding and Folke, 2003).</w:t>
      </w:r>
    </w:p>
    <w:p w14:paraId="249B5259" w14:textId="77777777" w:rsidR="008A7973" w:rsidRDefault="0005045B">
      <w:pPr>
        <w:pStyle w:val="Ttulo3"/>
      </w:pPr>
      <w:bookmarkStart w:id="30" w:name="Xeea343996a3249a3400e13d96825e3e53e3902b"/>
      <w:r>
        <w:t>3.5.1 Implications for Environmental Policy and Governance</w:t>
      </w:r>
    </w:p>
    <w:p w14:paraId="249B525A" w14:textId="77777777" w:rsidR="008A7973" w:rsidRDefault="0005045B">
      <w:r>
        <w:t xml:space="preserve">The integration of ML into GI systems offers a promising pathway for the “auditability of ecosystem services” . By correlating chemical signatures with environmental variables, models can indirectly verify sustainable management practices (Camin </w:t>
      </w:r>
      <w:r>
        <w:rPr>
          <w:i/>
          <w:iCs/>
        </w:rPr>
        <w:t>et al.</w:t>
      </w:r>
      <w:r>
        <w:t>, 2017), transforming the GI seal into a verifiable certificate of environmental compliance. This is crucial for preventing greenwashing in markets that value sustainability, ensuring that the price premium benefits producers who effectively conserve agrobiodiversity Teuber (2011).</w:t>
      </w:r>
    </w:p>
    <w:p w14:paraId="249B525B" w14:textId="77777777" w:rsidR="008A7973" w:rsidRDefault="0005045B">
      <w:pPr>
        <w:pStyle w:val="Corpodetexto"/>
      </w:pPr>
      <w:r>
        <w:t xml:space="preserve">Consequently, policymakers and certification bodies are urged to transition from reliance on subjective sensory evaluations to the formal integration of validated predictive models into technical standards (Granato </w:t>
      </w:r>
      <w:r>
        <w:rPr>
          <w:i/>
          <w:iCs/>
        </w:rPr>
        <w:t>et al.</w:t>
      </w:r>
      <w:r>
        <w:t xml:space="preserve">, 2018), thereby capturing the objective fingerprints of soil and climate. This regulatory evolution necessitates the establishment of rigorous algorithmic transparency mandates, ensuring that authentication decisions are grounded in biologically and geographically plausible criteria rather than opaque computations Broadhurst </w:t>
      </w:r>
      <w:r>
        <w:rPr>
          <w:i/>
          <w:iCs/>
        </w:rPr>
        <w:t>et al.</w:t>
      </w:r>
      <w:r>
        <w:t xml:space="preserve"> (2018). Furthermore, the scalability of these systems depends on the strategic fostering of public data repositories, where open spectral and metabolomic libraries enable </w:t>
      </w:r>
      <w:r>
        <w:t xml:space="preserve">cross-validation and the development of robust regional models (Wilkinson, 2021), a measure </w:t>
      </w:r>
      <w:r>
        <w:lastRenderedPageBreak/>
        <w:t>particularly critical for mitigating technological asymmetries in the Global South (Kshetri, 2014).</w:t>
      </w:r>
    </w:p>
    <w:p w14:paraId="249B525C" w14:textId="77777777" w:rsidR="008A7973" w:rsidRDefault="0005045B">
      <w:pPr>
        <w:pStyle w:val="Corpodetexto"/>
      </w:pPr>
      <w:r>
        <w:t>Furthermore, classification algorithms can be deployed by regulatory agencies to monitor environmental compliance at scale (Weiss, Jacob and Duveiller, 2020). In vast territories like the Amazon or the Cerrado, where physical inspections are costly and logistically challenging, ML models trained on remote sensing and product samples can act as a first line of defense Gomes, Queiroz and Ferreira (2023), flagging anomalies that warrant on-site verification. This reduces audit costs and increases the effective</w:t>
      </w:r>
      <w:r>
        <w:t xml:space="preserve">ness of environmental governance (Liakos </w:t>
      </w:r>
      <w:r>
        <w:rPr>
          <w:i/>
          <w:iCs/>
        </w:rPr>
        <w:t>et al.</w:t>
      </w:r>
      <w:r>
        <w:t>, 2018).</w:t>
      </w:r>
    </w:p>
    <w:p w14:paraId="249B525D" w14:textId="77777777" w:rsidR="008A7973" w:rsidRDefault="0005045B">
      <w:pPr>
        <w:pStyle w:val="Corpodetexto"/>
      </w:pPr>
      <w:r>
        <w:t xml:space="preserve">For certification systems, the analysis of 148 studies indicates that Machine Learning techniques have potential to strengthen GI certification, but practical implementation remains limited by validation, interpretability, and governance challenges. The heterogeneity in reported accuracy rates (82% to 100%) reflects differences in methodological rigor, sample size, and application context. Only 23% of studies report validation with samples from regions not represented in training, with performance drops of </w:t>
      </w:r>
      <w:r>
        <w:t xml:space="preserve">up to 15% (Kuhn and Johnson, 2013; Chen </w:t>
      </w:r>
      <w:r>
        <w:rPr>
          <w:i/>
          <w:iCs/>
        </w:rPr>
        <w:t>et al.</w:t>
      </w:r>
      <w:r>
        <w:t>, 2020; Effrosynidis and Arampatzis, 2021), evidencing that spatially independent validation is indispensable for legal defensibility.</w:t>
      </w:r>
    </w:p>
    <w:p w14:paraId="249B525E" w14:textId="77777777" w:rsidR="008A7973" w:rsidRDefault="0005045B">
      <w:pPr>
        <w:pStyle w:val="Corpodetexto"/>
      </w:pPr>
      <w:r>
        <w:t>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 From a geographical perspective, the concentration of 72% of studies on European and Asian products opens evident opportunities for GIs in developing countries, including Brazil, where cof</w:t>
      </w:r>
      <w:r>
        <w:t xml:space="preserve">fee, cheese, cachaça, and cocoa can benefit from consolidated methodologies (Frigerio and Campone, 2024; Li </w:t>
      </w:r>
      <w:r>
        <w:rPr>
          <w:i/>
          <w:iCs/>
        </w:rPr>
        <w:t>et al.</w:t>
      </w:r>
      <w:r>
        <w:t>, 2025). The consolidation of ML in GI systems requires a support ecosystem articulating laboratory infrastructure, data science competencies, and data governance, integrating empirical knowledge of producer communities with computational evidence (Huera-Lucero, García-López and Fernández-Ruiz, 2025).</w:t>
      </w:r>
    </w:p>
    <w:p w14:paraId="249B525F" w14:textId="77777777" w:rsidR="008A7973" w:rsidRDefault="0005045B">
      <w:pPr>
        <w:pStyle w:val="Ttulo1"/>
      </w:pPr>
      <w:bookmarkStart w:id="31" w:name="conclusions"/>
      <w:bookmarkEnd w:id="22"/>
      <w:bookmarkEnd w:id="29"/>
      <w:bookmarkEnd w:id="30"/>
      <w:r>
        <w:t>4. Conclusions</w:t>
      </w:r>
    </w:p>
    <w:p w14:paraId="249B5260" w14:textId="77777777" w:rsidR="008A7973" w:rsidRDefault="0005045B">
      <w:r>
        <w:t xml:space="preserve">This review maps the convergence of Machine Learning and origin certification, revealing a field undergoing methodological maturation that is transitioning from mere geographical discrimination to precision environmental auditing. Evidence indicates that ML possesses the technical capacity to validate </w:t>
      </w:r>
      <w:r>
        <w:rPr>
          <w:i/>
          <w:iCs/>
        </w:rPr>
        <w:t>terroir</w:t>
      </w:r>
      <w:r>
        <w:t xml:space="preserve"> integrity and detect fraud with superior accuracy compared to traditional methods, yet its application as an environmental governance tool still faces implementation barriers.</w:t>
      </w:r>
    </w:p>
    <w:p w14:paraId="249B5261" w14:textId="77777777" w:rsidR="008A7973" w:rsidRDefault="0005045B">
      <w:pPr>
        <w:pStyle w:val="Corpodetexto"/>
      </w:pPr>
      <w:r>
        <w:lastRenderedPageBreak/>
        <w:t xml:space="preserve">Algorithmic choices currently reflect an ecology of informational and regulatory constraints. The predominance of </w:t>
      </w:r>
      <w:r>
        <w:rPr>
          <w:i/>
          <w:iCs/>
        </w:rPr>
        <w:t>in silico</w:t>
      </w:r>
      <w:r>
        <w:t xml:space="preserve"> validations and the scarcity of longitudinal and spatial tests undermine the legal robustness of models, necessitating rigorous validation protocols that simulate real-world climate variations. Effective integration into certification systems requires a paradigm shift that prioritizes explainability and reproducibility over sheer architectural complexity.</w:t>
      </w:r>
    </w:p>
    <w:p w14:paraId="249B5262" w14:textId="77777777" w:rsidR="008A7973" w:rsidRDefault="0005045B">
      <w:pPr>
        <w:pStyle w:val="Corpodetexto"/>
      </w:pPr>
      <w:r>
        <w:t>For the Global South, the path forward involves developing methodologies adapted to local contexts and biodiversity, integrating equity and governance into the distribution of territorial knowledge benefits. Ultimately, the success of Machine Learning in Geographical Indications will not be measured solely by statistical accuracy, but by its capacity to strengthen the epistemic sovereignty of local communities and ensure the conservation of natural resources that underpin product typicity.</w:t>
      </w:r>
    </w:p>
    <w:p w14:paraId="249B5263" w14:textId="77777777" w:rsidR="008A7973" w:rsidRDefault="0005045B">
      <w:pPr>
        <w:pStyle w:val="Ttulo1"/>
      </w:pPr>
      <w:bookmarkStart w:id="32" w:name="acknowledgments"/>
      <w:bookmarkEnd w:id="31"/>
      <w:r>
        <w:t>Acknowledgments</w:t>
      </w:r>
    </w:p>
    <w:p w14:paraId="249B5264" w14:textId="77777777" w:rsidR="008A7973" w:rsidRDefault="0005045B">
      <w:r>
        <w:t>The authors thank the Universidade Federal de Sergipe (UFS), the State University of Feira de Santana (UEFS), and the Instituto Federal de Sergipe (IFS) for the institutional and infrastructural support that enabled this research.</w:t>
      </w:r>
    </w:p>
    <w:p w14:paraId="249B5265" w14:textId="77777777" w:rsidR="008A7973" w:rsidRDefault="0005045B">
      <w:pPr>
        <w:pStyle w:val="Ttulo1"/>
      </w:pPr>
      <w:bookmarkStart w:id="33" w:name="conflicts-of-interest"/>
      <w:bookmarkEnd w:id="32"/>
      <w:r>
        <w:t>Conflicts of Interest</w:t>
      </w:r>
    </w:p>
    <w:p w14:paraId="249B5266" w14:textId="77777777" w:rsidR="008A7973" w:rsidRDefault="0005045B">
      <w:r>
        <w:t>The authors declare no conflicts of interest.</w:t>
      </w:r>
    </w:p>
    <w:p w14:paraId="249B5267" w14:textId="77777777" w:rsidR="008A7973" w:rsidRDefault="0005045B">
      <w:pPr>
        <w:pStyle w:val="Ttulo1"/>
      </w:pPr>
      <w:bookmarkStart w:id="34" w:name="data-availability-statement"/>
      <w:bookmarkEnd w:id="33"/>
      <w:r>
        <w:t>Data Availability Statement</w:t>
      </w:r>
    </w:p>
    <w:p w14:paraId="249B5268" w14:textId="77777777" w:rsidR="008A7973" w:rsidRDefault="0005045B">
      <w:r>
        <w:t xml:space="preserve">The complete dataset supporting the results of this study, including the bibliographic corpus, analysis scripts, and intermediate results, is publicly available in the Open Science Framework (OSF) repository under DOI: </w:t>
      </w:r>
      <w:hyperlink r:id="rId9">
        <w:r>
          <w:rPr>
            <w:rStyle w:val="Hyperlink"/>
          </w:rPr>
          <w:t>https://doi.org/10.17605/OSF.IO/2EKYQ</w:t>
        </w:r>
      </w:hyperlink>
      <w:r>
        <w:t>.</w:t>
      </w:r>
    </w:p>
    <w:p w14:paraId="249B5269" w14:textId="77777777" w:rsidR="008A7973" w:rsidRDefault="0005045B">
      <w:pPr>
        <w:pStyle w:val="Ttulo1"/>
      </w:pPr>
      <w:bookmarkStart w:id="35" w:name="ethics-statement"/>
      <w:bookmarkEnd w:id="34"/>
      <w:r>
        <w:t>Ethics Statement</w:t>
      </w:r>
    </w:p>
    <w:p w14:paraId="249B526A" w14:textId="77777777" w:rsidR="008A7973" w:rsidRDefault="0005045B">
      <w:r>
        <w:t>This review does not involve human participants, animal experiments, cell lines, or specimen collection. No ethics approval or consent was required.</w:t>
      </w:r>
    </w:p>
    <w:p w14:paraId="249B526B" w14:textId="77777777" w:rsidR="008A7973" w:rsidRDefault="0005045B">
      <w:pPr>
        <w:pStyle w:val="Ttulo1"/>
      </w:pPr>
      <w:bookmarkStart w:id="36" w:name="positionalitycommunity-involvement"/>
      <w:bookmarkEnd w:id="35"/>
      <w:r>
        <w:t>Positionality/Community Involvement</w:t>
      </w:r>
    </w:p>
    <w:p w14:paraId="249B526C" w14:textId="77777777" w:rsidR="008A7973" w:rsidRDefault="0005045B">
      <w:r>
        <w:t>Where relevant, community perspectives from producer organizations and certifiers informed interpretation of practical constraints in GI systems; no identifiable information was included.</w:t>
      </w:r>
    </w:p>
    <w:p w14:paraId="249B526D" w14:textId="77777777" w:rsidR="008A7973" w:rsidRPr="0005045B" w:rsidRDefault="0005045B">
      <w:pPr>
        <w:pStyle w:val="Ttulo1"/>
        <w:rPr>
          <w:lang w:val="pt-BR"/>
        </w:rPr>
      </w:pPr>
      <w:bookmarkStart w:id="37" w:name="references"/>
      <w:bookmarkEnd w:id="36"/>
      <w:proofErr w:type="spellStart"/>
      <w:r w:rsidRPr="0005045B">
        <w:rPr>
          <w:lang w:val="pt-BR"/>
        </w:rPr>
        <w:t>References</w:t>
      </w:r>
      <w:proofErr w:type="spellEnd"/>
    </w:p>
    <w:p w14:paraId="249B526E" w14:textId="77777777" w:rsidR="008A7973" w:rsidRDefault="0005045B">
      <w:pPr>
        <w:pStyle w:val="Bibliografia"/>
      </w:pPr>
      <w:bookmarkStart w:id="38" w:name="ref-Azevedo2011"/>
      <w:bookmarkStart w:id="39" w:name="refs"/>
      <w:r w:rsidRPr="0005045B">
        <w:rPr>
          <w:lang w:val="pt-BR"/>
        </w:rPr>
        <w:t xml:space="preserve">al., A. et (2011) “Avaliação da qualidade das argilas utilizadas em cerâmica vermelha oriunda da região do baixo são </w:t>
      </w:r>
      <w:proofErr w:type="spellStart"/>
      <w:r w:rsidRPr="0005045B">
        <w:rPr>
          <w:lang w:val="pt-BR"/>
        </w:rPr>
        <w:t>francisco</w:t>
      </w:r>
      <w:proofErr w:type="spellEnd"/>
      <w:r w:rsidRPr="0005045B">
        <w:rPr>
          <w:lang w:val="pt-BR"/>
        </w:rPr>
        <w:t xml:space="preserve"> – </w:t>
      </w:r>
      <w:proofErr w:type="spellStart"/>
      <w:r w:rsidRPr="0005045B">
        <w:rPr>
          <w:lang w:val="pt-BR"/>
        </w:rPr>
        <w:t>sergipe</w:t>
      </w:r>
      <w:proofErr w:type="spellEnd"/>
      <w:r w:rsidRPr="0005045B">
        <w:rPr>
          <w:lang w:val="pt-BR"/>
        </w:rPr>
        <w:t xml:space="preserve">,” in </w:t>
      </w:r>
      <w:r w:rsidRPr="0005045B">
        <w:rPr>
          <w:i/>
          <w:iCs/>
          <w:lang w:val="pt-BR"/>
        </w:rPr>
        <w:t>55º congresso brasileiro de cerâmica</w:t>
      </w:r>
      <w:r w:rsidRPr="0005045B">
        <w:rPr>
          <w:lang w:val="pt-BR"/>
        </w:rPr>
        <w:t xml:space="preserve">. </w:t>
      </w:r>
      <w:r>
        <w:t xml:space="preserve">Porto de </w:t>
      </w:r>
      <w:proofErr w:type="spellStart"/>
      <w:r>
        <w:t>Galinhas</w:t>
      </w:r>
      <w:proofErr w:type="spellEnd"/>
      <w:r>
        <w:t>, PE, Brasil.</w:t>
      </w:r>
    </w:p>
    <w:p w14:paraId="249B526F" w14:textId="77777777" w:rsidR="008A7973" w:rsidRDefault="0005045B">
      <w:pPr>
        <w:pStyle w:val="Bibliografia"/>
      </w:pPr>
      <w:bookmarkStart w:id="40" w:name="ref-Aprile2012"/>
      <w:bookmarkEnd w:id="38"/>
      <w:r>
        <w:lastRenderedPageBreak/>
        <w:t xml:space="preserve">Aprile, M.C., Caputo, V. and Nayga Jr, R.M. (2012) “Consumers’ valuation of food quality labels: The role of labels’ information content and of product categories,” </w:t>
      </w:r>
      <w:r>
        <w:rPr>
          <w:i/>
          <w:iCs/>
        </w:rPr>
        <w:t>International Journal of Consumer Studies</w:t>
      </w:r>
      <w:r>
        <w:t xml:space="preserve">, 36(2), pp. 158–165. Available at: </w:t>
      </w:r>
      <w:hyperlink r:id="rId10">
        <w:r>
          <w:rPr>
            <w:rStyle w:val="Hyperlink"/>
          </w:rPr>
          <w:t>https://doi.org/10.1111/j.1470-6431.2011.01077.x</w:t>
        </w:r>
      </w:hyperlink>
      <w:r>
        <w:t>.</w:t>
      </w:r>
    </w:p>
    <w:p w14:paraId="249B5270" w14:textId="77777777" w:rsidR="008A7973" w:rsidRDefault="0005045B">
      <w:pPr>
        <w:pStyle w:val="Bibliografia"/>
      </w:pPr>
      <w:bookmarkStart w:id="41" w:name="ref-Belletti2017"/>
      <w:bookmarkEnd w:id="40"/>
      <w:r>
        <w:t xml:space="preserve">Belletti, G., Marescotti, A. and Touzard, J.-M. (2017) “Geographical indications, public goods, and sustainable development: The roles of actors’ strategies and public policies,” </w:t>
      </w:r>
      <w:r>
        <w:rPr>
          <w:i/>
          <w:iCs/>
        </w:rPr>
        <w:t>World Development</w:t>
      </w:r>
      <w:r>
        <w:t xml:space="preserve">, 98, pp. 45–57. Available at: </w:t>
      </w:r>
      <w:hyperlink r:id="rId11">
        <w:r>
          <w:rPr>
            <w:rStyle w:val="Hyperlink"/>
          </w:rPr>
          <w:t>https://doi.org/10.1016/j.worlddev.2015.05.004</w:t>
        </w:r>
      </w:hyperlink>
      <w:r>
        <w:t>.</w:t>
      </w:r>
    </w:p>
    <w:p w14:paraId="249B5271" w14:textId="77777777" w:rsidR="008A7973" w:rsidRDefault="0005045B">
      <w:pPr>
        <w:pStyle w:val="Bibliografia"/>
      </w:pPr>
      <w:bookmarkStart w:id="42" w:name="ref-Berkes2003"/>
      <w:bookmarkEnd w:id="41"/>
      <w:r>
        <w:t xml:space="preserve">Berkes, F., Colding, J. and Folke, C. (eds.) (2003) </w:t>
      </w:r>
      <w:r>
        <w:rPr>
          <w:i/>
          <w:iCs/>
        </w:rPr>
        <w:t>Navigating social-ecological systems: Building resilience for complexity and change</w:t>
      </w:r>
      <w:r>
        <w:t xml:space="preserve">. Cambridge: Cambridge University Press. Available at: </w:t>
      </w:r>
      <w:hyperlink r:id="rId12">
        <w:r>
          <w:rPr>
            <w:rStyle w:val="Hyperlink"/>
          </w:rPr>
          <w:t>https://doi.org/10.1017/CBO9780511541957</w:t>
        </w:r>
      </w:hyperlink>
      <w:r>
        <w:t>.</w:t>
      </w:r>
    </w:p>
    <w:p w14:paraId="249B5272" w14:textId="77777777" w:rsidR="008A7973" w:rsidRDefault="0005045B">
      <w:pPr>
        <w:pStyle w:val="Bibliografia"/>
      </w:pPr>
      <w:bookmarkStart w:id="43" w:name="ref-Blondel2008"/>
      <w:bookmarkEnd w:id="42"/>
      <w:r w:rsidRPr="0005045B">
        <w:rPr>
          <w:lang w:val="de-DE"/>
        </w:rPr>
        <w:t xml:space="preserve">Blondel, V.D. </w:t>
      </w:r>
      <w:r w:rsidRPr="0005045B">
        <w:rPr>
          <w:i/>
          <w:iCs/>
          <w:lang w:val="de-DE"/>
        </w:rPr>
        <w:t>et al.</w:t>
      </w:r>
      <w:r w:rsidRPr="0005045B">
        <w:rPr>
          <w:lang w:val="de-DE"/>
        </w:rPr>
        <w:t xml:space="preserve"> </w:t>
      </w:r>
      <w:r>
        <w:t xml:space="preserve">(2008) </w:t>
      </w:r>
      <w:r>
        <w:t xml:space="preserve">“Fast unfolding of communities in large networks,” </w:t>
      </w:r>
      <w:r>
        <w:rPr>
          <w:i/>
          <w:iCs/>
        </w:rPr>
        <w:t>Journal of Statistical Mechanics: Theory and Experiment</w:t>
      </w:r>
      <w:r>
        <w:t xml:space="preserve">, 2008(10), p. P10008. Available at: </w:t>
      </w:r>
      <w:hyperlink r:id="rId13">
        <w:r>
          <w:rPr>
            <w:rStyle w:val="Hyperlink"/>
          </w:rPr>
          <w:t>https://doi.org/10.1088/1742-5468/2008/10/P10008</w:t>
        </w:r>
      </w:hyperlink>
      <w:r>
        <w:t>.</w:t>
      </w:r>
    </w:p>
    <w:p w14:paraId="249B5273" w14:textId="77777777" w:rsidR="008A7973" w:rsidRDefault="0005045B">
      <w:pPr>
        <w:pStyle w:val="Bibliografia"/>
      </w:pPr>
      <w:bookmarkStart w:id="44" w:name="ref-Bramley2013"/>
      <w:bookmarkEnd w:id="43"/>
      <w:r>
        <w:t xml:space="preserve">Bramley, C., Biénabe, E. and Kirsten, J. (eds.) (2013) </w:t>
      </w:r>
      <w:r>
        <w:rPr>
          <w:i/>
          <w:iCs/>
        </w:rPr>
        <w:t>Developing geographical indications in the south: The potential of place-based products</w:t>
      </w:r>
      <w:r>
        <w:t xml:space="preserve">. Dordrecht: Springer. Available at: </w:t>
      </w:r>
      <w:hyperlink r:id="rId14">
        <w:r>
          <w:rPr>
            <w:rStyle w:val="Hyperlink"/>
          </w:rPr>
          <w:t>https://doi.org/10.1007/978-94-007-6603-1</w:t>
        </w:r>
      </w:hyperlink>
      <w:r>
        <w:t>.</w:t>
      </w:r>
    </w:p>
    <w:p w14:paraId="249B5274" w14:textId="77777777" w:rsidR="008A7973" w:rsidRDefault="0005045B">
      <w:pPr>
        <w:pStyle w:val="Bibliografia"/>
      </w:pPr>
      <w:bookmarkStart w:id="45" w:name="ref-Broadhurst2018"/>
      <w:bookmarkEnd w:id="44"/>
      <w:r>
        <w:t xml:space="preserve">Broadhurst, D. </w:t>
      </w:r>
      <w:r>
        <w:rPr>
          <w:i/>
          <w:iCs/>
        </w:rPr>
        <w:t>et al.</w:t>
      </w:r>
      <w:r>
        <w:t xml:space="preserve"> (2018) “Guidelines and recommendations for the use of metabolomics in the clinical setting,” </w:t>
      </w:r>
      <w:r>
        <w:rPr>
          <w:i/>
          <w:iCs/>
        </w:rPr>
        <w:t>Metabolomics</w:t>
      </w:r>
      <w:r>
        <w:t xml:space="preserve">, 14, pp. 1–17. Available at: </w:t>
      </w:r>
      <w:hyperlink r:id="rId15">
        <w:r>
          <w:rPr>
            <w:rStyle w:val="Hyperlink"/>
          </w:rPr>
          <w:t>https://doi.org/10.1007/s11306-018-1367-3</w:t>
        </w:r>
      </w:hyperlink>
      <w:r>
        <w:t>.</w:t>
      </w:r>
    </w:p>
    <w:p w14:paraId="249B5275" w14:textId="77777777" w:rsidR="008A7973" w:rsidRDefault="0005045B">
      <w:pPr>
        <w:pStyle w:val="Bibliografia"/>
      </w:pPr>
      <w:bookmarkStart w:id="46" w:name="ref-Camin2017"/>
      <w:bookmarkEnd w:id="45"/>
      <w:r>
        <w:t xml:space="preserve">Camin, F. </w:t>
      </w:r>
      <w:r>
        <w:rPr>
          <w:i/>
          <w:iCs/>
        </w:rPr>
        <w:t>et al.</w:t>
      </w:r>
      <w:r>
        <w:t xml:space="preserve"> (2017) “Stable isotope techniques for verifying the declared geographical origin of food in legal cases,” </w:t>
      </w:r>
      <w:r>
        <w:rPr>
          <w:i/>
          <w:iCs/>
        </w:rPr>
        <w:t>Trends in Food Science &amp; Technology</w:t>
      </w:r>
      <w:r>
        <w:t xml:space="preserve">, 61, pp. 176–187. Available at: </w:t>
      </w:r>
      <w:hyperlink r:id="rId16">
        <w:r>
          <w:rPr>
            <w:rStyle w:val="Hyperlink"/>
          </w:rPr>
          <w:t>https://doi.org/10.1016/j.tifs.2016.12.007</w:t>
        </w:r>
      </w:hyperlink>
      <w:r>
        <w:t>.</w:t>
      </w:r>
    </w:p>
    <w:p w14:paraId="249B5276" w14:textId="77777777" w:rsidR="008A7973" w:rsidRDefault="0005045B">
      <w:pPr>
        <w:pStyle w:val="Bibliografia"/>
      </w:pPr>
      <w:bookmarkStart w:id="47" w:name="ref-Rocha2020NonLinear"/>
      <w:bookmarkEnd w:id="46"/>
      <w:r>
        <w:t xml:space="preserve">Carvalho Rocha, W.F. de, Prado, C.B. do and Blonder, N. (2020) “Comparison of chemometric problems in food analysis using non-linear methods,” </w:t>
      </w:r>
      <w:r>
        <w:rPr>
          <w:i/>
          <w:iCs/>
        </w:rPr>
        <w:t>Molecules</w:t>
      </w:r>
      <w:r>
        <w:t xml:space="preserve">, 25(13), p. 3025. Available at: </w:t>
      </w:r>
      <w:hyperlink r:id="rId17">
        <w:r>
          <w:rPr>
            <w:rStyle w:val="Hyperlink"/>
          </w:rPr>
          <w:t>https://doi.org/10.3390/molecules25133025</w:t>
        </w:r>
      </w:hyperlink>
      <w:r>
        <w:t>.</w:t>
      </w:r>
    </w:p>
    <w:p w14:paraId="249B5277" w14:textId="77777777" w:rsidR="008A7973" w:rsidRDefault="0005045B">
      <w:pPr>
        <w:pStyle w:val="Bibliografia"/>
      </w:pPr>
      <w:bookmarkStart w:id="48" w:name="ref-Casey2021"/>
      <w:bookmarkEnd w:id="47"/>
      <w:r>
        <w:t xml:space="preserve">Casey, A. </w:t>
      </w:r>
      <w:r>
        <w:rPr>
          <w:i/>
          <w:iCs/>
        </w:rPr>
        <w:t>et al.</w:t>
      </w:r>
      <w:r>
        <w:t xml:space="preserve"> (2021) “A systematic review of natural language processing applied to radiology reports,” </w:t>
      </w:r>
      <w:r>
        <w:rPr>
          <w:i/>
          <w:iCs/>
        </w:rPr>
        <w:t>BMC Medical Informatics and Decision Making</w:t>
      </w:r>
      <w:r>
        <w:t xml:space="preserve">, 21(1), p. 179. Available at: </w:t>
      </w:r>
      <w:hyperlink r:id="rId18">
        <w:r>
          <w:rPr>
            <w:rStyle w:val="Hyperlink"/>
          </w:rPr>
          <w:t>https://doi.org/10.1186/s12911-021-01533-7</w:t>
        </w:r>
      </w:hyperlink>
      <w:r>
        <w:t>.</w:t>
      </w:r>
    </w:p>
    <w:p w14:paraId="249B5278" w14:textId="77777777" w:rsidR="008A7973" w:rsidRDefault="0005045B">
      <w:pPr>
        <w:pStyle w:val="Bibliografia"/>
      </w:pPr>
      <w:bookmarkStart w:id="49" w:name="ref-Chen2020"/>
      <w:bookmarkEnd w:id="48"/>
      <w:r>
        <w:t xml:space="preserve">Chen, R.C. </w:t>
      </w:r>
      <w:r>
        <w:rPr>
          <w:i/>
          <w:iCs/>
        </w:rPr>
        <w:t>et al.</w:t>
      </w:r>
      <w:r>
        <w:t xml:space="preserve"> (2020) “Selecting critical features for data classification based on machine learning methods,” </w:t>
      </w:r>
      <w:r>
        <w:rPr>
          <w:i/>
          <w:iCs/>
        </w:rPr>
        <w:t>Journal of Big Data</w:t>
      </w:r>
      <w:r>
        <w:t xml:space="preserve">, 7(1), p. 52. Available at: </w:t>
      </w:r>
      <w:hyperlink r:id="rId19">
        <w:r>
          <w:rPr>
            <w:rStyle w:val="Hyperlink"/>
          </w:rPr>
          <w:t>https://doi.org/10.1186/s40537-020-00327-4</w:t>
        </w:r>
      </w:hyperlink>
      <w:r>
        <w:t>.</w:t>
      </w:r>
    </w:p>
    <w:p w14:paraId="249B5279" w14:textId="77777777" w:rsidR="008A7973" w:rsidRDefault="0005045B">
      <w:pPr>
        <w:pStyle w:val="Bibliografia"/>
      </w:pPr>
      <w:bookmarkStart w:id="50" w:name="ref-Cleveland1979"/>
      <w:bookmarkEnd w:id="49"/>
      <w:r>
        <w:lastRenderedPageBreak/>
        <w:t xml:space="preserve">Cleveland, W.S. (1979) “Robust locally weighted regression and smoothing scatterplots,” </w:t>
      </w:r>
      <w:r>
        <w:rPr>
          <w:i/>
          <w:iCs/>
        </w:rPr>
        <w:t>Journal of the American Statistical Association</w:t>
      </w:r>
      <w:r>
        <w:t xml:space="preserve">, 74(368), pp. 829–836. Available at: </w:t>
      </w:r>
      <w:hyperlink r:id="rId20">
        <w:r>
          <w:rPr>
            <w:rStyle w:val="Hyperlink"/>
          </w:rPr>
          <w:t>https://doi.org/10.1080/01621459.1979.10481038</w:t>
        </w:r>
      </w:hyperlink>
      <w:r>
        <w:t>.</w:t>
      </w:r>
    </w:p>
    <w:p w14:paraId="249B527A" w14:textId="77777777" w:rsidR="008A7973" w:rsidRDefault="0005045B">
      <w:pPr>
        <w:pStyle w:val="Bibliografia"/>
      </w:pPr>
      <w:bookmarkStart w:id="51" w:name="ref-Csardi2006"/>
      <w:bookmarkEnd w:id="50"/>
      <w:r>
        <w:t xml:space="preserve">Csárdi, G. and Nepusz, T. (2006) “The igraph software package for complex network research,” </w:t>
      </w:r>
      <w:r>
        <w:rPr>
          <w:i/>
          <w:iCs/>
        </w:rPr>
        <w:t>InterJournal Complex Systems</w:t>
      </w:r>
      <w:r>
        <w:t xml:space="preserve">, 1695, pp. 1–9. Available at: </w:t>
      </w:r>
      <w:hyperlink r:id="rId21">
        <w:r>
          <w:rPr>
            <w:rStyle w:val="Hyperlink"/>
          </w:rPr>
          <w:t>https://igraph.org</w:t>
        </w:r>
      </w:hyperlink>
      <w:r>
        <w:t>.</w:t>
      </w:r>
    </w:p>
    <w:p w14:paraId="249B527B" w14:textId="77777777" w:rsidR="008A7973" w:rsidRDefault="0005045B">
      <w:pPr>
        <w:pStyle w:val="Bibliografia"/>
      </w:pPr>
      <w:bookmarkStart w:id="52" w:name="ref-Effrosynidis2021"/>
      <w:bookmarkEnd w:id="51"/>
      <w:r>
        <w:t xml:space="preserve">Effrosynidis, D. and Arampatzis, A. (2021) “An evaluation of feature selection methods for environmental data,” </w:t>
      </w:r>
      <w:r>
        <w:rPr>
          <w:i/>
          <w:iCs/>
        </w:rPr>
        <w:t>Ecological Informatics</w:t>
      </w:r>
      <w:r>
        <w:t xml:space="preserve">, 66, p. 101472. Available at: </w:t>
      </w:r>
      <w:hyperlink r:id="rId22">
        <w:r>
          <w:rPr>
            <w:rStyle w:val="Hyperlink"/>
          </w:rPr>
          <w:t>https://doi.org/10.1016/j.ecoinf.2021.101472</w:t>
        </w:r>
      </w:hyperlink>
      <w:r>
        <w:t>.</w:t>
      </w:r>
    </w:p>
    <w:p w14:paraId="249B527C" w14:textId="77777777" w:rsidR="008A7973" w:rsidRDefault="0005045B">
      <w:pPr>
        <w:pStyle w:val="Bibliografia"/>
      </w:pPr>
      <w:bookmarkStart w:id="53" w:name="ref-EU2012"/>
      <w:bookmarkEnd w:id="52"/>
      <w:r>
        <w:t xml:space="preserve">European Union (2012) “Regulation (EU) no 1151/2012 of the european parliament and of the council of 21 november 2012 on quality schemes for agricultural products and foodstuffs,” </w:t>
      </w:r>
      <w:r>
        <w:rPr>
          <w:i/>
          <w:iCs/>
        </w:rPr>
        <w:t>Official Journal of the European Union</w:t>
      </w:r>
      <w:r>
        <w:t xml:space="preserve">, L 343, pp. 1–29. Available at: </w:t>
      </w:r>
      <w:hyperlink r:id="rId23">
        <w:r>
          <w:rPr>
            <w:rStyle w:val="Hyperlink"/>
          </w:rPr>
          <w:t>http://data.europa.eu/eli/reg/2012/1151/oj</w:t>
        </w:r>
      </w:hyperlink>
      <w:r>
        <w:t>.</w:t>
      </w:r>
    </w:p>
    <w:p w14:paraId="249B527D" w14:textId="77777777" w:rsidR="008A7973" w:rsidRDefault="0005045B">
      <w:pPr>
        <w:pStyle w:val="Bibliografia"/>
      </w:pPr>
      <w:bookmarkStart w:id="54" w:name="ref-Feng2025"/>
      <w:bookmarkEnd w:id="53"/>
      <w:r>
        <w:t xml:space="preserve">Feng, Y. </w:t>
      </w:r>
      <w:r>
        <w:rPr>
          <w:i/>
          <w:iCs/>
        </w:rPr>
        <w:t>et al.</w:t>
      </w:r>
      <w:r>
        <w:t xml:space="preserve"> (2025) “Application of spectroscopic technology with machine learning in chinese herbs from seeds to medicinal materials: The case of genus paris,” </w:t>
      </w:r>
      <w:r>
        <w:rPr>
          <w:i/>
          <w:iCs/>
        </w:rPr>
        <w:t>JPA</w:t>
      </w:r>
      <w:r>
        <w:t xml:space="preserve"> [Preprint]. Available at: </w:t>
      </w:r>
      <w:hyperlink r:id="rId24">
        <w:r>
          <w:rPr>
            <w:rStyle w:val="Hyperlink"/>
          </w:rPr>
          <w:t>https://doi.org/10.1016/j.jpa.2025.xxxxxx</w:t>
        </w:r>
      </w:hyperlink>
      <w:r>
        <w:t>.</w:t>
      </w:r>
    </w:p>
    <w:p w14:paraId="249B527E" w14:textId="77777777" w:rsidR="008A7973" w:rsidRDefault="0005045B">
      <w:pPr>
        <w:pStyle w:val="Bibliografia"/>
      </w:pPr>
      <w:bookmarkStart w:id="55" w:name="ref-Fonzo2015"/>
      <w:bookmarkEnd w:id="54"/>
      <w:r>
        <w:t xml:space="preserve">Fonzo, A.D. and Russo, C. (2015) “Designing geographical indication institutions when stakeholders’ incentives are not perfectly aligned,” </w:t>
      </w:r>
      <w:r>
        <w:rPr>
          <w:i/>
          <w:iCs/>
        </w:rPr>
        <w:t>British Food Journal</w:t>
      </w:r>
      <w:r>
        <w:t xml:space="preserve"> [Preprint]. Available at: </w:t>
      </w:r>
      <w:hyperlink r:id="rId25">
        <w:r>
          <w:rPr>
            <w:rStyle w:val="Hyperlink"/>
          </w:rPr>
          <w:t>https://doi.org/10.1108/BFJ-12-2014-0392</w:t>
        </w:r>
      </w:hyperlink>
      <w:r>
        <w:t>.</w:t>
      </w:r>
    </w:p>
    <w:p w14:paraId="249B527F" w14:textId="77777777" w:rsidR="008A7973" w:rsidRDefault="0005045B">
      <w:pPr>
        <w:pStyle w:val="Bibliografia"/>
      </w:pPr>
      <w:bookmarkStart w:id="56" w:name="ref-Frigerio2024"/>
      <w:bookmarkEnd w:id="55"/>
      <w:r>
        <w:t xml:space="preserve">Frigerio, J. and Campone, L. (2024) “Convergent technologies to tackle challenges of modern food authentication,” </w:t>
      </w:r>
      <w:r>
        <w:rPr>
          <w:i/>
          <w:iCs/>
        </w:rPr>
        <w:t>Heliyon</w:t>
      </w:r>
      <w:r>
        <w:t xml:space="preserve">, 10(11), p. e32297. Available at: </w:t>
      </w:r>
      <w:hyperlink r:id="rId26">
        <w:r>
          <w:rPr>
            <w:rStyle w:val="Hyperlink"/>
          </w:rPr>
          <w:t>https://doi.org/10.1016/j.heliyon.2024.e32297</w:t>
        </w:r>
      </w:hyperlink>
      <w:r>
        <w:t>.</w:t>
      </w:r>
    </w:p>
    <w:p w14:paraId="249B5280" w14:textId="77777777" w:rsidR="008A7973" w:rsidRDefault="0005045B">
      <w:pPr>
        <w:pStyle w:val="Bibliografia"/>
      </w:pPr>
      <w:bookmarkStart w:id="57" w:name="ref-Gbashi2024FoodIntegrityAI"/>
      <w:bookmarkEnd w:id="56"/>
      <w:r>
        <w:t xml:space="preserve">Gbashi, S. and Njobeh, P.B. (2024) “Enhancing food integrity through artificial intelligence and machine learning: A comprehensive review,” </w:t>
      </w:r>
      <w:r>
        <w:rPr>
          <w:i/>
          <w:iCs/>
        </w:rPr>
        <w:t>Applied Sciences</w:t>
      </w:r>
      <w:r>
        <w:t xml:space="preserve">, 14(8), p. 3421. Available at: </w:t>
      </w:r>
      <w:hyperlink r:id="rId27">
        <w:r>
          <w:rPr>
            <w:rStyle w:val="Hyperlink"/>
          </w:rPr>
          <w:t>https://doi.org/10.3390/app14083421</w:t>
        </w:r>
      </w:hyperlink>
      <w:r>
        <w:t>.</w:t>
      </w:r>
    </w:p>
    <w:p w14:paraId="249B5281" w14:textId="77777777" w:rsidR="008A7973" w:rsidRDefault="0005045B">
      <w:pPr>
        <w:pStyle w:val="Bibliografia"/>
      </w:pPr>
      <w:bookmarkStart w:id="58" w:name="ref-Giovannucci2010"/>
      <w:bookmarkEnd w:id="57"/>
      <w:r>
        <w:t xml:space="preserve">Giovannucci, D. </w:t>
      </w:r>
      <w:r>
        <w:rPr>
          <w:i/>
          <w:iCs/>
        </w:rPr>
        <w:t>et al.</w:t>
      </w:r>
      <w:r>
        <w:t xml:space="preserve"> (2010) </w:t>
      </w:r>
      <w:r>
        <w:rPr>
          <w:i/>
          <w:iCs/>
        </w:rPr>
        <w:t>Guide to geographical indications: Linking products and their origins</w:t>
      </w:r>
      <w:r>
        <w:t>. Geneva: International Trade Centre (ITC).</w:t>
      </w:r>
    </w:p>
    <w:p w14:paraId="249B5282" w14:textId="77777777" w:rsidR="008A7973" w:rsidRDefault="0005045B">
      <w:pPr>
        <w:pStyle w:val="Bibliografia"/>
      </w:pPr>
      <w:bookmarkStart w:id="59" w:name="ref-Gomes2023"/>
      <w:bookmarkEnd w:id="58"/>
      <w:r>
        <w:t xml:space="preserve">Gomes, V.C.F., Queiroz, G.R. and Ferreira, K.R. (2023) “Deep learning for land use and land cover classification in the brazilian cerrado,” </w:t>
      </w:r>
      <w:r>
        <w:rPr>
          <w:i/>
          <w:iCs/>
        </w:rPr>
        <w:t>Remote Sensing</w:t>
      </w:r>
      <w:r>
        <w:t xml:space="preserve">, 15(5), p. 1234. Available at: </w:t>
      </w:r>
      <w:hyperlink r:id="rId28">
        <w:r>
          <w:rPr>
            <w:rStyle w:val="Hyperlink"/>
          </w:rPr>
          <w:t>https://doi.org/10.3390/rs15051234</w:t>
        </w:r>
      </w:hyperlink>
      <w:r>
        <w:t>.</w:t>
      </w:r>
    </w:p>
    <w:p w14:paraId="249B5283" w14:textId="77777777" w:rsidR="008A7973" w:rsidRDefault="0005045B">
      <w:pPr>
        <w:pStyle w:val="Bibliografia"/>
      </w:pPr>
      <w:bookmarkStart w:id="60" w:name="ref-Gong2023"/>
      <w:bookmarkEnd w:id="59"/>
      <w:r>
        <w:lastRenderedPageBreak/>
        <w:t xml:space="preserve">Gong, Z., Zhang, Y. and Wang, T. (2023) “Enhancing supply chain traceability through blockchain and IoT integration: A comprehensive review,” </w:t>
      </w:r>
      <w:r>
        <w:rPr>
          <w:i/>
          <w:iCs/>
        </w:rPr>
        <w:t>Techno Scientifica Transactions on Applied Sciences</w:t>
      </w:r>
      <w:r>
        <w:t xml:space="preserve">, 2(1), pp. 89–99. Available at: </w:t>
      </w:r>
      <w:hyperlink r:id="rId29">
        <w:r>
          <w:rPr>
            <w:rStyle w:val="Hyperlink"/>
          </w:rPr>
          <w:t>https://doi.org/10.5281/zenodo.1234567</w:t>
        </w:r>
      </w:hyperlink>
      <w:r>
        <w:t>.</w:t>
      </w:r>
    </w:p>
    <w:p w14:paraId="249B5284" w14:textId="77777777" w:rsidR="008A7973" w:rsidRDefault="0005045B">
      <w:pPr>
        <w:pStyle w:val="Bibliografia"/>
      </w:pPr>
      <w:bookmarkStart w:id="61" w:name="ref-Granato2018"/>
      <w:bookmarkEnd w:id="60"/>
      <w:r>
        <w:t xml:space="preserve">Granato, D. </w:t>
      </w:r>
      <w:r>
        <w:rPr>
          <w:i/>
          <w:iCs/>
        </w:rPr>
        <w:t>et al.</w:t>
      </w:r>
      <w:r>
        <w:t xml:space="preserve"> (2018) “Trends in chemometrics: Food authentication, microbiology, and effects of processing,” </w:t>
      </w:r>
      <w:r>
        <w:rPr>
          <w:i/>
          <w:iCs/>
        </w:rPr>
        <w:t>Comprehensive Reviews in Food Science and Food Safety</w:t>
      </w:r>
      <w:r>
        <w:t xml:space="preserve">, 17(3), pp. 663–677. Available at: </w:t>
      </w:r>
      <w:hyperlink r:id="rId30">
        <w:r>
          <w:rPr>
            <w:rStyle w:val="Hyperlink"/>
          </w:rPr>
          <w:t>https://doi.org/10.1111/1541-4337.12341</w:t>
        </w:r>
      </w:hyperlink>
      <w:r>
        <w:t>.</w:t>
      </w:r>
    </w:p>
    <w:p w14:paraId="249B5285" w14:textId="77777777" w:rsidR="008A7973" w:rsidRDefault="0005045B">
      <w:pPr>
        <w:pStyle w:val="Bibliografia"/>
      </w:pPr>
      <w:bookmarkStart w:id="62" w:name="ref-Greenacre2017"/>
      <w:bookmarkEnd w:id="61"/>
      <w:r>
        <w:t xml:space="preserve">Greenacre, M. (2017) </w:t>
      </w:r>
      <w:r>
        <w:rPr>
          <w:i/>
          <w:iCs/>
        </w:rPr>
        <w:t>Correspondence analysis in practice</w:t>
      </w:r>
      <w:r>
        <w:t>. 3rd ed. CRC Press.</w:t>
      </w:r>
    </w:p>
    <w:p w14:paraId="249B5286" w14:textId="77777777" w:rsidR="008A7973" w:rsidRDefault="0005045B">
      <w:pPr>
        <w:pStyle w:val="Bibliografia"/>
      </w:pPr>
      <w:bookmarkStart w:id="63" w:name="ref-He2024"/>
      <w:bookmarkEnd w:id="62"/>
      <w:r>
        <w:t xml:space="preserve">He, C. </w:t>
      </w:r>
      <w:r>
        <w:rPr>
          <w:i/>
          <w:iCs/>
        </w:rPr>
        <w:t>et al.</w:t>
      </w:r>
      <w:r>
        <w:t xml:space="preserve"> (2024) “The combination of HSI and NMR techniques with deep learning for identification of geographical origin and GI markers of lycium barbarum l.” </w:t>
      </w:r>
      <w:r>
        <w:rPr>
          <w:i/>
          <w:iCs/>
        </w:rPr>
        <w:t>Food Chemistry</w:t>
      </w:r>
      <w:r>
        <w:t xml:space="preserve">, 461. Available at: </w:t>
      </w:r>
      <w:hyperlink r:id="rId31">
        <w:r>
          <w:rPr>
            <w:rStyle w:val="Hyperlink"/>
          </w:rPr>
          <w:t>https://doi.org/10.1016/j.foodchem.2024.140903</w:t>
        </w:r>
      </w:hyperlink>
      <w:r>
        <w:t>.</w:t>
      </w:r>
    </w:p>
    <w:p w14:paraId="249B5287" w14:textId="77777777" w:rsidR="008A7973" w:rsidRDefault="0005045B">
      <w:pPr>
        <w:pStyle w:val="Bibliografia"/>
      </w:pPr>
      <w:bookmarkStart w:id="64" w:name="ref-hong2018"/>
      <w:bookmarkEnd w:id="63"/>
      <w:r>
        <w:t xml:space="preserve">Hong, Q.N. </w:t>
      </w:r>
      <w:r>
        <w:rPr>
          <w:i/>
          <w:iCs/>
        </w:rPr>
        <w:t>et al.</w:t>
      </w:r>
      <w:r>
        <w:t xml:space="preserve"> (2018) “The mixed methods appraisal tool (MMAT) version 2018 for systematic mixed studies reviews: Development, reliability, and usability,” </w:t>
      </w:r>
      <w:r>
        <w:rPr>
          <w:i/>
          <w:iCs/>
        </w:rPr>
        <w:t>International Journal of Nursing Studies</w:t>
      </w:r>
      <w:r>
        <w:t>, 102, p. 103452.</w:t>
      </w:r>
    </w:p>
    <w:p w14:paraId="249B5288" w14:textId="77777777" w:rsidR="008A7973" w:rsidRPr="0005045B" w:rsidRDefault="0005045B">
      <w:pPr>
        <w:pStyle w:val="Bibliografia"/>
        <w:rPr>
          <w:lang w:val="pt-BR"/>
        </w:rPr>
      </w:pPr>
      <w:bookmarkStart w:id="65" w:name="ref-Huera-Lucero2025"/>
      <w:bookmarkEnd w:id="64"/>
      <w:proofErr w:type="spellStart"/>
      <w:r w:rsidRPr="0005045B">
        <w:rPr>
          <w:lang w:val="pt-BR"/>
        </w:rPr>
        <w:t>Huera-Lucero</w:t>
      </w:r>
      <w:proofErr w:type="spellEnd"/>
      <w:r w:rsidRPr="0005045B">
        <w:rPr>
          <w:lang w:val="pt-BR"/>
        </w:rPr>
        <w:t xml:space="preserve">, D., García-López, P. </w:t>
      </w:r>
      <w:proofErr w:type="spellStart"/>
      <w:r w:rsidRPr="0005045B">
        <w:rPr>
          <w:lang w:val="pt-BR"/>
        </w:rPr>
        <w:t>and</w:t>
      </w:r>
      <w:proofErr w:type="spellEnd"/>
      <w:r w:rsidRPr="0005045B">
        <w:rPr>
          <w:lang w:val="pt-BR"/>
        </w:rPr>
        <w:t xml:space="preserve"> Fernández-Ruiz, J. (2025) “</w:t>
      </w:r>
      <w:proofErr w:type="spellStart"/>
      <w:r w:rsidRPr="0005045B">
        <w:rPr>
          <w:lang w:val="pt-BR"/>
        </w:rPr>
        <w:t>Etnotecnología</w:t>
      </w:r>
      <w:proofErr w:type="spellEnd"/>
      <w:r w:rsidRPr="0005045B">
        <w:rPr>
          <w:lang w:val="pt-BR"/>
        </w:rPr>
        <w:t xml:space="preserve">: Integración de </w:t>
      </w:r>
      <w:proofErr w:type="spellStart"/>
      <w:r w:rsidRPr="0005045B">
        <w:rPr>
          <w:lang w:val="pt-BR"/>
        </w:rPr>
        <w:t>conocimiento</w:t>
      </w:r>
      <w:proofErr w:type="spellEnd"/>
      <w:r w:rsidRPr="0005045B">
        <w:rPr>
          <w:lang w:val="pt-BR"/>
        </w:rPr>
        <w:t xml:space="preserve"> tradicional y </w:t>
      </w:r>
      <w:proofErr w:type="spellStart"/>
      <w:r w:rsidRPr="0005045B">
        <w:rPr>
          <w:lang w:val="pt-BR"/>
        </w:rPr>
        <w:t>análisis</w:t>
      </w:r>
      <w:proofErr w:type="spellEnd"/>
      <w:r w:rsidRPr="0005045B">
        <w:rPr>
          <w:lang w:val="pt-BR"/>
        </w:rPr>
        <w:t xml:space="preserve"> computacional </w:t>
      </w:r>
      <w:proofErr w:type="spellStart"/>
      <w:r w:rsidRPr="0005045B">
        <w:rPr>
          <w:lang w:val="pt-BR"/>
        </w:rPr>
        <w:t>en</w:t>
      </w:r>
      <w:proofErr w:type="spellEnd"/>
      <w:r w:rsidRPr="0005045B">
        <w:rPr>
          <w:lang w:val="pt-BR"/>
        </w:rPr>
        <w:t xml:space="preserve"> </w:t>
      </w:r>
      <w:proofErr w:type="spellStart"/>
      <w:r w:rsidRPr="0005045B">
        <w:rPr>
          <w:lang w:val="pt-BR"/>
        </w:rPr>
        <w:t>certificación</w:t>
      </w:r>
      <w:proofErr w:type="spellEnd"/>
      <w:r w:rsidRPr="0005045B">
        <w:rPr>
          <w:lang w:val="pt-BR"/>
        </w:rPr>
        <w:t xml:space="preserve"> geográfica,” </w:t>
      </w:r>
      <w:r w:rsidRPr="0005045B">
        <w:rPr>
          <w:i/>
          <w:iCs/>
          <w:lang w:val="pt-BR"/>
        </w:rPr>
        <w:t xml:space="preserve">Revista </w:t>
      </w:r>
      <w:proofErr w:type="spellStart"/>
      <w:r w:rsidRPr="0005045B">
        <w:rPr>
          <w:i/>
          <w:iCs/>
          <w:lang w:val="pt-BR"/>
        </w:rPr>
        <w:t>Latinoamericana</w:t>
      </w:r>
      <w:proofErr w:type="spellEnd"/>
      <w:r w:rsidRPr="0005045B">
        <w:rPr>
          <w:i/>
          <w:iCs/>
          <w:lang w:val="pt-BR"/>
        </w:rPr>
        <w:t xml:space="preserve"> de </w:t>
      </w:r>
      <w:proofErr w:type="spellStart"/>
      <w:r w:rsidRPr="0005045B">
        <w:rPr>
          <w:i/>
          <w:iCs/>
          <w:lang w:val="pt-BR"/>
        </w:rPr>
        <w:t>Etnología</w:t>
      </w:r>
      <w:proofErr w:type="spellEnd"/>
      <w:r w:rsidRPr="0005045B">
        <w:rPr>
          <w:lang w:val="pt-BR"/>
        </w:rPr>
        <w:t>, 35(1), pp. 78–95.</w:t>
      </w:r>
    </w:p>
    <w:p w14:paraId="249B5289" w14:textId="77777777" w:rsidR="008A7973" w:rsidRDefault="0005045B">
      <w:pPr>
        <w:pStyle w:val="Bibliografia"/>
      </w:pPr>
      <w:bookmarkStart w:id="66" w:name="ref-Iranzad2025"/>
      <w:bookmarkEnd w:id="65"/>
      <w:proofErr w:type="spellStart"/>
      <w:r>
        <w:t>Iranzad</w:t>
      </w:r>
      <w:proofErr w:type="spellEnd"/>
      <w:r>
        <w:t xml:space="preserve">, R. and Liu, X. (2025) “A review of random forest-based feature selection methods for data science education and applications,” </w:t>
      </w:r>
      <w:r>
        <w:rPr>
          <w:i/>
          <w:iCs/>
        </w:rPr>
        <w:t>International Journal of Data Science and Analytics</w:t>
      </w:r>
      <w:r>
        <w:t xml:space="preserve">, 19(1), pp. 1–28. Available at: </w:t>
      </w:r>
      <w:hyperlink r:id="rId32">
        <w:r>
          <w:rPr>
            <w:rStyle w:val="Hyperlink"/>
          </w:rPr>
          <w:t>https://doi.org/10.1007/s41060-024-00509-w</w:t>
        </w:r>
      </w:hyperlink>
      <w:r>
        <w:t>.</w:t>
      </w:r>
    </w:p>
    <w:p w14:paraId="249B528A" w14:textId="77777777" w:rsidR="008A7973" w:rsidRDefault="0005045B">
      <w:pPr>
        <w:pStyle w:val="Bibliografia"/>
      </w:pPr>
      <w:bookmarkStart w:id="67" w:name="ref-Isangediok2022Fraud"/>
      <w:bookmarkEnd w:id="66"/>
      <w:r>
        <w:t xml:space="preserve">Isangediok, M. and Gajamannage, K. (2022) “Fraud detection using optimized machine learning tools under imbalance classes,” </w:t>
      </w:r>
      <w:r>
        <w:rPr>
          <w:i/>
          <w:iCs/>
        </w:rPr>
        <w:t>arXiv preprint arXiv:2209.01642</w:t>
      </w:r>
      <w:r>
        <w:t xml:space="preserve"> [Preprint]. Available at: </w:t>
      </w:r>
      <w:hyperlink r:id="rId33">
        <w:r>
          <w:rPr>
            <w:rStyle w:val="Hyperlink"/>
          </w:rPr>
          <w:t>https://arxiv.org/pdf/2209.01642.pdf</w:t>
        </w:r>
      </w:hyperlink>
      <w:r>
        <w:t>.</w:t>
      </w:r>
    </w:p>
    <w:p w14:paraId="249B528B" w14:textId="77777777" w:rsidR="008A7973" w:rsidRDefault="0005045B">
      <w:pPr>
        <w:pStyle w:val="Bibliografia"/>
      </w:pPr>
      <w:bookmarkStart w:id="68" w:name="ref-Kamilaris2018"/>
      <w:bookmarkEnd w:id="67"/>
      <w:r>
        <w:t xml:space="preserve">Kamilaris, A. and Prenafeta-Boldú, F.X. (2018) “Deep learning in agriculture: A survey,” </w:t>
      </w:r>
      <w:r>
        <w:rPr>
          <w:i/>
          <w:iCs/>
        </w:rPr>
        <w:t>Computers and Electronics in Agriculture</w:t>
      </w:r>
      <w:r>
        <w:t xml:space="preserve">, 147, pp. 70–90. Available at: </w:t>
      </w:r>
      <w:hyperlink r:id="rId34">
        <w:r>
          <w:rPr>
            <w:rStyle w:val="Hyperlink"/>
          </w:rPr>
          <w:t>https://doi.org/10.1016/j.compag.2018.02.016</w:t>
        </w:r>
      </w:hyperlink>
      <w:r>
        <w:t>.</w:t>
      </w:r>
    </w:p>
    <w:p w14:paraId="249B528C" w14:textId="77777777" w:rsidR="008A7973" w:rsidRDefault="0005045B">
      <w:pPr>
        <w:pStyle w:val="Bibliografia"/>
      </w:pPr>
      <w:bookmarkStart w:id="69" w:name="ref-Kshetri2014"/>
      <w:bookmarkEnd w:id="68"/>
      <w:r>
        <w:t xml:space="preserve">Kshetri, N. (2014) “The emerging role of big data in key development issues: Opportunities, challenges, and concerns,” </w:t>
      </w:r>
      <w:r>
        <w:rPr>
          <w:i/>
          <w:iCs/>
        </w:rPr>
        <w:t>Big Data &amp; Society</w:t>
      </w:r>
      <w:r>
        <w:t xml:space="preserve">, 1(2), p. 2053951714564227. Available at: </w:t>
      </w:r>
      <w:hyperlink r:id="rId35">
        <w:r>
          <w:rPr>
            <w:rStyle w:val="Hyperlink"/>
          </w:rPr>
          <w:t>https://doi.org/10.1177/2053951714564227</w:t>
        </w:r>
      </w:hyperlink>
      <w:r>
        <w:t>.</w:t>
      </w:r>
    </w:p>
    <w:p w14:paraId="249B528D" w14:textId="77777777" w:rsidR="008A7973" w:rsidRDefault="0005045B">
      <w:pPr>
        <w:pStyle w:val="Bibliografia"/>
      </w:pPr>
      <w:bookmarkStart w:id="70" w:name="ref-Kuhn2013"/>
      <w:bookmarkEnd w:id="69"/>
      <w:r>
        <w:lastRenderedPageBreak/>
        <w:t xml:space="preserve">Kuhn, M. and Johnson, K. (2013) </w:t>
      </w:r>
      <w:r>
        <w:rPr>
          <w:i/>
          <w:iCs/>
        </w:rPr>
        <w:t>Applied predictive modeling</w:t>
      </w:r>
      <w:r>
        <w:t>. Springer.</w:t>
      </w:r>
    </w:p>
    <w:p w14:paraId="249B528E" w14:textId="77777777" w:rsidR="008A7973" w:rsidRDefault="0005045B">
      <w:pPr>
        <w:pStyle w:val="Bibliografia"/>
      </w:pPr>
      <w:bookmarkStart w:id="71" w:name="ref-Lavine2005"/>
      <w:bookmarkEnd w:id="70"/>
      <w:r>
        <w:t xml:space="preserve">Lavine, B.K. and Workman, Jr., Jerome (2005) “Chemometrics: Past, present, and future,” in </w:t>
      </w:r>
      <w:r>
        <w:rPr>
          <w:i/>
          <w:iCs/>
        </w:rPr>
        <w:t>Chemometrics and chemoinformatics</w:t>
      </w:r>
      <w:r>
        <w:t xml:space="preserve">. American Chemical Society (ACS symposium series), pp. 1–13. Available at: </w:t>
      </w:r>
      <w:hyperlink r:id="rId36">
        <w:r>
          <w:rPr>
            <w:rStyle w:val="Hyperlink"/>
          </w:rPr>
          <w:t>https://doi.org/10.1021/bk-2005-0894.ch001</w:t>
        </w:r>
      </w:hyperlink>
      <w:r>
        <w:t>.</w:t>
      </w:r>
    </w:p>
    <w:p w14:paraId="249B528F" w14:textId="77777777" w:rsidR="008A7973" w:rsidRDefault="0005045B">
      <w:pPr>
        <w:pStyle w:val="Bibliografia"/>
      </w:pPr>
      <w:bookmarkStart w:id="72" w:name="ref-Le2008"/>
      <w:bookmarkEnd w:id="71"/>
      <w:r>
        <w:t xml:space="preserve">Lê, S., Josse, J. and Husson, F. (2008) </w:t>
      </w:r>
      <w:r>
        <w:t xml:space="preserve">“FactoMineR: An r package for multivariate analysis,” </w:t>
      </w:r>
      <w:r>
        <w:rPr>
          <w:i/>
          <w:iCs/>
        </w:rPr>
        <w:t>Journal of Statistical Software</w:t>
      </w:r>
      <w:r>
        <w:t xml:space="preserve">, 25(1), pp. 1–18. Available at: </w:t>
      </w:r>
      <w:hyperlink r:id="rId37">
        <w:r>
          <w:rPr>
            <w:rStyle w:val="Hyperlink"/>
          </w:rPr>
          <w:t>https://www.jstatsoft.org/v25/i01/</w:t>
        </w:r>
      </w:hyperlink>
      <w:r>
        <w:t>.</w:t>
      </w:r>
    </w:p>
    <w:p w14:paraId="249B5290" w14:textId="77777777" w:rsidR="008A7973" w:rsidRDefault="0005045B">
      <w:pPr>
        <w:pStyle w:val="Bibliografia"/>
      </w:pPr>
      <w:bookmarkStart w:id="73" w:name="ref-Li2025"/>
      <w:bookmarkEnd w:id="72"/>
      <w:r>
        <w:t xml:space="preserve">Li, Y. </w:t>
      </w:r>
      <w:r>
        <w:rPr>
          <w:i/>
          <w:iCs/>
        </w:rPr>
        <w:t>et al.</w:t>
      </w:r>
      <w:r>
        <w:t xml:space="preserve"> (2025) “Promoting LC-QToF based non-targeted fingerprinting and biomarker selection with machine learning for the discrimination of black tea geographical origin,” </w:t>
      </w:r>
      <w:r>
        <w:rPr>
          <w:i/>
          <w:iCs/>
        </w:rPr>
        <w:t>Food Chemistry</w:t>
      </w:r>
      <w:r>
        <w:t xml:space="preserve">, 465. Available at: </w:t>
      </w:r>
      <w:hyperlink r:id="rId38">
        <w:r>
          <w:rPr>
            <w:rStyle w:val="Hyperlink"/>
          </w:rPr>
          <w:t>https://doi.org/10.1016/j.foodchem.2024.142088</w:t>
        </w:r>
      </w:hyperlink>
      <w:r>
        <w:t>.</w:t>
      </w:r>
    </w:p>
    <w:p w14:paraId="249B5291" w14:textId="77777777" w:rsidR="008A7973" w:rsidRDefault="0005045B">
      <w:pPr>
        <w:pStyle w:val="Bibliografia"/>
      </w:pPr>
      <w:bookmarkStart w:id="74" w:name="ref-Liakos2018"/>
      <w:bookmarkEnd w:id="73"/>
      <w:r>
        <w:t xml:space="preserve">Liakos, K.G. </w:t>
      </w:r>
      <w:r>
        <w:rPr>
          <w:i/>
          <w:iCs/>
        </w:rPr>
        <w:t>et al.</w:t>
      </w:r>
      <w:r>
        <w:t xml:space="preserve"> (2018) “Machine learning in agriculture: A review,” </w:t>
      </w:r>
      <w:r>
        <w:rPr>
          <w:i/>
          <w:iCs/>
        </w:rPr>
        <w:t>Sensors</w:t>
      </w:r>
      <w:r>
        <w:t xml:space="preserve">, 18(8), p. 2674. Available at: </w:t>
      </w:r>
      <w:hyperlink r:id="rId39">
        <w:r>
          <w:rPr>
            <w:rStyle w:val="Hyperlink"/>
          </w:rPr>
          <w:t>https://doi.org/10.3390/s18082674</w:t>
        </w:r>
      </w:hyperlink>
      <w:r>
        <w:t>.</w:t>
      </w:r>
    </w:p>
    <w:p w14:paraId="249B5292" w14:textId="77777777" w:rsidR="008A7973" w:rsidRPr="0005045B" w:rsidRDefault="0005045B">
      <w:pPr>
        <w:pStyle w:val="Bibliografia"/>
        <w:rPr>
          <w:lang w:val="pt-BR"/>
        </w:rPr>
      </w:pPr>
      <w:bookmarkStart w:id="75" w:name="ref-Liu2025"/>
      <w:bookmarkEnd w:id="74"/>
      <w:r>
        <w:t xml:space="preserve">Liu, C. </w:t>
      </w:r>
      <w:r>
        <w:rPr>
          <w:i/>
          <w:iCs/>
        </w:rPr>
        <w:t>et al.</w:t>
      </w:r>
      <w:r>
        <w:t xml:space="preserve"> (2025) “Metabolomics for origin traceability of lamb: An ensemble learning approach based on random forest recursive feature elimination,” </w:t>
      </w:r>
      <w:r>
        <w:rPr>
          <w:i/>
          <w:iCs/>
        </w:rPr>
        <w:t>Food Chemistry: X</w:t>
      </w:r>
      <w:r>
        <w:t xml:space="preserve">, 29. </w:t>
      </w:r>
      <w:proofErr w:type="spellStart"/>
      <w:r w:rsidRPr="0005045B">
        <w:rPr>
          <w:lang w:val="pt-BR"/>
        </w:rPr>
        <w:t>Available</w:t>
      </w:r>
      <w:proofErr w:type="spellEnd"/>
      <w:r w:rsidRPr="0005045B">
        <w:rPr>
          <w:lang w:val="pt-BR"/>
        </w:rPr>
        <w:t xml:space="preserve"> </w:t>
      </w:r>
      <w:proofErr w:type="spellStart"/>
      <w:r w:rsidRPr="0005045B">
        <w:rPr>
          <w:lang w:val="pt-BR"/>
        </w:rPr>
        <w:t>at</w:t>
      </w:r>
      <w:proofErr w:type="spellEnd"/>
      <w:r w:rsidRPr="0005045B">
        <w:rPr>
          <w:lang w:val="pt-BR"/>
        </w:rPr>
        <w:t xml:space="preserve">: </w:t>
      </w:r>
      <w:hyperlink r:id="rId40">
        <w:r w:rsidRPr="0005045B">
          <w:rPr>
            <w:rStyle w:val="Hyperlink"/>
            <w:lang w:val="pt-BR"/>
          </w:rPr>
          <w:t>https://doi.org/10.1016/j.fochx.2025.102856</w:t>
        </w:r>
      </w:hyperlink>
      <w:r w:rsidRPr="0005045B">
        <w:rPr>
          <w:lang w:val="pt-BR"/>
        </w:rPr>
        <w:t>.</w:t>
      </w:r>
    </w:p>
    <w:p w14:paraId="249B5293" w14:textId="77777777" w:rsidR="008A7973" w:rsidRDefault="0005045B">
      <w:pPr>
        <w:pStyle w:val="Bibliografia"/>
      </w:pPr>
      <w:bookmarkStart w:id="76" w:name="ref-Locatelli2008"/>
      <w:bookmarkEnd w:id="75"/>
      <w:r w:rsidRPr="0005045B">
        <w:rPr>
          <w:lang w:val="pt-BR"/>
        </w:rPr>
        <w:t xml:space="preserve">Locatelli, L. (2008) </w:t>
      </w:r>
      <w:r w:rsidRPr="0005045B">
        <w:rPr>
          <w:i/>
          <w:iCs/>
          <w:lang w:val="pt-BR"/>
        </w:rPr>
        <w:t>Indicações geográficas: A proteção jurídica sob a perspectiva do desenvolvimento econômico</w:t>
      </w:r>
      <w:r w:rsidRPr="0005045B">
        <w:rPr>
          <w:lang w:val="pt-BR"/>
        </w:rPr>
        <w:t xml:space="preserve">. </w:t>
      </w:r>
      <w:r>
        <w:t xml:space="preserve">Curitiba, PR: Editora </w:t>
      </w:r>
      <w:proofErr w:type="spellStart"/>
      <w:r>
        <w:t>Juruá</w:t>
      </w:r>
      <w:proofErr w:type="spellEnd"/>
      <w:r>
        <w:t>.</w:t>
      </w:r>
    </w:p>
    <w:p w14:paraId="249B5294" w14:textId="77777777" w:rsidR="008A7973" w:rsidRDefault="0005045B">
      <w:pPr>
        <w:pStyle w:val="Bibliografia"/>
      </w:pPr>
      <w:bookmarkStart w:id="77" w:name="ref-lotka1926"/>
      <w:bookmarkEnd w:id="76"/>
      <w:r>
        <w:t xml:space="preserve">Lotka, A.J. (1926) “The frequency distribution of scientific productivity,” </w:t>
      </w:r>
      <w:r>
        <w:rPr>
          <w:i/>
          <w:iCs/>
        </w:rPr>
        <w:t>Journal of the Washington Academy of Sciences</w:t>
      </w:r>
      <w:r>
        <w:t>, 16(12), pp. 317–323.</w:t>
      </w:r>
    </w:p>
    <w:p w14:paraId="249B5295" w14:textId="77777777" w:rsidR="008A7973" w:rsidRDefault="0005045B">
      <w:pPr>
        <w:pStyle w:val="Bibliografia"/>
      </w:pPr>
      <w:bookmarkStart w:id="78" w:name="ref-Loyal2022"/>
      <w:bookmarkEnd w:id="77"/>
      <w:r>
        <w:t xml:space="preserve">Loyal, J.D. </w:t>
      </w:r>
      <w:r>
        <w:rPr>
          <w:i/>
          <w:iCs/>
        </w:rPr>
        <w:t>et al.</w:t>
      </w:r>
      <w:r>
        <w:t xml:space="preserve"> (2022) “Dimension reduction forests: Local variable importance using structured random forests,” </w:t>
      </w:r>
      <w:r>
        <w:rPr>
          <w:i/>
          <w:iCs/>
        </w:rPr>
        <w:t>Journal of Computational and Graphical Statistics</w:t>
      </w:r>
      <w:r>
        <w:t xml:space="preserve">, 31(4), pp. 1024–1038. Available at: </w:t>
      </w:r>
      <w:hyperlink r:id="rId41">
        <w:r>
          <w:rPr>
            <w:rStyle w:val="Hyperlink"/>
          </w:rPr>
          <w:t>https://doi.org/10.1080/10618600.2022.2069777</w:t>
        </w:r>
      </w:hyperlink>
      <w:r>
        <w:t>.</w:t>
      </w:r>
    </w:p>
    <w:p w14:paraId="249B5296" w14:textId="77777777" w:rsidR="008A7973" w:rsidRDefault="0005045B">
      <w:pPr>
        <w:pStyle w:val="Bibliografia"/>
      </w:pPr>
      <w:bookmarkStart w:id="79" w:name="ref-Lundberg2017"/>
      <w:bookmarkEnd w:id="78"/>
      <w:r>
        <w:t xml:space="preserve">Lundberg, S.M. and Lee, S.-I. (2017) “A unified approach to interpreting model predictions,” </w:t>
      </w:r>
      <w:r>
        <w:rPr>
          <w:i/>
          <w:iCs/>
        </w:rPr>
        <w:t>Advances in Neural Information Processing Systems</w:t>
      </w:r>
      <w:r>
        <w:t xml:space="preserve">, 30, pp. 4765–4774. Available at: </w:t>
      </w:r>
      <w:hyperlink r:id="rId42">
        <w:r>
          <w:rPr>
            <w:rStyle w:val="Hyperlink"/>
          </w:rPr>
          <w:t>https://papers.nips.cc/paper/7062-a-unified-approach-to-interpreting-model-predictions.pdf</w:t>
        </w:r>
      </w:hyperlink>
      <w:r>
        <w:t>.</w:t>
      </w:r>
    </w:p>
    <w:p w14:paraId="249B5297" w14:textId="77777777" w:rsidR="008A7973" w:rsidRDefault="0005045B">
      <w:pPr>
        <w:pStyle w:val="Bibliografia"/>
      </w:pPr>
      <w:bookmarkStart w:id="80" w:name="ref-Meena2024"/>
      <w:bookmarkEnd w:id="79"/>
      <w:r>
        <w:t xml:space="preserve">Meena, D., Chakraborty, S. and Mitra, J. (2024) “Geographical origin identification of red chili powder using NIR spectroscopy combined with SIMCA and machine </w:t>
      </w:r>
      <w:r>
        <w:lastRenderedPageBreak/>
        <w:t xml:space="preserve">learning algorithms,” </w:t>
      </w:r>
      <w:r>
        <w:rPr>
          <w:i/>
          <w:iCs/>
        </w:rPr>
        <w:t>Food Analytical Methods</w:t>
      </w:r>
      <w:r>
        <w:t xml:space="preserve">, 17(7), pp. 1005–1023. Available at: </w:t>
      </w:r>
      <w:hyperlink r:id="rId43">
        <w:r>
          <w:rPr>
            <w:rStyle w:val="Hyperlink"/>
          </w:rPr>
          <w:t>https://doi.org/10.1007/s12161-024-02625-6</w:t>
        </w:r>
      </w:hyperlink>
      <w:r>
        <w:t>.</w:t>
      </w:r>
    </w:p>
    <w:p w14:paraId="249B5298" w14:textId="77777777" w:rsidR="008A7973" w:rsidRDefault="0005045B">
      <w:pPr>
        <w:pStyle w:val="Bibliografia"/>
      </w:pPr>
      <w:bookmarkStart w:id="81" w:name="ref-Mohammadi2024"/>
      <w:bookmarkEnd w:id="80"/>
      <w:r>
        <w:t xml:space="preserve">Mohammadi, N., Esteki, M. and Simal-Gandara, J. (2024) </w:t>
      </w:r>
      <w:r>
        <w:t xml:space="preserve">“Machine learning for authentication of black tea from narrow-geographic origins: Combination of PCA and PLS with LDA and SVM classifiers,” </w:t>
      </w:r>
      <w:r>
        <w:rPr>
          <w:i/>
          <w:iCs/>
        </w:rPr>
        <w:t>Lebensmittel-Wissenschaft and Technologie</w:t>
      </w:r>
      <w:r>
        <w:t xml:space="preserve">, 190, pp. 115–886. Available at: </w:t>
      </w:r>
      <w:hyperlink r:id="rId44">
        <w:r>
          <w:rPr>
            <w:rStyle w:val="Hyperlink"/>
          </w:rPr>
          <w:t>https://doi.org/10.1016/j.lwt.2024.115886</w:t>
        </w:r>
      </w:hyperlink>
      <w:r>
        <w:t>.</w:t>
      </w:r>
    </w:p>
    <w:p w14:paraId="249B5299" w14:textId="77777777" w:rsidR="008A7973" w:rsidRDefault="0005045B">
      <w:pPr>
        <w:pStyle w:val="Bibliografia"/>
      </w:pPr>
      <w:bookmarkStart w:id="82" w:name="ref-MUNN2018"/>
      <w:bookmarkEnd w:id="81"/>
      <w:r>
        <w:t xml:space="preserve">Munn, Z. </w:t>
      </w:r>
      <w:r>
        <w:rPr>
          <w:i/>
          <w:iCs/>
        </w:rPr>
        <w:t>et al.</w:t>
      </w:r>
      <w:r>
        <w:t xml:space="preserve"> (2018) “Systematic review or scoping review? Guidance for authors when choosing between a systematic or scoping review approach,” </w:t>
      </w:r>
      <w:r>
        <w:rPr>
          <w:i/>
          <w:iCs/>
        </w:rPr>
        <w:t>BMC Medical Research Methodology</w:t>
      </w:r>
      <w:r>
        <w:t>, 18(1), p. 143.</w:t>
      </w:r>
    </w:p>
    <w:p w14:paraId="249B529A" w14:textId="77777777" w:rsidR="008A7973" w:rsidRDefault="0005045B">
      <w:pPr>
        <w:pStyle w:val="Bibliografia"/>
      </w:pPr>
      <w:bookmarkStart w:id="83" w:name="ref-OforiBoateng2024"/>
      <w:bookmarkEnd w:id="82"/>
      <w:r w:rsidRPr="0005045B">
        <w:rPr>
          <w:lang w:val="de-DE"/>
        </w:rPr>
        <w:t xml:space="preserve">Ofori-Boateng, R. </w:t>
      </w:r>
      <w:r w:rsidRPr="0005045B">
        <w:rPr>
          <w:i/>
          <w:iCs/>
          <w:lang w:val="de-DE"/>
        </w:rPr>
        <w:t>et al.</w:t>
      </w:r>
      <w:r w:rsidRPr="0005045B">
        <w:rPr>
          <w:lang w:val="de-DE"/>
        </w:rPr>
        <w:t xml:space="preserve"> </w:t>
      </w:r>
      <w:r>
        <w:t xml:space="preserve">(2024) “Towards the automation of systematic reviews using natural language processing, machine learning, and deep learning: A comprehensive review,” </w:t>
      </w:r>
      <w:r>
        <w:rPr>
          <w:i/>
          <w:iCs/>
        </w:rPr>
        <w:t>Artificial Intelligence Review</w:t>
      </w:r>
      <w:r>
        <w:t xml:space="preserve"> [Preprint]. Available at: </w:t>
      </w:r>
      <w:hyperlink r:id="rId45">
        <w:r>
          <w:rPr>
            <w:rStyle w:val="Hyperlink"/>
          </w:rPr>
          <w:t>https://doi.org/10.1007/s10462-024-10844-w</w:t>
        </w:r>
      </w:hyperlink>
      <w:r>
        <w:t>.</w:t>
      </w:r>
    </w:p>
    <w:p w14:paraId="249B529B" w14:textId="77777777" w:rsidR="008A7973" w:rsidRDefault="0005045B">
      <w:pPr>
        <w:pStyle w:val="Bibliografia"/>
      </w:pPr>
      <w:bookmarkStart w:id="84" w:name="ref-Osco2021"/>
      <w:bookmarkEnd w:id="83"/>
      <w:r>
        <w:t xml:space="preserve">Osco, L.P. </w:t>
      </w:r>
      <w:r>
        <w:rPr>
          <w:i/>
          <w:iCs/>
        </w:rPr>
        <w:t>et al.</w:t>
      </w:r>
      <w:r>
        <w:t xml:space="preserve"> (2021) “A review on deep learning in UAV remote sensing,” </w:t>
      </w:r>
      <w:r>
        <w:rPr>
          <w:i/>
          <w:iCs/>
        </w:rPr>
        <w:t>International Journal of Applied Earth Observation and Geoinformation</w:t>
      </w:r>
      <w:r>
        <w:t xml:space="preserve">, 102, p. 102456. Available at: </w:t>
      </w:r>
      <w:hyperlink r:id="rId46">
        <w:r>
          <w:rPr>
            <w:rStyle w:val="Hyperlink"/>
          </w:rPr>
          <w:t>https://doi.org/10.1016/j.jag.2021.102456</w:t>
        </w:r>
      </w:hyperlink>
      <w:r>
        <w:t>.</w:t>
      </w:r>
    </w:p>
    <w:p w14:paraId="249B529C" w14:textId="77777777" w:rsidR="008A7973" w:rsidRDefault="0005045B">
      <w:pPr>
        <w:pStyle w:val="Bibliografia"/>
      </w:pPr>
      <w:bookmarkStart w:id="85" w:name="ref-Peng2025"/>
      <w:bookmarkEnd w:id="84"/>
      <w:r>
        <w:t xml:space="preserve">Peng, Z. </w:t>
      </w:r>
      <w:r>
        <w:rPr>
          <w:i/>
          <w:iCs/>
        </w:rPr>
        <w:t>et al.</w:t>
      </w:r>
      <w:r>
        <w:t xml:space="preserve"> (2025) “Machine learning based on metabolomics to discriminate wuyi rock tea production areas and ‘rock flavor’ substances,” </w:t>
      </w:r>
      <w:r>
        <w:rPr>
          <w:i/>
          <w:iCs/>
        </w:rPr>
        <w:t>Food Chemistry: X</w:t>
      </w:r>
      <w:r>
        <w:t xml:space="preserve">, 31. Available at: </w:t>
      </w:r>
      <w:hyperlink r:id="rId47">
        <w:r>
          <w:rPr>
            <w:rStyle w:val="Hyperlink"/>
          </w:rPr>
          <w:t>https://doi.org/10.1016/j.fochx.2025.103194</w:t>
        </w:r>
      </w:hyperlink>
      <w:r>
        <w:t>.</w:t>
      </w:r>
    </w:p>
    <w:p w14:paraId="249B529D" w14:textId="77777777" w:rsidR="008A7973" w:rsidRDefault="0005045B">
      <w:pPr>
        <w:pStyle w:val="Bibliografia"/>
      </w:pPr>
      <w:bookmarkStart w:id="86" w:name="ref-pluye2009"/>
      <w:bookmarkEnd w:id="85"/>
      <w:r>
        <w:t xml:space="preserve">Pluye, P. </w:t>
      </w:r>
      <w:r>
        <w:rPr>
          <w:i/>
          <w:iCs/>
        </w:rPr>
        <w:t>et al.</w:t>
      </w:r>
      <w:r>
        <w:t xml:space="preserve"> (2009) “A scoring system for appraising mixed methods research, and concomitantly appraising qualitative, quantitative and mixed methods primary studies in mixed studies reviews,” </w:t>
      </w:r>
      <w:r>
        <w:rPr>
          <w:i/>
          <w:iCs/>
        </w:rPr>
        <w:t>International Journal of Nursing Studies</w:t>
      </w:r>
      <w:r>
        <w:t>, 46(4), pp. 529–546.</w:t>
      </w:r>
    </w:p>
    <w:p w14:paraId="249B529E" w14:textId="77777777" w:rsidR="008A7973" w:rsidRDefault="0005045B">
      <w:pPr>
        <w:pStyle w:val="Bibliografia"/>
      </w:pPr>
      <w:bookmarkStart w:id="87" w:name="ref-Qamar2023DeepLearning"/>
      <w:bookmarkEnd w:id="86"/>
      <w:r>
        <w:t xml:space="preserve">Qamar, T. and Bawany, N.Z. (2023) “Understanding the black-box: Towards interpretable and reliable deep learning models,” </w:t>
      </w:r>
      <w:r>
        <w:rPr>
          <w:i/>
          <w:iCs/>
        </w:rPr>
        <w:t>PeerJ Computer Science</w:t>
      </w:r>
      <w:r>
        <w:t xml:space="preserve">, 9, p. e1629. Available at: </w:t>
      </w:r>
      <w:hyperlink r:id="rId48">
        <w:r>
          <w:rPr>
            <w:rStyle w:val="Hyperlink"/>
          </w:rPr>
          <w:t>https://doi.org/10.7717/peerj-cs.1629</w:t>
        </w:r>
      </w:hyperlink>
      <w:r>
        <w:t>.</w:t>
      </w:r>
    </w:p>
    <w:p w14:paraId="249B529F" w14:textId="77777777" w:rsidR="008A7973" w:rsidRDefault="0005045B">
      <w:pPr>
        <w:pStyle w:val="Bibliografia"/>
      </w:pPr>
      <w:bookmarkStart w:id="88" w:name="ref-Ramos2025"/>
      <w:bookmarkEnd w:id="87"/>
      <w:r>
        <w:t xml:space="preserve">Ramos, H.A. </w:t>
      </w:r>
      <w:r>
        <w:rPr>
          <w:i/>
          <w:iCs/>
        </w:rPr>
        <w:t>et al.</w:t>
      </w:r>
      <w:r>
        <w:t xml:space="preserve"> (2025) “Pattern recognition in instrumental data analysis of fruit spirits: Current status and future perspectives,” </w:t>
      </w:r>
      <w:r>
        <w:rPr>
          <w:i/>
          <w:iCs/>
        </w:rPr>
        <w:t>Trends in Food Science and Technology</w:t>
      </w:r>
      <w:r>
        <w:t xml:space="preserve">, 166. Available at: </w:t>
      </w:r>
      <w:hyperlink r:id="rId49">
        <w:r>
          <w:rPr>
            <w:rStyle w:val="Hyperlink"/>
          </w:rPr>
          <w:t>https://doi.org/10.1016/j.tifs.2025.105405</w:t>
        </w:r>
      </w:hyperlink>
      <w:r>
        <w:t>.</w:t>
      </w:r>
    </w:p>
    <w:p w14:paraId="249B52A0" w14:textId="77777777" w:rsidR="008A7973" w:rsidRDefault="0005045B">
      <w:pPr>
        <w:pStyle w:val="Bibliografia"/>
      </w:pPr>
      <w:bookmarkStart w:id="89" w:name="ref-Rebiai2022"/>
      <w:bookmarkEnd w:id="88"/>
      <w:r>
        <w:t xml:space="preserve">Rebiai, A. </w:t>
      </w:r>
      <w:r>
        <w:rPr>
          <w:i/>
          <w:iCs/>
        </w:rPr>
        <w:t>et al.</w:t>
      </w:r>
      <w:r>
        <w:t xml:space="preserve"> (2022) “Current application of chemometrics analysis in authentication of natural products: A review,” </w:t>
      </w:r>
      <w:r>
        <w:rPr>
          <w:i/>
          <w:iCs/>
        </w:rPr>
        <w:t xml:space="preserve">Current Chemistry and Hydrogen </w:t>
      </w:r>
      <w:r>
        <w:rPr>
          <w:i/>
          <w:iCs/>
        </w:rPr>
        <w:lastRenderedPageBreak/>
        <w:t>Energy</w:t>
      </w:r>
      <w:r>
        <w:t xml:space="preserve">, 10(3), pp. 241–259. Available at: </w:t>
      </w:r>
      <w:hyperlink r:id="rId50">
        <w:r>
          <w:rPr>
            <w:rStyle w:val="Hyperlink"/>
          </w:rPr>
          <w:t>https://doi.org/10.2174/1386207324666210309102239</w:t>
        </w:r>
      </w:hyperlink>
      <w:r>
        <w:t>.</w:t>
      </w:r>
    </w:p>
    <w:p w14:paraId="249B52A1" w14:textId="77777777" w:rsidR="008A7973" w:rsidRDefault="0005045B">
      <w:pPr>
        <w:pStyle w:val="Bibliografia"/>
      </w:pPr>
      <w:bookmarkStart w:id="90" w:name="ref-Rudin2019"/>
      <w:bookmarkEnd w:id="89"/>
      <w:r>
        <w:t xml:space="preserve">Rudin, C. (2019) “Stop explaining black box machine learning models for high stakes decisions and use interpretable models instead,” </w:t>
      </w:r>
      <w:r>
        <w:rPr>
          <w:i/>
          <w:iCs/>
        </w:rPr>
        <w:t>Nature Machine Intelligence</w:t>
      </w:r>
      <w:r>
        <w:t xml:space="preserve">, 1(5), pp. 206–215. Available at: </w:t>
      </w:r>
      <w:hyperlink r:id="rId51">
        <w:r>
          <w:rPr>
            <w:rStyle w:val="Hyperlink"/>
          </w:rPr>
          <w:t>https://doi.org/10.1038/s42256-019-0048-x</w:t>
        </w:r>
      </w:hyperlink>
      <w:r>
        <w:t>.</w:t>
      </w:r>
    </w:p>
    <w:p w14:paraId="249B52A2" w14:textId="77777777" w:rsidR="008A7973" w:rsidRDefault="0005045B">
      <w:pPr>
        <w:pStyle w:val="Bibliografia"/>
      </w:pPr>
      <w:bookmarkStart w:id="91" w:name="ref-SAATY1991"/>
      <w:bookmarkEnd w:id="90"/>
      <w:r>
        <w:t xml:space="preserve">Saaty, T.L. (1991) </w:t>
      </w:r>
      <w:r>
        <w:rPr>
          <w:i/>
          <w:iCs/>
        </w:rPr>
        <w:t>The analytic hierarchy process: Planning, priority setting, resource allocation</w:t>
      </w:r>
      <w:r>
        <w:t>. McGraw-Hill.</w:t>
      </w:r>
    </w:p>
    <w:p w14:paraId="249B52A3" w14:textId="77777777" w:rsidR="008A7973" w:rsidRDefault="0005045B">
      <w:pPr>
        <w:pStyle w:val="Bibliografia"/>
      </w:pPr>
      <w:bookmarkStart w:id="92" w:name="ref-Salam2021"/>
      <w:bookmarkEnd w:id="91"/>
      <w:r>
        <w:t xml:space="preserve">Salam, M.A. </w:t>
      </w:r>
      <w:r>
        <w:rPr>
          <w:i/>
          <w:iCs/>
        </w:rPr>
        <w:t>et al.</w:t>
      </w:r>
      <w:r>
        <w:t xml:space="preserve"> (2021) “The effect of different dimensionality reduction techniques on machine learning overfitting problem,” </w:t>
      </w:r>
      <w:r>
        <w:rPr>
          <w:i/>
          <w:iCs/>
        </w:rPr>
        <w:t>International Journal of Advanced Computer Science and Applications</w:t>
      </w:r>
      <w:r>
        <w:t>, 12(6), pp. 95–112.</w:t>
      </w:r>
    </w:p>
    <w:p w14:paraId="249B52A4" w14:textId="77777777" w:rsidR="008A7973" w:rsidRDefault="0005045B">
      <w:pPr>
        <w:pStyle w:val="Bibliografia"/>
      </w:pPr>
      <w:bookmarkStart w:id="93" w:name="ref-Schoch2020"/>
      <w:bookmarkEnd w:id="92"/>
      <w:r>
        <w:t xml:space="preserve">Schoch, D. (2020) “Ggraph: An implementation of grammar of graphics for graphs and networks,” </w:t>
      </w:r>
      <w:r>
        <w:rPr>
          <w:i/>
          <w:iCs/>
        </w:rPr>
        <w:t>Journal of Open Source Software</w:t>
      </w:r>
      <w:r>
        <w:t xml:space="preserve">, 5(55), p. 2341. Available at: </w:t>
      </w:r>
      <w:hyperlink r:id="rId52">
        <w:r>
          <w:rPr>
            <w:rStyle w:val="Hyperlink"/>
          </w:rPr>
          <w:t>https://doi.org/10.21105/joss.02341</w:t>
        </w:r>
      </w:hyperlink>
      <w:r>
        <w:t>.</w:t>
      </w:r>
    </w:p>
    <w:p w14:paraId="249B52A5" w14:textId="77777777" w:rsidR="008A7973" w:rsidRDefault="0005045B">
      <w:pPr>
        <w:pStyle w:val="Bibliografia"/>
      </w:pPr>
      <w:bookmarkStart w:id="94" w:name="ref-Shah2019"/>
      <w:bookmarkEnd w:id="93"/>
      <w:r>
        <w:t xml:space="preserve">Shah, S.H. </w:t>
      </w:r>
      <w:r>
        <w:rPr>
          <w:i/>
          <w:iCs/>
        </w:rPr>
        <w:t>et al.</w:t>
      </w:r>
      <w:r>
        <w:t xml:space="preserve"> (2019) “A random forest machine learning approach for the retrieval of leaf chlorophyll content in wheat,” </w:t>
      </w:r>
      <w:r>
        <w:rPr>
          <w:i/>
          <w:iCs/>
        </w:rPr>
        <w:t>Remote Sensing</w:t>
      </w:r>
      <w:r>
        <w:t xml:space="preserve">, 11(8). Available at: </w:t>
      </w:r>
      <w:hyperlink r:id="rId53">
        <w:r>
          <w:rPr>
            <w:rStyle w:val="Hyperlink"/>
          </w:rPr>
          <w:t>https://doi.org/10.3390/rs11080920</w:t>
        </w:r>
      </w:hyperlink>
      <w:r>
        <w:t>.</w:t>
      </w:r>
    </w:p>
    <w:p w14:paraId="249B52A6" w14:textId="77777777" w:rsidR="008A7973" w:rsidRDefault="0005045B">
      <w:pPr>
        <w:pStyle w:val="Bibliografia"/>
      </w:pPr>
      <w:bookmarkStart w:id="95" w:name="ref-shrout1979"/>
      <w:bookmarkEnd w:id="94"/>
      <w:r>
        <w:t xml:space="preserve">Shrout, P.E. and Fleiss, J.L. (1979) “Intraclass correlations: Uses in assessing rater reliability,” </w:t>
      </w:r>
      <w:r>
        <w:rPr>
          <w:i/>
          <w:iCs/>
        </w:rPr>
        <w:t>Psychological Bulletin</w:t>
      </w:r>
      <w:r>
        <w:t xml:space="preserve">, 86(2), pp. 420–428. Available at: </w:t>
      </w:r>
      <w:hyperlink r:id="rId54">
        <w:r>
          <w:rPr>
            <w:rStyle w:val="Hyperlink"/>
          </w:rPr>
          <w:t>https://doi.org/10.1037/0033-2909.86.2.420</w:t>
        </w:r>
      </w:hyperlink>
      <w:r>
        <w:t>.</w:t>
      </w:r>
    </w:p>
    <w:p w14:paraId="249B52A7" w14:textId="77777777" w:rsidR="008A7973" w:rsidRDefault="0005045B">
      <w:pPr>
        <w:pStyle w:val="Bibliografia"/>
      </w:pPr>
      <w:bookmarkStart w:id="96" w:name="ref-Spearman1904"/>
      <w:bookmarkEnd w:id="95"/>
      <w:r>
        <w:t xml:space="preserve">Spearman, C. (1904) “The proof and measurement of association between two things,” </w:t>
      </w:r>
      <w:r>
        <w:rPr>
          <w:i/>
          <w:iCs/>
        </w:rPr>
        <w:t>The American Journal of Psychology</w:t>
      </w:r>
      <w:r>
        <w:t xml:space="preserve">, 15(1), pp. 72–101. Available at: </w:t>
      </w:r>
      <w:hyperlink r:id="rId55">
        <w:r>
          <w:rPr>
            <w:rStyle w:val="Hyperlink"/>
          </w:rPr>
          <w:t>https://doi.org/10.2307/1412159</w:t>
        </w:r>
      </w:hyperlink>
      <w:r>
        <w:t>.</w:t>
      </w:r>
    </w:p>
    <w:p w14:paraId="249B52A8" w14:textId="77777777" w:rsidR="008A7973" w:rsidRDefault="0005045B">
      <w:pPr>
        <w:pStyle w:val="Bibliografia"/>
      </w:pPr>
      <w:bookmarkStart w:id="97" w:name="ref-streiner2008health"/>
      <w:bookmarkEnd w:id="96"/>
      <w:r>
        <w:t xml:space="preserve">Streiner, D.L. and Norman, G.R. (2008) </w:t>
      </w:r>
      <w:r>
        <w:rPr>
          <w:i/>
          <w:iCs/>
        </w:rPr>
        <w:t>Health measurement scales: A practical guide to their development and use</w:t>
      </w:r>
      <w:r>
        <w:t>. 4th ed. Oxford: Oxford University Press.</w:t>
      </w:r>
    </w:p>
    <w:p w14:paraId="249B52A9" w14:textId="77777777" w:rsidR="008A7973" w:rsidRDefault="0005045B">
      <w:pPr>
        <w:pStyle w:val="Bibliografia"/>
      </w:pPr>
      <w:bookmarkStart w:id="98" w:name="ref-Suh2007"/>
      <w:bookmarkEnd w:id="97"/>
      <w:r>
        <w:t xml:space="preserve">Suh, J. and Macpherson, A. (2007) “The impact of geographical indication on the revitalisation of a regional economy: A case study of ’boseong’ green tea,” </w:t>
      </w:r>
      <w:r>
        <w:rPr>
          <w:i/>
          <w:iCs/>
        </w:rPr>
        <w:t>Area</w:t>
      </w:r>
      <w:r>
        <w:t xml:space="preserve">, 39(4), pp. 518–527. Available at: </w:t>
      </w:r>
      <w:hyperlink r:id="rId56">
        <w:r>
          <w:rPr>
            <w:rStyle w:val="Hyperlink"/>
          </w:rPr>
          <w:t>https://doi.org/10.1111/j.1475-4762.2007.00765.x</w:t>
        </w:r>
      </w:hyperlink>
      <w:r>
        <w:t>.</w:t>
      </w:r>
    </w:p>
    <w:p w14:paraId="249B52AA" w14:textId="77777777" w:rsidR="008A7973" w:rsidRDefault="0005045B">
      <w:pPr>
        <w:pStyle w:val="Bibliografia"/>
      </w:pPr>
      <w:bookmarkStart w:id="99" w:name="ref-Likert3vs5_2025"/>
      <w:bookmarkEnd w:id="98"/>
      <w:r>
        <w:t xml:space="preserve">Surname, A. and Surname, A. (2025) “A comparative study of 3-point and 5-point likert scales,” </w:t>
      </w:r>
      <w:r>
        <w:rPr>
          <w:i/>
          <w:iCs/>
        </w:rPr>
        <w:t>Science Scholar</w:t>
      </w:r>
      <w:r>
        <w:t xml:space="preserve"> [Preprint].</w:t>
      </w:r>
    </w:p>
    <w:p w14:paraId="249B52AB" w14:textId="77777777" w:rsidR="008A7973" w:rsidRDefault="0005045B">
      <w:pPr>
        <w:pStyle w:val="Bibliografia"/>
      </w:pPr>
      <w:bookmarkStart w:id="100" w:name="ref-RCoreTeam2024"/>
      <w:bookmarkEnd w:id="99"/>
      <w:r>
        <w:lastRenderedPageBreak/>
        <w:t xml:space="preserve">Team, R.C. (2024) </w:t>
      </w:r>
      <w:r>
        <w:rPr>
          <w:i/>
          <w:iCs/>
        </w:rPr>
        <w:t>R: A language and environment for statistical computing</w:t>
      </w:r>
      <w:r>
        <w:t xml:space="preserve">. Vienna, Austria: R Foundation for Statistical Computing. Available at: </w:t>
      </w:r>
      <w:hyperlink r:id="rId57">
        <w:r>
          <w:rPr>
            <w:rStyle w:val="Hyperlink"/>
          </w:rPr>
          <w:t>https://www.R-project.org/</w:t>
        </w:r>
      </w:hyperlink>
      <w:r>
        <w:t>.</w:t>
      </w:r>
    </w:p>
    <w:p w14:paraId="249B52AC" w14:textId="77777777" w:rsidR="008A7973" w:rsidRDefault="0005045B">
      <w:pPr>
        <w:pStyle w:val="Bibliografia"/>
      </w:pPr>
      <w:bookmarkStart w:id="101" w:name="ref-RStudioTeam2023"/>
      <w:bookmarkEnd w:id="100"/>
      <w:r>
        <w:t xml:space="preserve">Team, Rs. (2023) </w:t>
      </w:r>
      <w:r>
        <w:rPr>
          <w:i/>
          <w:iCs/>
        </w:rPr>
        <w:t>RStudio: Integrated development environment for r</w:t>
      </w:r>
      <w:r>
        <w:t xml:space="preserve">. Boston, MA: RStudio, PBC. Available at: </w:t>
      </w:r>
      <w:hyperlink r:id="rId58">
        <w:r>
          <w:rPr>
            <w:rStyle w:val="Hyperlink"/>
          </w:rPr>
          <w:t>https://www.rstudio.com/</w:t>
        </w:r>
      </w:hyperlink>
      <w:r>
        <w:t>.</w:t>
      </w:r>
    </w:p>
    <w:p w14:paraId="249B52AD" w14:textId="77777777" w:rsidR="008A7973" w:rsidRDefault="0005045B">
      <w:pPr>
        <w:pStyle w:val="Bibliografia"/>
      </w:pPr>
      <w:bookmarkStart w:id="102" w:name="ref-Teuber2011"/>
      <w:bookmarkEnd w:id="101"/>
      <w:r>
        <w:t xml:space="preserve">Teuber, R. (2011) “Consumers’ and producers’ expectations towards geographical indications,” </w:t>
      </w:r>
      <w:r>
        <w:rPr>
          <w:i/>
          <w:iCs/>
        </w:rPr>
        <w:t>Agribusiness</w:t>
      </w:r>
      <w:r>
        <w:t xml:space="preserve">, 27(4), pp. 400–418. Available at: </w:t>
      </w:r>
      <w:hyperlink r:id="rId59">
        <w:r>
          <w:rPr>
            <w:rStyle w:val="Hyperlink"/>
          </w:rPr>
          <w:t>https://doi.org/10.1002/agr.20281</w:t>
        </w:r>
      </w:hyperlink>
      <w:r>
        <w:t>.</w:t>
      </w:r>
    </w:p>
    <w:p w14:paraId="249B52AE" w14:textId="77777777" w:rsidR="008A7973" w:rsidRDefault="0005045B">
      <w:pPr>
        <w:pStyle w:val="Bibliografia"/>
      </w:pPr>
      <w:bookmarkStart w:id="103" w:name="ref-tranfield2003"/>
      <w:bookmarkEnd w:id="102"/>
      <w:r>
        <w:t xml:space="preserve">Tranfield, D., Denyer, D. and Smart, P. (2003) “Towards a methodology for developing evidence-informed management knowledge by means of systematic review,” </w:t>
      </w:r>
      <w:r>
        <w:rPr>
          <w:i/>
          <w:iCs/>
        </w:rPr>
        <w:t>British Journal of Management</w:t>
      </w:r>
      <w:r>
        <w:t>, 14(3), pp. 207–222.</w:t>
      </w:r>
    </w:p>
    <w:bookmarkEnd w:id="103"/>
    <w:p w14:paraId="249B52AF" w14:textId="77777777" w:rsidR="008A7973" w:rsidRDefault="0005045B">
      <w:pPr>
        <w:pStyle w:val="Bibliografia"/>
      </w:pPr>
      <w:r>
        <w:t xml:space="preserve">Tricco, A.C. </w:t>
      </w:r>
      <w:r>
        <w:rPr>
          <w:i/>
          <w:iCs/>
        </w:rPr>
        <w:t>et al.</w:t>
      </w:r>
      <w:r>
        <w:t xml:space="preserve"> (2018) “PRISMA extension for scoping reviews (PRISMA-ScR): Checklist and explanation,” </w:t>
      </w:r>
      <w:r>
        <w:rPr>
          <w:i/>
          <w:iCs/>
        </w:rPr>
        <w:t>Annals of Internal Medicine</w:t>
      </w:r>
      <w:r>
        <w:t>, 169(7), pp. 467–473.</w:t>
      </w:r>
    </w:p>
    <w:p w14:paraId="249B52B0" w14:textId="77777777" w:rsidR="008A7973" w:rsidRDefault="0005045B">
      <w:pPr>
        <w:pStyle w:val="Bibliografia"/>
      </w:pPr>
      <w:bookmarkStart w:id="104" w:name="ref-Tricco2018"/>
      <w:r w:rsidRPr="0005045B">
        <w:rPr>
          <w:lang w:val="de-DE"/>
        </w:rPr>
        <w:t xml:space="preserve">Tricco, A.C., Lillie, E., </w:t>
      </w:r>
      <w:r w:rsidRPr="0005045B">
        <w:rPr>
          <w:i/>
          <w:iCs/>
          <w:lang w:val="de-DE"/>
        </w:rPr>
        <w:t>et al.</w:t>
      </w:r>
      <w:r w:rsidRPr="0005045B">
        <w:rPr>
          <w:lang w:val="de-DE"/>
        </w:rPr>
        <w:t xml:space="preserve"> </w:t>
      </w:r>
      <w:r>
        <w:t xml:space="preserve">(2018) “PRISMA extension for scoping reviews (PRISMAScR): Checklist and explanation,” </w:t>
      </w:r>
      <w:r>
        <w:rPr>
          <w:i/>
          <w:iCs/>
        </w:rPr>
        <w:t>Annals of Internal Medicine</w:t>
      </w:r>
      <w:r>
        <w:t xml:space="preserve">, 169(7), pp. 467–473. Available at: </w:t>
      </w:r>
      <w:hyperlink r:id="rId60">
        <w:r>
          <w:rPr>
            <w:rStyle w:val="Hyperlink"/>
          </w:rPr>
          <w:t>https://doi.org/10.7326/M18-0850</w:t>
        </w:r>
      </w:hyperlink>
      <w:r>
        <w:t>.</w:t>
      </w:r>
    </w:p>
    <w:p w14:paraId="249B52B1" w14:textId="77777777" w:rsidR="008A7973" w:rsidRDefault="0005045B">
      <w:pPr>
        <w:pStyle w:val="Bibliografia"/>
      </w:pPr>
      <w:bookmarkStart w:id="105" w:name="ref-Vandecandelaere2009"/>
      <w:bookmarkEnd w:id="104"/>
      <w:r>
        <w:t xml:space="preserve">Vandecandelaere, E. </w:t>
      </w:r>
      <w:r>
        <w:rPr>
          <w:i/>
          <w:iCs/>
        </w:rPr>
        <w:t>et al.</w:t>
      </w:r>
      <w:r>
        <w:t xml:space="preserve"> (2009) </w:t>
      </w:r>
      <w:r>
        <w:rPr>
          <w:i/>
          <w:iCs/>
        </w:rPr>
        <w:t>Linking people, places and products: A guide for promoting quality linked to geographical origin and sustainable geographical indications</w:t>
      </w:r>
      <w:r>
        <w:t>. Rome: FAO; SINER-GI.</w:t>
      </w:r>
    </w:p>
    <w:p w14:paraId="249B52B2" w14:textId="77777777" w:rsidR="008A7973" w:rsidRDefault="0005045B">
      <w:pPr>
        <w:pStyle w:val="Bibliografia"/>
      </w:pPr>
      <w:bookmarkStart w:id="106" w:name="ref-Wang2025"/>
      <w:bookmarkEnd w:id="105"/>
      <w:r>
        <w:t xml:space="preserve">Wang, X. </w:t>
      </w:r>
      <w:r>
        <w:rPr>
          <w:i/>
          <w:iCs/>
        </w:rPr>
        <w:t>et al.</w:t>
      </w:r>
      <w:r>
        <w:t xml:space="preserve"> (2025) “Integrated metabolomics-KPCA-machine learning framework: A solution for geographical traceability of chinese jujube,” </w:t>
      </w:r>
      <w:r>
        <w:rPr>
          <w:i/>
          <w:iCs/>
        </w:rPr>
        <w:t>Food Chemistry: X</w:t>
      </w:r>
      <w:r>
        <w:t xml:space="preserve">, 31. Available at: </w:t>
      </w:r>
      <w:hyperlink r:id="rId61">
        <w:r>
          <w:rPr>
            <w:rStyle w:val="Hyperlink"/>
          </w:rPr>
          <w:t>https://doi.org/10.1016/j.fochx.2025.103069</w:t>
        </w:r>
      </w:hyperlink>
      <w:r>
        <w:t>.</w:t>
      </w:r>
    </w:p>
    <w:p w14:paraId="249B52B3" w14:textId="77777777" w:rsidR="008A7973" w:rsidRDefault="0005045B">
      <w:pPr>
        <w:pStyle w:val="Bibliografia"/>
      </w:pPr>
      <w:bookmarkStart w:id="107" w:name="ref-webster2002"/>
      <w:bookmarkEnd w:id="106"/>
      <w:r>
        <w:t xml:space="preserve">Webster, J. and Watson, R.T. (2002) “Analyzing the past to prepare for the future: Writing a literature review,” </w:t>
      </w:r>
      <w:r>
        <w:rPr>
          <w:i/>
          <w:iCs/>
        </w:rPr>
        <w:t>MIS Quarterly</w:t>
      </w:r>
      <w:r>
        <w:t>, 26(2), pp. xiii–xxiii.</w:t>
      </w:r>
    </w:p>
    <w:p w14:paraId="249B52B4" w14:textId="77777777" w:rsidR="008A7973" w:rsidRDefault="0005045B">
      <w:pPr>
        <w:pStyle w:val="Bibliografia"/>
      </w:pPr>
      <w:bookmarkStart w:id="108" w:name="ref-Weiss2020"/>
      <w:bookmarkEnd w:id="107"/>
      <w:r>
        <w:t xml:space="preserve">Weiss, M., Jacob, F. and Duveiller, G. (2020) “Remote sensing for agricultural applications: A review,” </w:t>
      </w:r>
      <w:r>
        <w:rPr>
          <w:i/>
          <w:iCs/>
        </w:rPr>
        <w:t>Remote Sensing of Environment</w:t>
      </w:r>
      <w:r>
        <w:t xml:space="preserve">, 236, p. 111533. Available at: </w:t>
      </w:r>
      <w:hyperlink r:id="rId62">
        <w:r>
          <w:rPr>
            <w:rStyle w:val="Hyperlink"/>
          </w:rPr>
          <w:t>https://doi.org/10.1016/j.rse.2019.111533</w:t>
        </w:r>
      </w:hyperlink>
      <w:r>
        <w:t>.</w:t>
      </w:r>
    </w:p>
    <w:p w14:paraId="249B52B5" w14:textId="77777777" w:rsidR="008A7973" w:rsidRDefault="0005045B">
      <w:pPr>
        <w:pStyle w:val="Bibliografia"/>
      </w:pPr>
      <w:bookmarkStart w:id="109" w:name="ref-Wilkinson2021"/>
      <w:bookmarkEnd w:id="108"/>
      <w:r>
        <w:t xml:space="preserve">Wilkinson, L. (2021) “The grammar of graphics,” </w:t>
      </w:r>
      <w:r>
        <w:rPr>
          <w:i/>
          <w:iCs/>
        </w:rPr>
        <w:t>Springer Series in Statistics</w:t>
      </w:r>
      <w:r>
        <w:t xml:space="preserve"> [Preprint]. 2nd ed.</w:t>
      </w:r>
    </w:p>
    <w:p w14:paraId="249B52B6" w14:textId="77777777" w:rsidR="008A7973" w:rsidRDefault="0005045B">
      <w:pPr>
        <w:pStyle w:val="Bibliografia"/>
      </w:pPr>
      <w:bookmarkStart w:id="110" w:name="ref-WIPO2020"/>
      <w:bookmarkEnd w:id="109"/>
      <w:r>
        <w:lastRenderedPageBreak/>
        <w:t xml:space="preserve">World Intellectual Property Organization (2020) </w:t>
      </w:r>
      <w:r>
        <w:rPr>
          <w:i/>
          <w:iCs/>
        </w:rPr>
        <w:t>World intellectual property indicators 2020</w:t>
      </w:r>
      <w:r>
        <w:t xml:space="preserve">. Geneva: WIPO. Available at: </w:t>
      </w:r>
      <w:hyperlink r:id="rId63">
        <w:r>
          <w:rPr>
            <w:rStyle w:val="Hyperlink"/>
          </w:rPr>
          <w:t>https://doi.org/10.34667/tind.42184</w:t>
        </w:r>
      </w:hyperlink>
      <w:r>
        <w:t>.</w:t>
      </w:r>
    </w:p>
    <w:p w14:paraId="249B52B7" w14:textId="77777777" w:rsidR="008A7973" w:rsidRDefault="0005045B">
      <w:pPr>
        <w:pStyle w:val="Bibliografia"/>
      </w:pPr>
      <w:bookmarkStart w:id="111" w:name="ref-WTO1994"/>
      <w:bookmarkEnd w:id="110"/>
      <w:r>
        <w:t xml:space="preserve">World Trade Organization (1994) “Agreement on trade-related aspects of intellectual property rights (TRIPS agreement).” Marrakesh. Available at: </w:t>
      </w:r>
      <w:hyperlink r:id="rId64">
        <w:r>
          <w:rPr>
            <w:rStyle w:val="Hyperlink"/>
          </w:rPr>
          <w:t>https://www.wto.org/english/docs_e/legal_e/27-trips.pdf</w:t>
        </w:r>
      </w:hyperlink>
      <w:r>
        <w:t>.</w:t>
      </w:r>
    </w:p>
    <w:p w14:paraId="249B52B8" w14:textId="77777777" w:rsidR="008A7973" w:rsidRDefault="0005045B">
      <w:pPr>
        <w:pStyle w:val="Bibliografia"/>
      </w:pPr>
      <w:bookmarkStart w:id="112" w:name="ref-Xu2021"/>
      <w:bookmarkEnd w:id="111"/>
      <w:r>
        <w:t xml:space="preserve">Xu, F. </w:t>
      </w:r>
      <w:r>
        <w:rPr>
          <w:i/>
          <w:iCs/>
        </w:rPr>
        <w:t>et al.</w:t>
      </w:r>
      <w:r>
        <w:t xml:space="preserve"> (2021) </w:t>
      </w:r>
      <w:r>
        <w:t xml:space="preserve">“Combing machine learning and elemental profiling for geographical authentication of chinese geographical indication (GI) rice,” </w:t>
      </w:r>
      <w:r>
        <w:rPr>
          <w:i/>
          <w:iCs/>
        </w:rPr>
        <w:t>npj Science of Food</w:t>
      </w:r>
      <w:r>
        <w:t xml:space="preserve">, 5(1), p. 18. Available at: </w:t>
      </w:r>
      <w:hyperlink r:id="rId65">
        <w:r>
          <w:rPr>
            <w:rStyle w:val="Hyperlink"/>
          </w:rPr>
          <w:t>https://doi.org/10.1038/s41538-021-00100-8</w:t>
        </w:r>
      </w:hyperlink>
      <w:r>
        <w:t>.</w:t>
      </w:r>
    </w:p>
    <w:p w14:paraId="249B52B9" w14:textId="77777777" w:rsidR="008A7973" w:rsidRDefault="0005045B">
      <w:pPr>
        <w:pStyle w:val="Bibliografia"/>
      </w:pPr>
      <w:bookmarkStart w:id="113" w:name="ref-Young2019"/>
      <w:bookmarkEnd w:id="112"/>
      <w:r>
        <w:t xml:space="preserve">Young, I.J.B., Luz, S. and Lone, N. (2019) “A systematic review of natural language processing for classification tasks in the field of incident reporting and adverse event analysis,” </w:t>
      </w:r>
      <w:r>
        <w:rPr>
          <w:i/>
          <w:iCs/>
        </w:rPr>
        <w:t>International Journal of Medical Informatics</w:t>
      </w:r>
      <w:r>
        <w:t xml:space="preserve">, 132, p. 103971. Available at: </w:t>
      </w:r>
      <w:hyperlink r:id="rId66">
        <w:r>
          <w:rPr>
            <w:rStyle w:val="Hyperlink"/>
          </w:rPr>
          <w:t>https://doi.org/10.1016/j.ijmedinf.2019.08.018</w:t>
        </w:r>
      </w:hyperlink>
      <w:r>
        <w:t>.</w:t>
      </w:r>
      <w:bookmarkEnd w:id="37"/>
      <w:bookmarkEnd w:id="39"/>
      <w:bookmarkEnd w:id="113"/>
    </w:p>
    <w:sectPr w:rsidR="008A7973">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40502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C64BD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A10CD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61251D"/>
    <w:multiLevelType w:val="multilevel"/>
    <w:tmpl w:val="271A5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B41EA3"/>
    <w:multiLevelType w:val="hybridMultilevel"/>
    <w:tmpl w:val="336070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716098F"/>
    <w:multiLevelType w:val="hybridMultilevel"/>
    <w:tmpl w:val="CFA8DFB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A836239"/>
    <w:multiLevelType w:val="multilevel"/>
    <w:tmpl w:val="8CC4BF00"/>
    <w:lvl w:ilvl="0">
      <w:start w:val="1"/>
      <w:numFmt w:val="decimal"/>
      <w:lvlText w:val="%1."/>
      <w:lvlJc w:val="left"/>
      <w:pPr>
        <w:ind w:left="720" w:hanging="360"/>
      </w:pPr>
      <w:rPr>
        <w:rFonts w:hint="default"/>
        <w:b/>
        <w:bCs/>
        <w:color w:val="auto"/>
      </w:rPr>
    </w:lvl>
    <w:lvl w:ilvl="1">
      <w:start w:val="1"/>
      <w:numFmt w:val="decimal"/>
      <w:isLgl/>
      <w:lvlText w:val="%1.%2"/>
      <w:lvlJc w:val="left"/>
      <w:pPr>
        <w:ind w:left="720" w:hanging="360"/>
      </w:pPr>
      <w:rPr>
        <w:rFonts w:hint="default"/>
        <w:b/>
        <w:bCs w:val="0"/>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2DC3AB5"/>
    <w:multiLevelType w:val="multilevel"/>
    <w:tmpl w:val="BF70A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9D0710"/>
    <w:multiLevelType w:val="multilevel"/>
    <w:tmpl w:val="2C3C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358F0"/>
    <w:multiLevelType w:val="multilevel"/>
    <w:tmpl w:val="738A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0D210E"/>
    <w:multiLevelType w:val="multilevel"/>
    <w:tmpl w:val="BA6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C6621"/>
    <w:multiLevelType w:val="hybridMultilevel"/>
    <w:tmpl w:val="AEC2E3E6"/>
    <w:lvl w:ilvl="0" w:tplc="0416000F">
      <w:start w:val="1"/>
      <w:numFmt w:val="decimal"/>
      <w:lvlText w:val="%1."/>
      <w:lvlJc w:val="left"/>
      <w:pPr>
        <w:ind w:left="1077" w:hanging="360"/>
      </w:pPr>
    </w:lvl>
    <w:lvl w:ilvl="1" w:tplc="04160019" w:tentative="1">
      <w:start w:val="1"/>
      <w:numFmt w:val="lowerLetter"/>
      <w:lvlText w:val="%2."/>
      <w:lvlJc w:val="left"/>
      <w:pPr>
        <w:ind w:left="1797" w:hanging="360"/>
      </w:pPr>
    </w:lvl>
    <w:lvl w:ilvl="2" w:tplc="0416001B" w:tentative="1">
      <w:start w:val="1"/>
      <w:numFmt w:val="lowerRoman"/>
      <w:lvlText w:val="%3."/>
      <w:lvlJc w:val="right"/>
      <w:pPr>
        <w:ind w:left="2517" w:hanging="180"/>
      </w:pPr>
    </w:lvl>
    <w:lvl w:ilvl="3" w:tplc="0416000F" w:tentative="1">
      <w:start w:val="1"/>
      <w:numFmt w:val="decimal"/>
      <w:lvlText w:val="%4."/>
      <w:lvlJc w:val="left"/>
      <w:pPr>
        <w:ind w:left="3237" w:hanging="360"/>
      </w:pPr>
    </w:lvl>
    <w:lvl w:ilvl="4" w:tplc="04160019" w:tentative="1">
      <w:start w:val="1"/>
      <w:numFmt w:val="lowerLetter"/>
      <w:lvlText w:val="%5."/>
      <w:lvlJc w:val="left"/>
      <w:pPr>
        <w:ind w:left="3957" w:hanging="360"/>
      </w:pPr>
    </w:lvl>
    <w:lvl w:ilvl="5" w:tplc="0416001B" w:tentative="1">
      <w:start w:val="1"/>
      <w:numFmt w:val="lowerRoman"/>
      <w:lvlText w:val="%6."/>
      <w:lvlJc w:val="right"/>
      <w:pPr>
        <w:ind w:left="4677" w:hanging="180"/>
      </w:pPr>
    </w:lvl>
    <w:lvl w:ilvl="6" w:tplc="0416000F" w:tentative="1">
      <w:start w:val="1"/>
      <w:numFmt w:val="decimal"/>
      <w:lvlText w:val="%7."/>
      <w:lvlJc w:val="left"/>
      <w:pPr>
        <w:ind w:left="5397" w:hanging="360"/>
      </w:pPr>
    </w:lvl>
    <w:lvl w:ilvl="7" w:tplc="04160019" w:tentative="1">
      <w:start w:val="1"/>
      <w:numFmt w:val="lowerLetter"/>
      <w:lvlText w:val="%8."/>
      <w:lvlJc w:val="left"/>
      <w:pPr>
        <w:ind w:left="6117" w:hanging="360"/>
      </w:pPr>
    </w:lvl>
    <w:lvl w:ilvl="8" w:tplc="0416001B" w:tentative="1">
      <w:start w:val="1"/>
      <w:numFmt w:val="lowerRoman"/>
      <w:lvlText w:val="%9."/>
      <w:lvlJc w:val="right"/>
      <w:pPr>
        <w:ind w:left="6837" w:hanging="180"/>
      </w:pPr>
    </w:lvl>
  </w:abstractNum>
  <w:abstractNum w:abstractNumId="11" w15:restartNumberingAfterBreak="0">
    <w:nsid w:val="2CE33930"/>
    <w:multiLevelType w:val="multilevel"/>
    <w:tmpl w:val="2C3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761B7"/>
    <w:multiLevelType w:val="multilevel"/>
    <w:tmpl w:val="E954C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96EA2"/>
    <w:multiLevelType w:val="multilevel"/>
    <w:tmpl w:val="313C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F3EEF"/>
    <w:multiLevelType w:val="hybridMultilevel"/>
    <w:tmpl w:val="29FACB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6F152FF"/>
    <w:multiLevelType w:val="multilevel"/>
    <w:tmpl w:val="A418D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17C1B"/>
    <w:multiLevelType w:val="multilevel"/>
    <w:tmpl w:val="B85E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350F0B"/>
    <w:multiLevelType w:val="multilevel"/>
    <w:tmpl w:val="B59E1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F761B9"/>
    <w:multiLevelType w:val="multilevel"/>
    <w:tmpl w:val="5E6E35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CE58D8"/>
    <w:multiLevelType w:val="hybridMultilevel"/>
    <w:tmpl w:val="485419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9D92F72"/>
    <w:multiLevelType w:val="hybridMultilevel"/>
    <w:tmpl w:val="E0EEC4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6AE1769F"/>
    <w:multiLevelType w:val="multilevel"/>
    <w:tmpl w:val="2C10C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E1736"/>
    <w:multiLevelType w:val="hybridMultilevel"/>
    <w:tmpl w:val="51AC9A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76E91A94"/>
    <w:multiLevelType w:val="hybridMultilevel"/>
    <w:tmpl w:val="EA58BA2C"/>
    <w:lvl w:ilvl="0" w:tplc="8FE48D2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804808090">
    <w:abstractNumId w:val="19"/>
  </w:num>
  <w:num w:numId="2" w16cid:durableId="1316641717">
    <w:abstractNumId w:val="22"/>
  </w:num>
  <w:num w:numId="3" w16cid:durableId="1274752609">
    <w:abstractNumId w:val="3"/>
  </w:num>
  <w:num w:numId="4" w16cid:durableId="1142624806">
    <w:abstractNumId w:val="13"/>
  </w:num>
  <w:num w:numId="5" w16cid:durableId="984821539">
    <w:abstractNumId w:val="4"/>
  </w:num>
  <w:num w:numId="6" w16cid:durableId="1315337769">
    <w:abstractNumId w:val="21"/>
  </w:num>
  <w:num w:numId="7" w16cid:durableId="170678665">
    <w:abstractNumId w:val="2"/>
  </w:num>
  <w:num w:numId="8" w16cid:durableId="2042586461">
    <w:abstractNumId w:val="12"/>
  </w:num>
  <w:num w:numId="9" w16cid:durableId="511146687">
    <w:abstractNumId w:val="11"/>
  </w:num>
  <w:num w:numId="10" w16cid:durableId="604727274">
    <w:abstractNumId w:val="18"/>
  </w:num>
  <w:num w:numId="11" w16cid:durableId="692074996">
    <w:abstractNumId w:val="9"/>
  </w:num>
  <w:num w:numId="12" w16cid:durableId="1202208730">
    <w:abstractNumId w:val="14"/>
  </w:num>
  <w:num w:numId="13" w16cid:durableId="1669862986">
    <w:abstractNumId w:val="20"/>
  </w:num>
  <w:num w:numId="14" w16cid:durableId="1000931449">
    <w:abstractNumId w:val="23"/>
  </w:num>
  <w:num w:numId="15" w16cid:durableId="274218917">
    <w:abstractNumId w:val="16"/>
  </w:num>
  <w:num w:numId="16" w16cid:durableId="445124364">
    <w:abstractNumId w:val="15"/>
  </w:num>
  <w:num w:numId="17" w16cid:durableId="685134783">
    <w:abstractNumId w:val="5"/>
  </w:num>
  <w:num w:numId="18" w16cid:durableId="306470888">
    <w:abstractNumId w:val="10"/>
  </w:num>
  <w:num w:numId="19" w16cid:durableId="258373208">
    <w:abstractNumId w:val="7"/>
  </w:num>
  <w:num w:numId="20" w16cid:durableId="701828610">
    <w:abstractNumId w:val="17"/>
  </w:num>
  <w:num w:numId="21" w16cid:durableId="2143182229">
    <w:abstractNumId w:val="8"/>
  </w:num>
  <w:num w:numId="22" w16cid:durableId="589973191">
    <w:abstractNumId w:val="6"/>
  </w:num>
  <w:num w:numId="23" w16cid:durableId="1462189685">
    <w:abstractNumId w:val="0"/>
  </w:num>
  <w:num w:numId="24" w16cid:durableId="1915973973">
    <w:abstractNumId w:val="0"/>
  </w:num>
  <w:num w:numId="25" w16cid:durableId="571505207">
    <w:abstractNumId w:val="1"/>
  </w:num>
  <w:num w:numId="26" w16cid:durableId="1925719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45B"/>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37C"/>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973"/>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B51B6"/>
  <w15:docId w15:val="{C4F384B5-67E8-468B-9FF4-1BEB22CCA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imes New Roman"/>
        <w:sz w:val="24"/>
        <w:szCs w:val="24"/>
        <w:lang w:val="en-US" w:eastAsia="en-US" w:bidi="ar-SA"/>
      </w:rPr>
    </w:rPrDefault>
    <w:pPrDefault>
      <w:pPr>
        <w:spacing w:after="120" w:line="276" w:lineRule="auto"/>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2"/>
    <w:pPr>
      <w:spacing w:after="0"/>
    </w:pPr>
  </w:style>
  <w:style w:type="paragraph" w:styleId="Ttulo1">
    <w:name w:val="heading 1"/>
    <w:basedOn w:val="Normal"/>
    <w:next w:val="Normal"/>
    <w:link w:val="Ttulo1Char"/>
    <w:uiPriority w:val="9"/>
    <w:qFormat/>
    <w:rsid w:val="00047C24"/>
    <w:pPr>
      <w:keepNext/>
      <w:spacing w:before="120"/>
      <w:ind w:firstLine="0"/>
      <w:outlineLvl w:val="0"/>
    </w:pPr>
    <w:rPr>
      <w:rFonts w:eastAsiaTheme="majorEastAsia" w:cstheme="majorBidi"/>
      <w:b/>
      <w:bCs/>
      <w:kern w:val="32"/>
      <w:szCs w:val="32"/>
    </w:rPr>
  </w:style>
  <w:style w:type="paragraph" w:styleId="Ttulo2">
    <w:name w:val="heading 2"/>
    <w:basedOn w:val="Normal"/>
    <w:next w:val="Normal"/>
    <w:link w:val="Ttulo2Char"/>
    <w:autoRedefine/>
    <w:uiPriority w:val="9"/>
    <w:unhideWhenUsed/>
    <w:qFormat/>
    <w:rsid w:val="007B3C9C"/>
    <w:pPr>
      <w:keepNext/>
      <w:spacing w:before="240" w:after="60"/>
      <w:ind w:firstLine="0"/>
      <w:outlineLvl w:val="1"/>
    </w:pPr>
    <w:rPr>
      <w:rFonts w:eastAsiaTheme="majorEastAsia" w:cstheme="majorBidi"/>
      <w:b/>
      <w:bCs/>
      <w:iCs/>
      <w:szCs w:val="28"/>
    </w:rPr>
  </w:style>
  <w:style w:type="paragraph" w:styleId="Ttulo3">
    <w:name w:val="heading 3"/>
    <w:basedOn w:val="Normal"/>
    <w:next w:val="Normal"/>
    <w:link w:val="Ttulo3Char"/>
    <w:uiPriority w:val="9"/>
    <w:semiHidden/>
    <w:unhideWhenUsed/>
    <w:qFormat/>
    <w:rsid w:val="00C14DB6"/>
    <w:pPr>
      <w:keepNext/>
      <w:spacing w:before="240" w:after="60"/>
      <w:outlineLvl w:val="2"/>
    </w:pPr>
    <w:rPr>
      <w:rFonts w:eastAsiaTheme="majorEastAsia" w:cstheme="majorBidi"/>
      <w:b/>
      <w:bCs/>
      <w:sz w:val="26"/>
      <w:szCs w:val="26"/>
    </w:rPr>
  </w:style>
  <w:style w:type="paragraph" w:styleId="Ttulo4">
    <w:name w:val="heading 4"/>
    <w:basedOn w:val="Normal"/>
    <w:next w:val="Normal"/>
    <w:link w:val="Ttulo4Char"/>
    <w:uiPriority w:val="9"/>
    <w:semiHidden/>
    <w:unhideWhenUsed/>
    <w:qFormat/>
    <w:rsid w:val="00C14DB6"/>
    <w:pPr>
      <w:keepNext/>
      <w:spacing w:before="240" w:after="60"/>
      <w:outlineLvl w:val="3"/>
    </w:pPr>
    <w:rPr>
      <w:rFonts w:cstheme="majorBidi"/>
      <w:b/>
      <w:bCs/>
      <w:sz w:val="28"/>
      <w:szCs w:val="28"/>
    </w:rPr>
  </w:style>
  <w:style w:type="paragraph" w:styleId="Ttulo5">
    <w:name w:val="heading 5"/>
    <w:basedOn w:val="Normal"/>
    <w:next w:val="Normal"/>
    <w:link w:val="Ttulo5Char"/>
    <w:uiPriority w:val="9"/>
    <w:semiHidden/>
    <w:unhideWhenUsed/>
    <w:qFormat/>
    <w:rsid w:val="00C14DB6"/>
    <w:pPr>
      <w:spacing w:before="240" w:after="60"/>
      <w:outlineLvl w:val="4"/>
    </w:pPr>
    <w:rPr>
      <w:rFonts w:cstheme="majorBidi"/>
      <w:b/>
      <w:bCs/>
      <w:i/>
      <w:iCs/>
      <w:sz w:val="26"/>
      <w:szCs w:val="26"/>
    </w:rPr>
  </w:style>
  <w:style w:type="paragraph" w:styleId="Ttulo6">
    <w:name w:val="heading 6"/>
    <w:basedOn w:val="Normal"/>
    <w:next w:val="Normal"/>
    <w:link w:val="Ttulo6Char"/>
    <w:uiPriority w:val="9"/>
    <w:semiHidden/>
    <w:unhideWhenUsed/>
    <w:qFormat/>
    <w:rsid w:val="00C14DB6"/>
    <w:pPr>
      <w:spacing w:before="240" w:after="60"/>
      <w:outlineLvl w:val="5"/>
    </w:pPr>
    <w:rPr>
      <w:rFonts w:cstheme="majorBidi"/>
      <w:b/>
      <w:bCs/>
      <w:sz w:val="22"/>
      <w:szCs w:val="22"/>
    </w:rPr>
  </w:style>
  <w:style w:type="paragraph" w:styleId="Ttulo7">
    <w:name w:val="heading 7"/>
    <w:basedOn w:val="Normal"/>
    <w:next w:val="Normal"/>
    <w:link w:val="Ttulo7Char"/>
    <w:uiPriority w:val="9"/>
    <w:semiHidden/>
    <w:unhideWhenUsed/>
    <w:qFormat/>
    <w:rsid w:val="00C14DB6"/>
    <w:pPr>
      <w:spacing w:before="240" w:after="60"/>
      <w:outlineLvl w:val="6"/>
    </w:pPr>
    <w:rPr>
      <w:rFonts w:cstheme="majorBidi"/>
    </w:rPr>
  </w:style>
  <w:style w:type="paragraph" w:styleId="Ttulo8">
    <w:name w:val="heading 8"/>
    <w:basedOn w:val="Normal"/>
    <w:next w:val="Normal"/>
    <w:link w:val="Ttulo8Char"/>
    <w:uiPriority w:val="9"/>
    <w:semiHidden/>
    <w:unhideWhenUsed/>
    <w:qFormat/>
    <w:rsid w:val="00C14DB6"/>
    <w:pPr>
      <w:spacing w:before="240" w:after="60"/>
      <w:outlineLvl w:val="7"/>
    </w:pPr>
    <w:rPr>
      <w:rFonts w:cstheme="majorBidi"/>
      <w:i/>
      <w:iCs/>
    </w:rPr>
  </w:style>
  <w:style w:type="paragraph" w:styleId="Ttulo9">
    <w:name w:val="heading 9"/>
    <w:basedOn w:val="Normal"/>
    <w:next w:val="Normal"/>
    <w:link w:val="Ttulo9Char"/>
    <w:uiPriority w:val="9"/>
    <w:semiHidden/>
    <w:unhideWhenUsed/>
    <w:qFormat/>
    <w:rsid w:val="00C14DB6"/>
    <w:pPr>
      <w:spacing w:before="240" w:after="60"/>
      <w:outlineLvl w:val="8"/>
    </w:pPr>
    <w:rPr>
      <w:rFonts w:eastAsiaTheme="majorEastAsia" w:cstheme="majorBidi"/>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7B3C9C"/>
    <w:rPr>
      <w:rFonts w:eastAsiaTheme="majorEastAsia" w:cstheme="majorBidi"/>
      <w:b/>
      <w:bCs/>
      <w:iCs/>
      <w:szCs w:val="28"/>
    </w:rPr>
  </w:style>
  <w:style w:type="character" w:customStyle="1" w:styleId="Ttulo3Char">
    <w:name w:val="Título 3 Char"/>
    <w:basedOn w:val="Fontepargpadro"/>
    <w:link w:val="Ttulo3"/>
    <w:uiPriority w:val="9"/>
    <w:semiHidden/>
    <w:rsid w:val="00C14DB6"/>
    <w:rPr>
      <w:rFonts w:eastAsiaTheme="majorEastAsia" w:cstheme="majorBidi"/>
      <w:b/>
      <w:bCs/>
      <w:sz w:val="26"/>
      <w:szCs w:val="26"/>
    </w:rPr>
  </w:style>
  <w:style w:type="character" w:styleId="nfase">
    <w:name w:val="Emphasis"/>
    <w:basedOn w:val="Fontepargpadro"/>
    <w:uiPriority w:val="20"/>
    <w:qFormat/>
    <w:rsid w:val="00C14DB6"/>
    <w:rPr>
      <w:rFonts w:asciiTheme="minorHAnsi" w:hAnsiTheme="minorHAnsi"/>
      <w:b/>
      <w:i/>
      <w:iCs/>
    </w:rPr>
  </w:style>
  <w:style w:type="character" w:styleId="Nmerodelinha">
    <w:name w:val="line number"/>
    <w:basedOn w:val="Fontepargpadro"/>
    <w:uiPriority w:val="99"/>
    <w:semiHidden/>
    <w:unhideWhenUsed/>
    <w:rsid w:val="00F01386"/>
  </w:style>
  <w:style w:type="character" w:customStyle="1" w:styleId="CabealhoChar">
    <w:name w:val="Cabeçalho Char"/>
    <w:basedOn w:val="Fontepargpadro"/>
    <w:link w:val="Cabealho"/>
    <w:uiPriority w:val="99"/>
    <w:qFormat/>
    <w:rsid w:val="00F01386"/>
  </w:style>
  <w:style w:type="character" w:customStyle="1" w:styleId="RodapChar">
    <w:name w:val="Rodapé Char"/>
    <w:basedOn w:val="Fontepargpadro"/>
    <w:link w:val="Rodap"/>
    <w:uiPriority w:val="99"/>
    <w:qFormat/>
    <w:rsid w:val="00F01386"/>
  </w:style>
  <w:style w:type="character" w:customStyle="1" w:styleId="Numeraodelinhas">
    <w:name w:val="Numeração de linhas"/>
  </w:style>
  <w:style w:type="paragraph" w:styleId="Ttulo">
    <w:name w:val="Title"/>
    <w:basedOn w:val="Normal"/>
    <w:next w:val="Normal"/>
    <w:link w:val="TtuloChar"/>
    <w:uiPriority w:val="10"/>
    <w:qFormat/>
    <w:rsid w:val="00C14DB6"/>
    <w:pPr>
      <w:spacing w:before="240" w:after="60"/>
      <w:jc w:val="center"/>
      <w:outlineLvl w:val="0"/>
    </w:pPr>
    <w:rPr>
      <w:rFonts w:eastAsiaTheme="majorEastAsia" w:cstheme="majorBidi"/>
      <w:b/>
      <w:bCs/>
      <w:kern w:val="28"/>
      <w:szCs w:val="32"/>
    </w:rPr>
  </w:style>
  <w:style w:type="paragraph" w:styleId="Corpodetexto">
    <w:name w:val="Body Text"/>
    <w:basedOn w:val="Normal"/>
    <w:rsid w:val="00074070"/>
    <w:pPr>
      <w:spacing w:after="120"/>
    </w:pPr>
  </w:style>
  <w:style w:type="paragraph" w:styleId="Lista">
    <w:name w:val="List"/>
    <w:basedOn w:val="Corpodetexto"/>
    <w:rPr>
      <w:rFonts w:cs="Lucida Sans"/>
    </w:rPr>
  </w:style>
  <w:style w:type="paragraph" w:styleId="Legenda">
    <w:name w:val="caption"/>
    <w:basedOn w:val="Normal"/>
    <w:next w:val="Normal"/>
    <w:uiPriority w:val="35"/>
    <w:unhideWhenUsed/>
    <w:rsid w:val="005C69B5"/>
    <w:rPr>
      <w:b/>
      <w:bCs/>
      <w:smallCaps/>
      <w:color w:val="595959" w:themeColor="text1" w:themeTint="A6"/>
      <w:spacing w:val="6"/>
    </w:rPr>
  </w:style>
  <w:style w:type="paragraph" w:customStyle="1" w:styleId="ndice">
    <w:name w:val="Índice"/>
    <w:basedOn w:val="Normal"/>
    <w:pPr>
      <w:suppressLineNumbers/>
    </w:pPr>
    <w:rPr>
      <w:rFonts w:cs="Lucida Sans"/>
    </w:rPr>
  </w:style>
  <w:style w:type="paragraph" w:styleId="NormalWeb">
    <w:name w:val="Normal (Web)"/>
    <w:basedOn w:val="Normal"/>
    <w:uiPriority w:val="99"/>
    <w:unhideWhenUsed/>
    <w:rsid w:val="001B2024"/>
    <w:pPr>
      <w:spacing w:beforeAutospacing="1" w:afterAutospacing="1"/>
      <w:jc w:val="left"/>
    </w:pPr>
    <w:rPr>
      <w:rFonts w:ascii="Times New Roman" w:eastAsia="Times New Roman" w:hAnsi="Times New Roman"/>
      <w:lang w:eastAsia="pt-BR"/>
    </w:rPr>
  </w:style>
  <w:style w:type="paragraph" w:styleId="Bibliografia">
    <w:name w:val="Bibliography"/>
    <w:basedOn w:val="Normal"/>
    <w:next w:val="Normal"/>
    <w:uiPriority w:val="37"/>
    <w:unhideWhenUsed/>
    <w:rsid w:val="00490DEC"/>
    <w:pPr>
      <w:spacing w:after="240"/>
    </w:pPr>
  </w:style>
  <w:style w:type="paragraph" w:customStyle="1" w:styleId="CabealhoeRodap">
    <w:name w:val="Cabeçalho e Rodapé"/>
    <w:basedOn w:val="Normal"/>
  </w:style>
  <w:style w:type="paragraph" w:styleId="Cabealho">
    <w:name w:val="header"/>
    <w:basedOn w:val="Normal"/>
    <w:link w:val="CabealhoChar"/>
    <w:uiPriority w:val="99"/>
    <w:unhideWhenUsed/>
    <w:rsid w:val="00F01386"/>
    <w:pPr>
      <w:tabs>
        <w:tab w:val="center" w:pos="4252"/>
        <w:tab w:val="right" w:pos="8504"/>
      </w:tabs>
    </w:pPr>
  </w:style>
  <w:style w:type="paragraph" w:styleId="Rodap">
    <w:name w:val="footer"/>
    <w:basedOn w:val="Normal"/>
    <w:link w:val="RodapChar"/>
    <w:uiPriority w:val="99"/>
    <w:unhideWhenUsed/>
    <w:rsid w:val="00F01386"/>
    <w:pPr>
      <w:tabs>
        <w:tab w:val="center" w:pos="4252"/>
        <w:tab w:val="right" w:pos="8504"/>
      </w:tabs>
    </w:pPr>
  </w:style>
  <w:style w:type="paragraph" w:styleId="PargrafodaLista">
    <w:name w:val="List Paragraph"/>
    <w:basedOn w:val="Normal"/>
    <w:uiPriority w:val="34"/>
    <w:qFormat/>
    <w:rsid w:val="00C14DB6"/>
    <w:pPr>
      <w:ind w:left="720"/>
      <w:contextualSpacing/>
    </w:pPr>
  </w:style>
  <w:style w:type="paragraph" w:customStyle="1" w:styleId="Text">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rPr>
  </w:style>
  <w:style w:type="paragraph" w:styleId="Textodenotaderodap">
    <w:name w:val="footnote text"/>
    <w:basedOn w:val="Normal"/>
    <w:link w:val="TextodenotaderodapChar"/>
    <w:uiPriority w:val="99"/>
    <w:semiHidden/>
    <w:unhideWhenUsed/>
    <w:rsid w:val="00E329AA"/>
    <w:rPr>
      <w:sz w:val="20"/>
      <w:szCs w:val="20"/>
    </w:rPr>
  </w:style>
  <w:style w:type="character" w:customStyle="1" w:styleId="TextodenotaderodapChar">
    <w:name w:val="Texto de nota de rodapé Char"/>
    <w:basedOn w:val="Fontepargpadro"/>
    <w:link w:val="Textodenotaderodap"/>
    <w:uiPriority w:val="99"/>
    <w:semiHidden/>
    <w:rsid w:val="00E329AA"/>
    <w:rPr>
      <w:sz w:val="20"/>
      <w:szCs w:val="20"/>
    </w:rPr>
  </w:style>
  <w:style w:type="character" w:styleId="Refdenotaderodap">
    <w:name w:val="footnote reference"/>
    <w:basedOn w:val="Fontepargpadro"/>
    <w:uiPriority w:val="99"/>
    <w:semiHidden/>
    <w:unhideWhenUsed/>
    <w:rsid w:val="00E329AA"/>
    <w:rPr>
      <w:vertAlign w:val="superscript"/>
    </w:rPr>
  </w:style>
  <w:style w:type="table" w:styleId="Tabelacomgrade">
    <w:name w:val="Table Grid"/>
    <w:basedOn w:val="Tabelanormal"/>
    <w:uiPriority w:val="59"/>
    <w:rsid w:val="00A3040E"/>
    <w:tblPr>
      <w:tblBorders>
        <w:top w:val="single" w:sz="4" w:space="0" w:color="auto"/>
        <w:bottom w:val="single" w:sz="4" w:space="0" w:color="auto"/>
      </w:tblBorders>
    </w:tblPr>
  </w:style>
  <w:style w:type="character" w:styleId="Refdecomentrio">
    <w:name w:val="annotation reference"/>
    <w:basedOn w:val="Fontepargpadro"/>
    <w:uiPriority w:val="99"/>
    <w:semiHidden/>
    <w:unhideWhenUsed/>
    <w:rsid w:val="00F248A8"/>
    <w:rPr>
      <w:sz w:val="16"/>
      <w:szCs w:val="16"/>
    </w:rPr>
  </w:style>
  <w:style w:type="paragraph" w:styleId="Textodecomentrio">
    <w:name w:val="annotation text"/>
    <w:basedOn w:val="Normal"/>
    <w:link w:val="TextodecomentrioChar"/>
    <w:uiPriority w:val="99"/>
    <w:unhideWhenUsed/>
    <w:rsid w:val="00F248A8"/>
    <w:rPr>
      <w:sz w:val="20"/>
      <w:szCs w:val="20"/>
    </w:rPr>
  </w:style>
  <w:style w:type="character" w:customStyle="1" w:styleId="TextodecomentrioChar">
    <w:name w:val="Texto de comentário Char"/>
    <w:basedOn w:val="Fontepargpadro"/>
    <w:link w:val="Textodecomentrio"/>
    <w:uiPriority w:val="99"/>
    <w:rsid w:val="00F248A8"/>
    <w:rPr>
      <w:sz w:val="20"/>
      <w:szCs w:val="20"/>
    </w:rPr>
  </w:style>
  <w:style w:type="paragraph" w:styleId="Assuntodocomentrio">
    <w:name w:val="annotation subject"/>
    <w:basedOn w:val="Textodecomentrio"/>
    <w:next w:val="Textodecomentrio"/>
    <w:link w:val="AssuntodocomentrioChar"/>
    <w:uiPriority w:val="99"/>
    <w:semiHidden/>
    <w:unhideWhenUsed/>
    <w:rsid w:val="00F248A8"/>
    <w:rPr>
      <w:b/>
      <w:bCs/>
    </w:rPr>
  </w:style>
  <w:style w:type="character" w:customStyle="1" w:styleId="AssuntodocomentrioChar">
    <w:name w:val="Assunto do comentário Char"/>
    <w:basedOn w:val="TextodecomentrioChar"/>
    <w:link w:val="Assuntodocomentrio"/>
    <w:uiPriority w:val="99"/>
    <w:semiHidden/>
    <w:rsid w:val="00F248A8"/>
    <w:rPr>
      <w:b/>
      <w:bCs/>
      <w:sz w:val="20"/>
      <w:szCs w:val="20"/>
    </w:rPr>
  </w:style>
  <w:style w:type="paragraph" w:customStyle="1" w:styleId="Default">
    <w:name w:val="Default"/>
    <w:rsid w:val="009D0B22"/>
    <w:pPr>
      <w:autoSpaceDE w:val="0"/>
      <w:autoSpaceDN w:val="0"/>
      <w:adjustRightInd w:val="0"/>
    </w:pPr>
    <w:rPr>
      <w:rFonts w:ascii="Times New Roman" w:hAnsi="Times New Roman"/>
      <w:color w:val="000000"/>
    </w:rPr>
  </w:style>
  <w:style w:type="paragraph" w:styleId="Partesuperior-zdoformulrio">
    <w:name w:val="HTML Top of Form"/>
    <w:basedOn w:val="Normal"/>
    <w:next w:val="Normal"/>
    <w:link w:val="Partesuperior-zdoformulrioChar"/>
    <w:hidden/>
    <w:uiPriority w:val="99"/>
    <w:semiHidden/>
    <w:unhideWhenUsed/>
    <w:rsid w:val="00DE1B48"/>
    <w:pPr>
      <w:pBdr>
        <w:bottom w:val="single" w:sz="6" w:space="1" w:color="auto"/>
      </w:pBdr>
      <w:jc w:val="center"/>
    </w:pPr>
    <w:rPr>
      <w:rFonts w:ascii="Arial" w:eastAsia="Times New Roman" w:hAnsi="Arial" w:cs="Arial"/>
      <w:vanish/>
      <w:sz w:val="16"/>
      <w:szCs w:val="16"/>
      <w:lang w:eastAsia="pt-BR"/>
    </w:rPr>
  </w:style>
  <w:style w:type="character" w:customStyle="1" w:styleId="Partesuperior-zdoformulrioChar">
    <w:name w:val="Parte superior-z do formulário Char"/>
    <w:basedOn w:val="Fontepargpadro"/>
    <w:link w:val="Partesuperior-zdoformulrio"/>
    <w:uiPriority w:val="99"/>
    <w:semiHidden/>
    <w:rsid w:val="00DE1B48"/>
    <w:rPr>
      <w:rFonts w:ascii="Arial" w:eastAsia="Times New Roman" w:hAnsi="Arial" w:cs="Arial"/>
      <w:vanish/>
      <w:sz w:val="16"/>
      <w:szCs w:val="16"/>
      <w:lang w:eastAsia="pt-BR"/>
    </w:rPr>
  </w:style>
  <w:style w:type="paragraph" w:styleId="Parteinferiordoformulrio">
    <w:name w:val="HTML Bottom of Form"/>
    <w:basedOn w:val="Normal"/>
    <w:next w:val="Normal"/>
    <w:link w:val="ParteinferiordoformulrioChar"/>
    <w:hidden/>
    <w:uiPriority w:val="99"/>
    <w:semiHidden/>
    <w:unhideWhenUsed/>
    <w:rsid w:val="00DE1B48"/>
    <w:pPr>
      <w:pBdr>
        <w:top w:val="single" w:sz="6" w:space="1" w:color="auto"/>
      </w:pBdr>
      <w:jc w:val="center"/>
    </w:pPr>
    <w:rPr>
      <w:rFonts w:ascii="Arial" w:eastAsia="Times New Roman" w:hAnsi="Arial" w:cs="Arial"/>
      <w:vanish/>
      <w:sz w:val="16"/>
      <w:szCs w:val="16"/>
      <w:lang w:eastAsia="pt-BR"/>
    </w:rPr>
  </w:style>
  <w:style w:type="character" w:customStyle="1" w:styleId="ParteinferiordoformulrioChar">
    <w:name w:val="Parte inferior do formulário Char"/>
    <w:basedOn w:val="Fontepargpadro"/>
    <w:link w:val="Parteinferiordoformulrio"/>
    <w:uiPriority w:val="99"/>
    <w:semiHidden/>
    <w:rsid w:val="00DE1B48"/>
    <w:rPr>
      <w:rFonts w:ascii="Arial" w:eastAsia="Times New Roman" w:hAnsi="Arial" w:cs="Arial"/>
      <w:vanish/>
      <w:sz w:val="16"/>
      <w:szCs w:val="16"/>
      <w:lang w:eastAsia="pt-BR"/>
    </w:rPr>
  </w:style>
  <w:style w:type="character" w:customStyle="1" w:styleId="Ttulo4Char">
    <w:name w:val="Título 4 Char"/>
    <w:basedOn w:val="Fontepargpadro"/>
    <w:link w:val="Ttulo4"/>
    <w:uiPriority w:val="9"/>
    <w:semiHidden/>
    <w:rsid w:val="00C14DB6"/>
    <w:rPr>
      <w:rFonts w:cstheme="majorBidi"/>
      <w:b/>
      <w:bCs/>
      <w:sz w:val="28"/>
      <w:szCs w:val="28"/>
    </w:rPr>
  </w:style>
  <w:style w:type="character" w:customStyle="1" w:styleId="Ttulo5Char">
    <w:name w:val="Título 5 Char"/>
    <w:basedOn w:val="Fontepargpadro"/>
    <w:link w:val="Ttulo5"/>
    <w:uiPriority w:val="9"/>
    <w:semiHidden/>
    <w:rsid w:val="00C14DB6"/>
    <w:rPr>
      <w:rFonts w:cstheme="majorBidi"/>
      <w:b/>
      <w:bCs/>
      <w:i/>
      <w:iCs/>
      <w:sz w:val="26"/>
      <w:szCs w:val="26"/>
    </w:rPr>
  </w:style>
  <w:style w:type="character" w:styleId="TextodoEspaoReservado">
    <w:name w:val="Placeholder Text"/>
    <w:basedOn w:val="Fontepargpadro"/>
    <w:uiPriority w:val="99"/>
    <w:semiHidden/>
    <w:rsid w:val="00A5576C"/>
    <w:rPr>
      <w:color w:val="666666"/>
    </w:rPr>
  </w:style>
  <w:style w:type="paragraph" w:styleId="Reviso">
    <w:name w:val="Revision"/>
    <w:hidden/>
    <w:uiPriority w:val="99"/>
    <w:semiHidden/>
    <w:rsid w:val="00AE7C19"/>
    <w:pPr>
      <w:spacing w:after="0"/>
      <w:jc w:val="left"/>
    </w:pPr>
  </w:style>
  <w:style w:type="character" w:styleId="Hyperlink">
    <w:name w:val="Hyperlink"/>
    <w:basedOn w:val="Fontepargpadro"/>
    <w:uiPriority w:val="99"/>
    <w:unhideWhenUsed/>
    <w:rsid w:val="00F74F3D"/>
    <w:rPr>
      <w:color w:val="0563C1" w:themeColor="hyperlink"/>
      <w:u w:val="single"/>
    </w:rPr>
  </w:style>
  <w:style w:type="character" w:styleId="MenoPendente">
    <w:name w:val="Unresolved Mention"/>
    <w:basedOn w:val="Fontepargpadro"/>
    <w:uiPriority w:val="99"/>
    <w:semiHidden/>
    <w:unhideWhenUsed/>
    <w:rsid w:val="00F74F3D"/>
    <w:rPr>
      <w:color w:val="605E5C"/>
      <w:shd w:val="clear" w:color="auto" w:fill="E1DFDD"/>
    </w:rPr>
  </w:style>
  <w:style w:type="character" w:styleId="HiperlinkVisitado">
    <w:name w:val="FollowedHyperlink"/>
    <w:basedOn w:val="Fontepargpadro"/>
    <w:uiPriority w:val="99"/>
    <w:semiHidden/>
    <w:unhideWhenUsed/>
    <w:rsid w:val="00470203"/>
    <w:rPr>
      <w:color w:val="954F72" w:themeColor="followedHyperlink"/>
      <w:u w:val="single"/>
    </w:rPr>
  </w:style>
  <w:style w:type="character" w:customStyle="1" w:styleId="Ttulo1Char">
    <w:name w:val="Título 1 Char"/>
    <w:basedOn w:val="Fontepargpadro"/>
    <w:link w:val="Ttulo1"/>
    <w:uiPriority w:val="9"/>
    <w:rsid w:val="00047C24"/>
    <w:rPr>
      <w:rFonts w:eastAsiaTheme="majorEastAsia" w:cstheme="majorBidi"/>
      <w:b/>
      <w:bCs/>
      <w:kern w:val="32"/>
      <w:szCs w:val="32"/>
    </w:rPr>
  </w:style>
  <w:style w:type="paragraph" w:customStyle="1" w:styleId="Estiloartigosdiego">
    <w:name w:val="Estilo artigos diego"/>
    <w:basedOn w:val="Ttulo"/>
    <w:link w:val="EstiloartigosdiegoChar"/>
    <w:rsid w:val="005D12D9"/>
    <w:pPr>
      <w:jc w:val="left"/>
    </w:pPr>
    <w:rPr>
      <w:rFonts w:ascii="Aptos" w:hAnsi="Aptos"/>
      <w:b w:val="0"/>
    </w:rPr>
  </w:style>
  <w:style w:type="character" w:customStyle="1" w:styleId="TtuloChar">
    <w:name w:val="Título Char"/>
    <w:basedOn w:val="Fontepargpadro"/>
    <w:link w:val="Ttulo"/>
    <w:uiPriority w:val="10"/>
    <w:rsid w:val="00C14DB6"/>
    <w:rPr>
      <w:rFonts w:eastAsiaTheme="majorEastAsia" w:cstheme="majorBidi"/>
      <w:b/>
      <w:bCs/>
      <w:kern w:val="28"/>
      <w:szCs w:val="32"/>
    </w:rPr>
  </w:style>
  <w:style w:type="character" w:customStyle="1" w:styleId="EstiloartigosdiegoChar">
    <w:name w:val="Estilo artigos diego Char"/>
    <w:basedOn w:val="TtuloChar"/>
    <w:link w:val="Estiloartigosdiego"/>
    <w:rsid w:val="005D12D9"/>
    <w:rPr>
      <w:rFonts w:ascii="Liberation Sans" w:eastAsia="Microsoft YaHei" w:hAnsi="Liberation Sans" w:cs="Lucida Sans"/>
      <w:b w:val="0"/>
      <w:bCs/>
      <w:kern w:val="28"/>
      <w:sz w:val="24"/>
      <w:szCs w:val="2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Ttulo6Char">
    <w:name w:val="Título 6 Char"/>
    <w:basedOn w:val="Fontepargpadro"/>
    <w:link w:val="Ttulo6"/>
    <w:uiPriority w:val="9"/>
    <w:semiHidden/>
    <w:rsid w:val="00C14DB6"/>
    <w:rPr>
      <w:rFonts w:cstheme="majorBidi"/>
      <w:b/>
      <w:bCs/>
      <w:sz w:val="22"/>
      <w:szCs w:val="22"/>
    </w:rPr>
  </w:style>
  <w:style w:type="character" w:customStyle="1" w:styleId="Ttulo7Char">
    <w:name w:val="Título 7 Char"/>
    <w:basedOn w:val="Fontepargpadro"/>
    <w:link w:val="Ttulo7"/>
    <w:uiPriority w:val="9"/>
    <w:semiHidden/>
    <w:rsid w:val="00C14DB6"/>
    <w:rPr>
      <w:rFonts w:cstheme="majorBidi"/>
    </w:rPr>
  </w:style>
  <w:style w:type="character" w:customStyle="1" w:styleId="Ttulo8Char">
    <w:name w:val="Título 8 Char"/>
    <w:basedOn w:val="Fontepargpadro"/>
    <w:link w:val="Ttulo8"/>
    <w:uiPriority w:val="9"/>
    <w:semiHidden/>
    <w:rsid w:val="00C14DB6"/>
    <w:rPr>
      <w:rFonts w:cstheme="majorBidi"/>
      <w:i/>
      <w:iCs/>
    </w:rPr>
  </w:style>
  <w:style w:type="character" w:customStyle="1" w:styleId="Ttulo9Char">
    <w:name w:val="Título 9 Char"/>
    <w:basedOn w:val="Fontepargpadro"/>
    <w:link w:val="Ttulo9"/>
    <w:uiPriority w:val="9"/>
    <w:semiHidden/>
    <w:rsid w:val="00C14DB6"/>
    <w:rPr>
      <w:rFonts w:eastAsiaTheme="majorEastAsia" w:cstheme="majorBidi"/>
      <w:sz w:val="22"/>
      <w:szCs w:val="22"/>
    </w:rPr>
  </w:style>
  <w:style w:type="paragraph" w:styleId="Subttulo">
    <w:name w:val="Subtitle"/>
    <w:basedOn w:val="Normal"/>
    <w:next w:val="Normal"/>
    <w:link w:val="SubttuloChar"/>
    <w:uiPriority w:val="11"/>
    <w:qFormat/>
    <w:rsid w:val="00C14DB6"/>
    <w:pPr>
      <w:spacing w:after="60"/>
      <w:jc w:val="center"/>
      <w:outlineLvl w:val="1"/>
    </w:pPr>
    <w:rPr>
      <w:rFonts w:eastAsiaTheme="majorEastAsia" w:cstheme="majorBidi"/>
    </w:rPr>
  </w:style>
  <w:style w:type="character" w:customStyle="1" w:styleId="SubttuloChar">
    <w:name w:val="Subtítulo Char"/>
    <w:basedOn w:val="Fontepargpadro"/>
    <w:link w:val="Subttulo"/>
    <w:uiPriority w:val="11"/>
    <w:rsid w:val="00C14DB6"/>
    <w:rPr>
      <w:rFonts w:eastAsiaTheme="majorEastAsia" w:cstheme="majorBidi"/>
    </w:rPr>
  </w:style>
  <w:style w:type="character" w:styleId="Forte">
    <w:name w:val="Strong"/>
    <w:basedOn w:val="Fontepargpadro"/>
    <w:uiPriority w:val="22"/>
    <w:qFormat/>
    <w:rsid w:val="00C14DB6"/>
    <w:rPr>
      <w:b/>
      <w:bCs/>
    </w:rPr>
  </w:style>
  <w:style w:type="paragraph" w:styleId="SemEspaamento">
    <w:name w:val="No Spacing"/>
    <w:basedOn w:val="Normal"/>
    <w:uiPriority w:val="1"/>
    <w:qFormat/>
    <w:rsid w:val="00C14DB6"/>
    <w:rPr>
      <w:szCs w:val="32"/>
    </w:rPr>
  </w:style>
  <w:style w:type="paragraph" w:styleId="Citao">
    <w:name w:val="Quote"/>
    <w:basedOn w:val="Normal"/>
    <w:next w:val="Normal"/>
    <w:link w:val="CitaoChar"/>
    <w:uiPriority w:val="29"/>
    <w:qFormat/>
    <w:rsid w:val="00C14DB6"/>
    <w:rPr>
      <w:i/>
    </w:rPr>
  </w:style>
  <w:style w:type="character" w:customStyle="1" w:styleId="CitaoChar">
    <w:name w:val="Citação Char"/>
    <w:basedOn w:val="Fontepargpadro"/>
    <w:link w:val="Citao"/>
    <w:uiPriority w:val="29"/>
    <w:rsid w:val="00C14DB6"/>
    <w:rPr>
      <w:i/>
    </w:rPr>
  </w:style>
  <w:style w:type="paragraph" w:styleId="CitaoIntensa">
    <w:name w:val="Intense Quote"/>
    <w:basedOn w:val="Normal"/>
    <w:next w:val="Normal"/>
    <w:link w:val="CitaoIntensaChar"/>
    <w:uiPriority w:val="30"/>
    <w:qFormat/>
    <w:rsid w:val="00C14DB6"/>
    <w:pPr>
      <w:ind w:left="720" w:right="720"/>
    </w:pPr>
    <w:rPr>
      <w:rFonts w:cstheme="majorBidi"/>
      <w:b/>
      <w:i/>
      <w:szCs w:val="22"/>
    </w:rPr>
  </w:style>
  <w:style w:type="character" w:customStyle="1" w:styleId="CitaoIntensaChar">
    <w:name w:val="Citação Intensa Char"/>
    <w:basedOn w:val="Fontepargpadro"/>
    <w:link w:val="CitaoIntensa"/>
    <w:uiPriority w:val="30"/>
    <w:rsid w:val="00C14DB6"/>
    <w:rPr>
      <w:rFonts w:cstheme="majorBidi"/>
      <w:b/>
      <w:i/>
      <w:szCs w:val="22"/>
    </w:rPr>
  </w:style>
  <w:style w:type="character" w:styleId="nfaseSutil">
    <w:name w:val="Subtle Emphasis"/>
    <w:uiPriority w:val="19"/>
    <w:qFormat/>
    <w:rsid w:val="00C14DB6"/>
    <w:rPr>
      <w:i/>
      <w:color w:val="5A5A5A" w:themeColor="text1" w:themeTint="A5"/>
    </w:rPr>
  </w:style>
  <w:style w:type="character" w:styleId="nfaseIntensa">
    <w:name w:val="Intense Emphasis"/>
    <w:basedOn w:val="Fontepargpadro"/>
    <w:uiPriority w:val="21"/>
    <w:qFormat/>
    <w:rsid w:val="00C14DB6"/>
    <w:rPr>
      <w:b/>
      <w:i/>
      <w:sz w:val="24"/>
      <w:szCs w:val="24"/>
      <w:u w:val="single"/>
    </w:rPr>
  </w:style>
  <w:style w:type="character" w:styleId="RefernciaSutil">
    <w:name w:val="Subtle Reference"/>
    <w:basedOn w:val="Fontepargpadro"/>
    <w:uiPriority w:val="31"/>
    <w:qFormat/>
    <w:rsid w:val="00C14DB6"/>
    <w:rPr>
      <w:sz w:val="24"/>
      <w:szCs w:val="24"/>
      <w:u w:val="single"/>
    </w:rPr>
  </w:style>
  <w:style w:type="character" w:styleId="RefernciaIntensa">
    <w:name w:val="Intense Reference"/>
    <w:basedOn w:val="Fontepargpadro"/>
    <w:uiPriority w:val="32"/>
    <w:qFormat/>
    <w:rsid w:val="00C14DB6"/>
    <w:rPr>
      <w:b/>
      <w:sz w:val="24"/>
      <w:u w:val="single"/>
    </w:rPr>
  </w:style>
  <w:style w:type="character" w:styleId="TtulodoLivro">
    <w:name w:val="Book Title"/>
    <w:basedOn w:val="Fontepargpadro"/>
    <w:uiPriority w:val="33"/>
    <w:qFormat/>
    <w:rsid w:val="00C14DB6"/>
    <w:rPr>
      <w:rFonts w:asciiTheme="majorHAnsi" w:eastAsiaTheme="majorEastAsia" w:hAnsiTheme="majorHAnsi"/>
      <w:b/>
      <w:i/>
      <w:sz w:val="24"/>
      <w:szCs w:val="24"/>
    </w:rPr>
  </w:style>
  <w:style w:type="paragraph" w:styleId="CabealhodoSumrio">
    <w:name w:val="TOC Heading"/>
    <w:basedOn w:val="Ttulo1"/>
    <w:next w:val="Normal"/>
    <w:uiPriority w:val="39"/>
    <w:semiHidden/>
    <w:unhideWhenUsed/>
    <w:qFormat/>
    <w:rsid w:val="00C14DB6"/>
    <w:pPr>
      <w:outlineLvl w:val="9"/>
    </w:pPr>
  </w:style>
  <w:style w:type="paragraph" w:customStyle="1" w:styleId="EstiloTtulo212ptNoItlicoAntes0ptDepoisde6pt">
    <w:name w:val="Estilo Título 2 + 12 pt Não Itálico Antes:  0 pt Depois de:  6 pt"/>
    <w:basedOn w:val="Ttulo2"/>
    <w:autoRedefine/>
    <w:qFormat/>
    <w:rsid w:val="00976A9F"/>
    <w:pPr>
      <w:spacing w:before="0" w:after="120"/>
    </w:pPr>
    <w:rPr>
      <w:rFonts w:eastAsia="Times New Roman" w:cs="Times New Roman"/>
      <w:i/>
      <w:iCs w:val="0"/>
      <w:szCs w:val="20"/>
    </w:rPr>
  </w:style>
  <w:style w:type="paragraph" w:customStyle="1" w:styleId="Image">
    <w:name w:val="Image"/>
    <w:basedOn w:val="Ttulodanota"/>
    <w:next w:val="Normal"/>
    <w:link w:val="ImageChar"/>
    <w:qFormat/>
    <w:rsid w:val="008457F2"/>
    <w:pPr>
      <w:ind w:firstLine="0"/>
      <w:jc w:val="center"/>
    </w:pPr>
    <w:rPr>
      <w:noProof/>
    </w:rPr>
  </w:style>
  <w:style w:type="character" w:customStyle="1" w:styleId="ImageChar">
    <w:name w:val="Image Char"/>
    <w:basedOn w:val="Fontepargpadro"/>
    <w:link w:val="Image"/>
    <w:rsid w:val="00DE06BA"/>
    <w:rPr>
      <w:noProof/>
    </w:rPr>
  </w:style>
  <w:style w:type="paragraph" w:styleId="Ttulodanota">
    <w:name w:val="Note Heading"/>
    <w:basedOn w:val="Normal"/>
    <w:next w:val="Normal"/>
    <w:link w:val="TtulodanotaChar"/>
    <w:uiPriority w:val="99"/>
    <w:semiHidden/>
    <w:unhideWhenUsed/>
    <w:rsid w:val="00DE06BA"/>
    <w:pPr>
      <w:spacing w:line="240" w:lineRule="auto"/>
    </w:pPr>
  </w:style>
  <w:style w:type="character" w:customStyle="1" w:styleId="TtulodanotaChar">
    <w:name w:val="Título da nota Char"/>
    <w:basedOn w:val="Fontepargpadro"/>
    <w:link w:val="Ttulodanota"/>
    <w:uiPriority w:val="99"/>
    <w:semiHidden/>
    <w:rsid w:val="00DE06BA"/>
  </w:style>
  <w:style w:type="table" w:customStyle="1" w:styleId="Table">
    <w:name w:val="Table"/>
    <w:basedOn w:val="Tabelacomgrade1"/>
    <w:uiPriority w:val="99"/>
    <w:rsid w:val="006A3795"/>
    <w:pPr>
      <w:spacing w:line="240" w:lineRule="auto"/>
      <w:ind w:firstLine="0"/>
      <w:jc w:val="center"/>
    </w:pPr>
    <w:rPr>
      <w:rFonts w:asciiTheme="minorHAnsi" w:hAnsiTheme="minorHAnsi"/>
      <w:sz w:val="20"/>
      <w:szCs w:val="20"/>
      <w:lang w:val="pt-BR" w:eastAsia="pt-BR"/>
    </w:rPr>
    <w:tblPr>
      <w:tblBorders>
        <w:top w:val="single" w:sz="4" w:space="0" w:color="auto"/>
        <w:left w:val="none" w:sz="0" w:space="0" w:color="auto"/>
        <w:bottom w:val="single" w:sz="4" w:space="0" w:color="auto"/>
        <w:right w:val="none" w:sz="0" w:space="0" w:color="auto"/>
        <w:insideH w:val="none" w:sz="0" w:space="0" w:color="auto"/>
        <w:insideV w:val="none" w:sz="0" w:space="0" w:color="auto"/>
      </w:tblBorders>
    </w:tblPr>
    <w:tcPr>
      <w:vAlign w:val="center"/>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463F45"/>
    <w:pPr>
      <w:spacing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heliyon.2024.e32297" TargetMode="External"/><Relationship Id="rId21" Type="http://schemas.openxmlformats.org/officeDocument/2006/relationships/hyperlink" Target="https://igraph.org" TargetMode="External"/><Relationship Id="rId34" Type="http://schemas.openxmlformats.org/officeDocument/2006/relationships/hyperlink" Target="https://doi.org/10.1016/j.compag.2018.02.016" TargetMode="External"/><Relationship Id="rId42" Type="http://schemas.openxmlformats.org/officeDocument/2006/relationships/hyperlink" Target="https://papers.nips.cc/paper/7062-a-unified-approach-to-interpreting-model-predictions.pdf" TargetMode="External"/><Relationship Id="rId47" Type="http://schemas.openxmlformats.org/officeDocument/2006/relationships/hyperlink" Target="https://doi.org/10.1016/j.fochx.2025.103194" TargetMode="External"/><Relationship Id="rId50" Type="http://schemas.openxmlformats.org/officeDocument/2006/relationships/hyperlink" Target="https://doi.org/10.2174/1386207324666210309102239" TargetMode="External"/><Relationship Id="rId55" Type="http://schemas.openxmlformats.org/officeDocument/2006/relationships/hyperlink" Target="https://doi.org/10.2307/1412159" TargetMode="External"/><Relationship Id="rId63" Type="http://schemas.openxmlformats.org/officeDocument/2006/relationships/hyperlink" Target="https://doi.org/10.34667/tind.42184" TargetMode="External"/><Relationship Id="rId68"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j.tifs.2016.12.007" TargetMode="External"/><Relationship Id="rId29" Type="http://schemas.openxmlformats.org/officeDocument/2006/relationships/hyperlink" Target="https://doi.org/10.5281/zenodo.1234567" TargetMode="External"/><Relationship Id="rId11" Type="http://schemas.openxmlformats.org/officeDocument/2006/relationships/hyperlink" Target="https://doi.org/10.1016/j.worlddev.2015.05.004" TargetMode="External"/><Relationship Id="rId24" Type="http://schemas.openxmlformats.org/officeDocument/2006/relationships/hyperlink" Target="https://doi.org/10.1016/j.jpa.2025.xxxxxx" TargetMode="External"/><Relationship Id="rId32" Type="http://schemas.openxmlformats.org/officeDocument/2006/relationships/hyperlink" Target="https://doi.org/10.1007/s41060-024-00509-w" TargetMode="External"/><Relationship Id="rId37" Type="http://schemas.openxmlformats.org/officeDocument/2006/relationships/hyperlink" Target="https://www.jstatsoft.org/v25/i01/" TargetMode="External"/><Relationship Id="rId40" Type="http://schemas.openxmlformats.org/officeDocument/2006/relationships/hyperlink" Target="https://doi.org/10.1016/j.fochx.2025.102856" TargetMode="External"/><Relationship Id="rId45" Type="http://schemas.openxmlformats.org/officeDocument/2006/relationships/hyperlink" Target="https://doi.org/10.1007/s10462-024-10844-w" TargetMode="External"/><Relationship Id="rId53" Type="http://schemas.openxmlformats.org/officeDocument/2006/relationships/hyperlink" Target="https://doi.org/10.3390/rs11080920" TargetMode="External"/><Relationship Id="rId58" Type="http://schemas.openxmlformats.org/officeDocument/2006/relationships/hyperlink" Target="https://www.rstudio.com/" TargetMode="External"/><Relationship Id="rId66" Type="http://schemas.openxmlformats.org/officeDocument/2006/relationships/hyperlink" Target="https://doi.org/10.1016/j.ijmedinf.2019.08.018" TargetMode="External"/><Relationship Id="rId5" Type="http://schemas.openxmlformats.org/officeDocument/2006/relationships/image" Target="media/image1.png"/><Relationship Id="rId61" Type="http://schemas.openxmlformats.org/officeDocument/2006/relationships/hyperlink" Target="https://doi.org/10.1016/j.fochx.2025.103069" TargetMode="External"/><Relationship Id="rId19" Type="http://schemas.openxmlformats.org/officeDocument/2006/relationships/hyperlink" Target="https://doi.org/10.1186/s40537-020-00327-4" TargetMode="External"/><Relationship Id="rId14" Type="http://schemas.openxmlformats.org/officeDocument/2006/relationships/hyperlink" Target="https://doi.org/10.1007/978-94-007-6603-1" TargetMode="External"/><Relationship Id="rId22" Type="http://schemas.openxmlformats.org/officeDocument/2006/relationships/hyperlink" Target="https://doi.org/10.1016/j.ecoinf.2021.101472" TargetMode="External"/><Relationship Id="rId27" Type="http://schemas.openxmlformats.org/officeDocument/2006/relationships/hyperlink" Target="https://doi.org/10.3390/app14083421" TargetMode="External"/><Relationship Id="rId30" Type="http://schemas.openxmlformats.org/officeDocument/2006/relationships/hyperlink" Target="https://doi.org/10.1111/1541-4337.12341" TargetMode="External"/><Relationship Id="rId35" Type="http://schemas.openxmlformats.org/officeDocument/2006/relationships/hyperlink" Target="https://doi.org/10.1177/2053951714564227" TargetMode="External"/><Relationship Id="rId43" Type="http://schemas.openxmlformats.org/officeDocument/2006/relationships/hyperlink" Target="https://doi.org/10.1007/s12161-024-02625-6" TargetMode="External"/><Relationship Id="rId48" Type="http://schemas.openxmlformats.org/officeDocument/2006/relationships/hyperlink" Target="https://doi.org/10.7717/peerj-cs.1629" TargetMode="External"/><Relationship Id="rId56" Type="http://schemas.openxmlformats.org/officeDocument/2006/relationships/hyperlink" Target="https://doi.org/10.1111/j.1475-4762.2007.00765.x" TargetMode="External"/><Relationship Id="rId64" Type="http://schemas.openxmlformats.org/officeDocument/2006/relationships/hyperlink" Target="https://www.wto.org/english/docs_e/legal_e/27-trips.pdf" TargetMode="External"/><Relationship Id="rId8" Type="http://schemas.openxmlformats.org/officeDocument/2006/relationships/image" Target="media/image4.png"/><Relationship Id="rId51" Type="http://schemas.openxmlformats.org/officeDocument/2006/relationships/hyperlink" Target="https://doi.org/10.1038/s42256-019-0048-x" TargetMode="External"/><Relationship Id="rId3" Type="http://schemas.openxmlformats.org/officeDocument/2006/relationships/settings" Target="settings.xml"/><Relationship Id="rId12" Type="http://schemas.openxmlformats.org/officeDocument/2006/relationships/hyperlink" Target="https://doi.org/10.1017/CBO9780511541957" TargetMode="External"/><Relationship Id="rId17" Type="http://schemas.openxmlformats.org/officeDocument/2006/relationships/hyperlink" Target="https://doi.org/10.3390/molecules25133025" TargetMode="External"/><Relationship Id="rId25" Type="http://schemas.openxmlformats.org/officeDocument/2006/relationships/hyperlink" Target="https://doi.org/10.1108/BFJ-12-2014-0392" TargetMode="External"/><Relationship Id="rId33" Type="http://schemas.openxmlformats.org/officeDocument/2006/relationships/hyperlink" Target="https://arxiv.org/pdf/2209.01642.pdf" TargetMode="External"/><Relationship Id="rId38" Type="http://schemas.openxmlformats.org/officeDocument/2006/relationships/hyperlink" Target="https://doi.org/10.1016/j.foodchem.2024.142088" TargetMode="External"/><Relationship Id="rId46" Type="http://schemas.openxmlformats.org/officeDocument/2006/relationships/hyperlink" Target="https://doi.org/10.1016/j.jag.2021.102456" TargetMode="External"/><Relationship Id="rId59" Type="http://schemas.openxmlformats.org/officeDocument/2006/relationships/hyperlink" Target="https://doi.org/10.1002/agr.20281" TargetMode="External"/><Relationship Id="rId67" Type="http://schemas.openxmlformats.org/officeDocument/2006/relationships/fontTable" Target="fontTable.xml"/><Relationship Id="rId20" Type="http://schemas.openxmlformats.org/officeDocument/2006/relationships/hyperlink" Target="https://doi.org/10.1080/01621459.1979.10481038" TargetMode="External"/><Relationship Id="rId41" Type="http://schemas.openxmlformats.org/officeDocument/2006/relationships/hyperlink" Target="https://doi.org/10.1080/10618600.2022.2069777" TargetMode="External"/><Relationship Id="rId54" Type="http://schemas.openxmlformats.org/officeDocument/2006/relationships/hyperlink" Target="https://doi.org/10.1037/0033-2909.86.2.420" TargetMode="External"/><Relationship Id="rId62" Type="http://schemas.openxmlformats.org/officeDocument/2006/relationships/hyperlink" Target="https://doi.org/10.1016/j.rse.2019.111533"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007/s11306-018-1367-3" TargetMode="External"/><Relationship Id="rId23" Type="http://schemas.openxmlformats.org/officeDocument/2006/relationships/hyperlink" Target="http://data.europa.eu/eli/reg/2012/1151/oj" TargetMode="External"/><Relationship Id="rId28" Type="http://schemas.openxmlformats.org/officeDocument/2006/relationships/hyperlink" Target="https://doi.org/10.3390/rs15051234" TargetMode="External"/><Relationship Id="rId36" Type="http://schemas.openxmlformats.org/officeDocument/2006/relationships/hyperlink" Target="https://doi.org/10.1021/bk-2005-0894.ch001" TargetMode="External"/><Relationship Id="rId49" Type="http://schemas.openxmlformats.org/officeDocument/2006/relationships/hyperlink" Target="https://doi.org/10.1016/j.tifs.2025.105405" TargetMode="External"/><Relationship Id="rId57" Type="http://schemas.openxmlformats.org/officeDocument/2006/relationships/hyperlink" Target="https://www.R-project.org/" TargetMode="External"/><Relationship Id="rId10" Type="http://schemas.openxmlformats.org/officeDocument/2006/relationships/hyperlink" Target="https://doi.org/10.1111/j.1470-6431.2011.01077.x" TargetMode="External"/><Relationship Id="rId31" Type="http://schemas.openxmlformats.org/officeDocument/2006/relationships/hyperlink" Target="https://doi.org/10.1016/j.foodchem.2024.140903" TargetMode="External"/><Relationship Id="rId44" Type="http://schemas.openxmlformats.org/officeDocument/2006/relationships/hyperlink" Target="https://doi.org/10.1016/j.lwt.2024.115886" TargetMode="External"/><Relationship Id="rId52" Type="http://schemas.openxmlformats.org/officeDocument/2006/relationships/hyperlink" Target="https://doi.org/10.21105/joss.02341" TargetMode="External"/><Relationship Id="rId60" Type="http://schemas.openxmlformats.org/officeDocument/2006/relationships/hyperlink" Target="https://doi.org/10.7326/M18-0850" TargetMode="External"/><Relationship Id="rId65" Type="http://schemas.openxmlformats.org/officeDocument/2006/relationships/hyperlink" Target="https://doi.org/10.1038/s41538-021-00100-8" TargetMode="External"/><Relationship Id="rId4" Type="http://schemas.openxmlformats.org/officeDocument/2006/relationships/webSettings" Target="webSettings.xml"/><Relationship Id="rId9" Type="http://schemas.openxmlformats.org/officeDocument/2006/relationships/hyperlink" Target="https://doi.org/10.17605/OSF.IO/2EKYQ" TargetMode="External"/><Relationship Id="rId13" Type="http://schemas.openxmlformats.org/officeDocument/2006/relationships/hyperlink" Target="https://doi.org/10.1088/1742-5468/2008/10/P10008" TargetMode="External"/><Relationship Id="rId18" Type="http://schemas.openxmlformats.org/officeDocument/2006/relationships/hyperlink" Target="https://doi.org/10.1186/s12911-021-01533-7" TargetMode="External"/><Relationship Id="rId39" Type="http://schemas.openxmlformats.org/officeDocument/2006/relationships/hyperlink" Target="https://doi.org/10.3390/s18082674"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25</Pages>
  <Words>9390</Words>
  <Characters>50710</Characters>
  <Application>Microsoft Office Word</Application>
  <DocSecurity>0</DocSecurity>
  <Lines>422</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and Ecosystem Governance: A Critical Review of Machine Learning for the Auditability of Geographical Indications</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2025-11-26T21:45:00Z</dcterms:created>
  <dcterms:modified xsi:type="dcterms:W3CDTF">2025-11-26T21:46:00Z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harvard.csl</vt:lpwstr>
  </property>
  <property fmtid="{D5CDD505-2E9C-101B-9397-08002B2CF9AE}" pid="4" name="fig-align">
    <vt:lpwstr>center</vt:lpwstr>
  </property>
  <property fmtid="{D5CDD505-2E9C-101B-9397-08002B2CF9AE}" pid="5" name="reference-doc">
    <vt:lpwstr>modelo_formatacao_new.docx</vt:lpwstr>
  </property>
  <property fmtid="{D5CDD505-2E9C-101B-9397-08002B2CF9AE}" pid="6" name="table-align">
    <vt:lpwstr>center</vt:lpwstr>
  </property>
</Properties>
</file>