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2B710" w14:textId="77777777" w:rsidR="00AB40ED" w:rsidRPr="00076324" w:rsidRDefault="00076324">
      <w:pPr>
        <w:pStyle w:val="Ttulo"/>
        <w:rPr>
          <w:lang w:val="en-US"/>
        </w:rPr>
      </w:pPr>
      <w:r w:rsidRPr="00076324">
        <w:rPr>
          <w:lang w:val="en-US"/>
        </w:rPr>
        <w:t>Machine Learning for Geographical Indications: A Scoping Review on Authentication, Certification and Open Data Ecosystems</w:t>
      </w:r>
    </w:p>
    <w:p w14:paraId="6032B711" w14:textId="77777777" w:rsidR="00AB40ED" w:rsidRDefault="00076324">
      <w:r>
        <w:t>Catuxe Varjão de Santana Oliveira, Paulo Roberto Gagliardi, Luiz Diego Vidal Santos, Gustavo da Silva Quirino, Ana Karla de Souza Abud, Cristiane Toniolo Dias</w:t>
      </w:r>
    </w:p>
    <w:p w14:paraId="6032B712" w14:textId="77777777" w:rsidR="00AB40ED" w:rsidRDefault="00076324">
      <w:pPr>
        <w:pStyle w:val="Ttulo1"/>
      </w:pPr>
      <w:bookmarkStart w:id="0" w:name="resumo"/>
      <w:r>
        <w:t>Resumo</w:t>
      </w:r>
    </w:p>
    <w:p w14:paraId="6032B713" w14:textId="77777777" w:rsidR="00AB40ED" w:rsidRDefault="00076324">
      <w:r>
        <w:t xml:space="preserve">As Indicações Geográficas (IGs) vinculam qualidade ao território, exigindo autenticação robusta. Embora o Aprendizado de Máquina (AM) ofereça potencial para esse domínio, a literatura carece de uma síntese sistemática. Esta revisão de escopo mapeou aplicações de AM em IGs, identificando algoritmos, produtos e rigor metodológico em 148 artigos revisados por pares (2010–2025), selecionados das bases Scopus e Web of Science após triagem de 272 registros. A metodologia integrou filtragem semântica automatizada </w:t>
      </w:r>
      <w:r>
        <w:t>(precisão de 94,2%), avaliação manual de qualidade (ICC=0,87) e análise estatística multivariada. Os resultados indicam um crescimento superior a 400% nas aplicações desde 2018, organizadas em três módulos tecnológicos principais: Random Forest com espectroscopia para vinhos, SVM com cromatografia para carnes e Deep Learning com sensores para chás. Apesar de a acurácia na autenticação ser alta (80–100%), a generalização permanece limitada; apenas 23% dos estudos empregaram validação espacialmente independen</w:t>
      </w:r>
      <w:r>
        <w:t>te, observando-se degradação de desempenho de 2–15% e um viés de otimismo estatístico em 77% do corpus. Conclui-se que o AM discrimina eficazmente a origem, mas sua adoção regulatória exige protocolos de validação longitudinal, maior explicabilidade dos modelos e governança equitativa para integrar essas tecnologias aos sistemas de certificação de forma confiável.</w:t>
      </w:r>
    </w:p>
    <w:p w14:paraId="6032B714" w14:textId="77777777" w:rsidR="00AB40ED" w:rsidRPr="00076324" w:rsidRDefault="00076324">
      <w:pPr>
        <w:pStyle w:val="Corpodetexto"/>
        <w:rPr>
          <w:lang w:val="en-US"/>
        </w:rPr>
      </w:pPr>
      <w:r w:rsidRPr="00076324">
        <w:rPr>
          <w:b/>
          <w:bCs/>
          <w:lang w:val="en-US"/>
        </w:rPr>
        <w:t>Palavras-chave:</w:t>
      </w:r>
      <w:r w:rsidRPr="00076324">
        <w:rPr>
          <w:lang w:val="en-US"/>
        </w:rPr>
        <w:t xml:space="preserve"> Geographical Indications; Machine Learning; Artificial Intelligence; Food Traceability; Agroecological Products; Intellectual Property; Territorial Justice; Scoping Review.</w:t>
      </w:r>
    </w:p>
    <w:p w14:paraId="6032B715" w14:textId="77777777" w:rsidR="00AB40ED" w:rsidRDefault="00076324">
      <w:pPr>
        <w:pStyle w:val="Ttulo1"/>
      </w:pPr>
      <w:bookmarkStart w:id="1" w:name="introdução"/>
      <w:bookmarkEnd w:id="0"/>
      <w:r>
        <w:t>1. Introdução</w:t>
      </w:r>
    </w:p>
    <w:p w14:paraId="6032B716" w14:textId="77777777" w:rsidR="00AB40ED" w:rsidRDefault="00076324">
      <w:r>
        <w:t>As Indicações Geográficas (IGs) protegem territórios e produtos na economia do conhecimento, assegurando direitos exclusivos sobre produtos cuja qualidade, reputação e características derivam de sua origem geográfica (Locatelli, 2008; WIPO, 2018). Fundamentadas na Convenção de Berna (</w:t>
      </w:r>
      <w:r>
        <w:rPr>
          <w:i/>
          <w:iCs/>
        </w:rPr>
        <w:t>Convenção de Berna para a Proteção das Obras Literárias e Artísticas</w:t>
      </w:r>
      <w:r>
        <w:t>, 1886) e no Acordo TRIPS (</w:t>
      </w:r>
      <w:r>
        <w:rPr>
          <w:i/>
          <w:iCs/>
        </w:rPr>
        <w:t>Agreement on Trade-Related Aspects of Intellectual Property Rights (TRIPS)</w:t>
      </w:r>
      <w:r>
        <w:t>, 1994), as IGs conectam territórios produtivos e comunidades locais a mercados diferenciados, vinculando proteção de direitos à preservação do conhecimento tradicional (Suh &amp; Macpherson, 2007). Além de instrumento jurídico, as IGs constituem ativo intangível estratégico no sentido proposto pela teoria da Visão Baseada em Recursos (Resource-</w:t>
      </w:r>
      <w:r>
        <w:t xml:space="preserve">Based View), sendo </w:t>
      </w:r>
      <w:r>
        <w:lastRenderedPageBreak/>
        <w:t>recursos raros, valiosos, inimitáveis e insubstituíveis que fundamentam vantagem competitiva territorial sustentável (Barney, 1991). A apropriação de valor por meio das IGs transcende rentabilidade imediata, servindo como ancoragem para captura de valor futuro através de mercados diferenciados e disposição de consumidores em pagar preços premium por produtos com certificação de origem (Loureiro &amp; McCluskey, 2002; Vázquez‐Fontes et al., 2010).</w:t>
      </w:r>
    </w:p>
    <w:p w14:paraId="6032B717" w14:textId="77777777" w:rsidR="00AB40ED" w:rsidRDefault="00076324">
      <w:pPr>
        <w:pStyle w:val="Corpodetexto"/>
      </w:pPr>
      <w:r>
        <w:t>No Brasil, as Indicações Geográficas são regulamentadas pela Lei da Propriedade Industrial, Lei nº 9.279 de 14 de maio de 1996, que estabelece dois tipos de reconhecimento com implicações jurídicas e econômicas distintas, Indicação de Procedência e Denominação de Origem (Brasil, 1996). A Indicação de Procedência refere-se ao nome geográfico conhecido pela produção ou fabricação de determinado produto, funcionando como mecanismo de sinalização de origem; a Denominação de Origem designa produtos cujas qualida</w:t>
      </w:r>
      <w:r>
        <w:t>des ou características se devem exclusiva ou essencialmente ao meio geográfico, incluindo fatores naturais e humanos, constituindo forma de proteção mais robusta que vincula qualidade ao terroir (MAPA, 2020).</w:t>
      </w:r>
    </w:p>
    <w:p w14:paraId="6032B718" w14:textId="77777777" w:rsidR="00AB40ED" w:rsidRDefault="00076324">
      <w:pPr>
        <w:pStyle w:val="Corpodetexto"/>
      </w:pPr>
      <w:r>
        <w:t>O controle deste tipo de registro é realizado pelo Instituto Nacional de Propriedade Intelectual (INPI), com apoio do Ministério da Agricultura, Pecuária e Abastecimento, que operacionaliza políticas de fomento e certificação de produtos agrícolas com identidade territorial (MAPA, 2020). Este marco regulatório brasileiro alinha-se à Lei nº 10.973/2004 (Lei de Inovação) e Lei nº 13.243/2016 (Novo Marco Legal de CT&amp;I), que reconhecem Indicações Geográficas como ativos de propriedade intelectual passíveis de p</w:t>
      </w:r>
      <w:r>
        <w:t>roteção estratégica, valoração e comercialização (Brasil, 2004, 2016).</w:t>
      </w:r>
    </w:p>
    <w:p w14:paraId="6032B719" w14:textId="77777777" w:rsidR="00AB40ED" w:rsidRDefault="00076324">
      <w:pPr>
        <w:pStyle w:val="Corpodetexto"/>
      </w:pPr>
      <w:r>
        <w:t>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w:t>
      </w:r>
      <w:r>
        <w:t xml:space="preserve"> clima, altitude) e métodos únicos de cultivo ou produção (al., 2011; Bureau &amp; Freitas, 2018; Fonzo &amp; Russo, 2015; H. G. Santos et al., 2018; J. C. Santos &amp; Santos, 2019). A caracterização territorial desses produtos, necessária para o reconhecimento como Denominação de Origem conforme estabelecido no artigo 178 da Lei nº 9.279/1996 (Brasil, 1996), demanda análises técnicas específicas que comprovem, com rigor científico, a relação entre qualidade e fatores geográficos (Gonçalves-Maduro et al., 2020). Neste</w:t>
      </w:r>
      <w:r>
        <w:t xml:space="preserve"> contexto, apresenta-se uma questão central de que forma os sistemas de certificação podem validar, rigorosamente e objetivamente, a relação entre origem geográfica e qualidade de produtos.</w:t>
      </w:r>
    </w:p>
    <w:p w14:paraId="6032B71A" w14:textId="77777777" w:rsidR="00AB40ED" w:rsidRDefault="00076324">
      <w:pPr>
        <w:pStyle w:val="Corpodetexto"/>
      </w:pPr>
      <w:r>
        <w:lastRenderedPageBreak/>
        <w:t>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w:t>
      </w:r>
      <w:r>
        <w:t>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 (R. C. Chen et al., 2020; Ramos et al., 2025).</w:t>
      </w:r>
    </w:p>
    <w:p w14:paraId="6032B71B" w14:textId="77777777" w:rsidR="00AB40ED" w:rsidRDefault="00076324">
      <w:pPr>
        <w:pStyle w:val="Corpodetexto"/>
      </w:pPr>
      <w:r>
        <w:t>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 (Acquarelli et al., 2021; Longo et al., 2021; Rana et al., 2023; Rodrigues et al., 2022). Essas aplicações demonstram que a integração entre dados instrumentais de alta dimensionalidade e modelos supe</w:t>
      </w:r>
      <w:r>
        <w:t>rvisionados permite discriminar origens, identificar adulterações e estimar atributos sensoriais e físico‑químicos com precisão compatível com requisitos de certificação (Jiang et al., 2025; Y. Li et al., 2025; Peng et al., 2025; Santomá-Martí et al., 2025; Wang et al., 2025).</w:t>
      </w:r>
    </w:p>
    <w:p w14:paraId="6032B71C" w14:textId="77777777" w:rsidR="00AB40ED" w:rsidRDefault="00076324">
      <w:pPr>
        <w:pStyle w:val="Corpodetexto"/>
      </w:pPr>
      <w:r>
        <w:t>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 (R. C. Chen et al., 2020; Effrosynidis &amp; Arampatzis, 2021; Iranzad &amp; Liu, 2025; Loyal et al., 2022; Malik et al., 2023; Rebiai et al., 2022; Salam et al., 2021).</w:t>
      </w:r>
    </w:p>
    <w:p w14:paraId="6032B71D" w14:textId="77777777" w:rsidR="00AB40ED" w:rsidRDefault="00076324">
      <w:pPr>
        <w:pStyle w:val="Corpodetexto"/>
      </w:pPr>
      <w:r>
        <w:t>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14:paraId="6032B71E" w14:textId="77777777" w:rsidR="00AB40ED" w:rsidRDefault="00076324">
      <w:pPr>
        <w:pStyle w:val="Corpodetexto"/>
      </w:pPr>
      <w:r>
        <w:t>Esta revisão de escopo busca mapear sistematicamente as aplicações de Machine Learning em Indicações Geográficas, utilizando o framework PCC (</w:t>
      </w:r>
      <w:r>
        <w:rPr>
          <w:i/>
          <w:iCs/>
        </w:rPr>
        <w:t>Population, Concept, Context</w:t>
      </w:r>
      <w:r>
        <w:t xml:space="preserve">) para identificar e sintetizar evidências científicas sobre a integração entre Machine Learning e aspectos territoriais de Indicações Geográficas. Hipotiza-se </w:t>
      </w:r>
      <w:r>
        <w:lastRenderedPageBreak/>
        <w:t>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w:t>
      </w:r>
      <w:r>
        <w:t>tificação geográfica.</w:t>
      </w:r>
    </w:p>
    <w:p w14:paraId="6032B71F" w14:textId="77777777" w:rsidR="00AB40ED" w:rsidRDefault="00076324">
      <w:pPr>
        <w:pStyle w:val="Ttulo1"/>
      </w:pPr>
      <w:bookmarkStart w:id="2" w:name="materiais-e-métodos"/>
      <w:bookmarkEnd w:id="1"/>
      <w:r>
        <w:t>2. Materiais e Métodos</w:t>
      </w:r>
    </w:p>
    <w:p w14:paraId="6032B720" w14:textId="77777777" w:rsidR="00AB40ED" w:rsidRDefault="00076324">
      <w:r>
        <w:t>Esta revisão de escopo segue as diretrizes da extensão PRISMA-ScR (</w:t>
      </w:r>
      <w:r>
        <w:rPr>
          <w:i/>
          <w:iCs/>
        </w:rPr>
        <w:t>Preferred Reporting Items for Systematic Reviews and Meta-Analyses extension for Scoping Reviews</w:t>
      </w:r>
      <w:r>
        <w:t>) para garantir transparência e reprodutibilidade metodológica. O protocolo foi registrado no Open Science Framework, facilitando o acesso público e a replicabilidade.</w:t>
      </w:r>
    </w:p>
    <w:p w14:paraId="6032B721" w14:textId="77777777" w:rsidR="00AB40ED" w:rsidRDefault="00076324">
      <w:pPr>
        <w:pStyle w:val="Ttulo2"/>
      </w:pPr>
      <w:bookmarkStart w:id="3" w:name="questão-de-pesquisa"/>
      <w:r>
        <w:t>2.1 Questão de Pesquisa</w:t>
      </w:r>
    </w:p>
    <w:p w14:paraId="6032B722" w14:textId="77777777" w:rsidR="00AB40ED" w:rsidRDefault="00076324">
      <w:r>
        <w:t>O estudo foi estruturado utilizando o framework PCC (</w:t>
      </w:r>
      <w:r>
        <w:rPr>
          <w:i/>
          <w:iCs/>
        </w:rPr>
        <w:t>Population, Concept, Context</w:t>
      </w:r>
      <w:r>
        <w:t xml:space="preserve">), que fundamenta a questão de pesquisa: </w:t>
      </w:r>
      <w:r>
        <w:rPr>
          <w:i/>
          <w:iCs/>
        </w:rPr>
        <w:t>Como técnicas de Aprendizado de Máquina têm sido aplicadas para autenticação, avaliação e apoio à decisão em sistemas de Indicações Geográficas?</w:t>
      </w:r>
    </w:p>
    <w:tbl>
      <w:tblPr>
        <w:tblStyle w:val="Table"/>
        <w:tblW w:w="5000" w:type="pct"/>
        <w:tblLayout w:type="fixed"/>
        <w:tblLook w:val="0020" w:firstRow="1" w:lastRow="0" w:firstColumn="0" w:lastColumn="0" w:noHBand="0" w:noVBand="0"/>
      </w:tblPr>
      <w:tblGrid>
        <w:gridCol w:w="541"/>
        <w:gridCol w:w="8297"/>
      </w:tblGrid>
      <w:tr w:rsidR="00AB40ED" w14:paraId="6032B725" w14:textId="77777777" w:rsidTr="00AB40ED">
        <w:trPr>
          <w:tblHeader/>
        </w:trPr>
        <w:tc>
          <w:tcPr>
            <w:tcW w:w="485" w:type="dxa"/>
          </w:tcPr>
          <w:p w14:paraId="6032B723" w14:textId="77777777" w:rsidR="00AB40ED" w:rsidRDefault="00076324">
            <w:pPr>
              <w:jc w:val="left"/>
            </w:pPr>
            <w:r>
              <w:t>Elemento</w:t>
            </w:r>
          </w:p>
        </w:tc>
        <w:tc>
          <w:tcPr>
            <w:tcW w:w="7434" w:type="dxa"/>
          </w:tcPr>
          <w:p w14:paraId="6032B724" w14:textId="77777777" w:rsidR="00AB40ED" w:rsidRDefault="00076324">
            <w:pPr>
              <w:jc w:val="left"/>
            </w:pPr>
            <w:r>
              <w:t>Descrição</w:t>
            </w:r>
          </w:p>
        </w:tc>
      </w:tr>
      <w:tr w:rsidR="00AB40ED" w14:paraId="6032B728" w14:textId="77777777">
        <w:tc>
          <w:tcPr>
            <w:tcW w:w="485" w:type="dxa"/>
          </w:tcPr>
          <w:p w14:paraId="6032B726" w14:textId="77777777" w:rsidR="00AB40ED" w:rsidRDefault="00076324">
            <w:pPr>
              <w:jc w:val="left"/>
            </w:pPr>
            <w:r>
              <w:rPr>
                <w:b/>
                <w:bCs/>
              </w:rPr>
              <w:t>P (População)</w:t>
            </w:r>
          </w:p>
        </w:tc>
        <w:tc>
          <w:tcPr>
            <w:tcW w:w="7434" w:type="dxa"/>
          </w:tcPr>
          <w:p w14:paraId="6032B727" w14:textId="77777777" w:rsidR="00AB40ED" w:rsidRDefault="00076324">
            <w:pPr>
              <w:jc w:val="left"/>
            </w:pPr>
            <w:r>
              <w:t>Indicações Geográficas, Denominações de Origem e Indicações de Procedência reconhecidas nacional e internacionalmente, abrangendo produtos agroalimentares (vinhos, queijos, cafés, carnes, azeites), artesanatos e outros produtos com identidade territorial.</w:t>
            </w:r>
          </w:p>
        </w:tc>
      </w:tr>
      <w:tr w:rsidR="00AB40ED" w14:paraId="6032B72B" w14:textId="77777777">
        <w:tc>
          <w:tcPr>
            <w:tcW w:w="485" w:type="dxa"/>
          </w:tcPr>
          <w:p w14:paraId="6032B729" w14:textId="77777777" w:rsidR="00AB40ED" w:rsidRDefault="00076324">
            <w:pPr>
              <w:jc w:val="left"/>
            </w:pPr>
            <w:r>
              <w:rPr>
                <w:b/>
                <w:bCs/>
              </w:rPr>
              <w:t>C (Conceito)</w:t>
            </w:r>
          </w:p>
        </w:tc>
        <w:tc>
          <w:tcPr>
            <w:tcW w:w="7434" w:type="dxa"/>
          </w:tcPr>
          <w:p w14:paraId="6032B72A" w14:textId="77777777" w:rsidR="00AB40ED" w:rsidRDefault="00076324">
            <w:pPr>
              <w:jc w:val="left"/>
            </w:pPr>
            <w:r>
              <w:t>Técnicas de Aprendizado de Máquina, Inteligência Artificial, algoritmos de classificação e predição, métodos quimiométricos, Mineração de Dados e Processamento de Linguagem Natural aplicados a contextos de Indicações Geográficas.</w:t>
            </w:r>
          </w:p>
        </w:tc>
      </w:tr>
      <w:tr w:rsidR="00AB40ED" w14:paraId="6032B72E" w14:textId="77777777">
        <w:tc>
          <w:tcPr>
            <w:tcW w:w="485" w:type="dxa"/>
          </w:tcPr>
          <w:p w14:paraId="6032B72C" w14:textId="77777777" w:rsidR="00AB40ED" w:rsidRDefault="00076324">
            <w:pPr>
              <w:jc w:val="left"/>
            </w:pPr>
            <w:r>
              <w:rPr>
                <w:b/>
                <w:bCs/>
              </w:rPr>
              <w:t>C (Contexto)</w:t>
            </w:r>
          </w:p>
        </w:tc>
        <w:tc>
          <w:tcPr>
            <w:tcW w:w="7434" w:type="dxa"/>
          </w:tcPr>
          <w:p w14:paraId="6032B72D" w14:textId="77777777" w:rsidR="00AB40ED" w:rsidRDefault="00076324">
            <w:pPr>
              <w:jc w:val="left"/>
            </w:pPr>
            <w:r>
              <w:t>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6032B72F" w14:textId="77777777" w:rsidR="00AB40ED" w:rsidRDefault="00076324">
      <w:pPr>
        <w:pStyle w:val="Corpodetexto"/>
      </w:pPr>
      <w:r>
        <w:rPr>
          <w:i/>
          <w:iCs/>
        </w:rPr>
        <w:t>Tabela 1. Estrutura da revisão de escopo segundo o framework PCC.</w:t>
      </w:r>
    </w:p>
    <w:p w14:paraId="6032B730" w14:textId="77777777" w:rsidR="00AB40ED" w:rsidRDefault="00076324">
      <w:pPr>
        <w:pStyle w:val="Corpodetexto"/>
      </w:pPr>
      <w:r>
        <w:t>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p w14:paraId="6032B731" w14:textId="77777777" w:rsidR="00AB40ED" w:rsidRDefault="00076324">
      <w:pPr>
        <w:pStyle w:val="Ttulo2"/>
      </w:pPr>
      <w:bookmarkStart w:id="4" w:name="fluxograma-metodológico-prisma-scr"/>
      <w:bookmarkEnd w:id="3"/>
      <w:r>
        <w:lastRenderedPageBreak/>
        <w:t>2.1.1 Fluxograma Metodológico PRISMA-ScR</w:t>
      </w:r>
    </w:p>
    <w:p w14:paraId="6032B732" w14:textId="77777777" w:rsidR="00AB40ED" w:rsidRDefault="00076324">
      <w:r>
        <w:t>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w:t>
      </w:r>
      <w:r>
        <w:t>é a síntese final com recomendações para implementação de Machine Learning em sistemas de Indicações Geográficas.</w:t>
      </w:r>
    </w:p>
    <w:p w14:paraId="6032B733" w14:textId="77777777" w:rsidR="00AB40ED" w:rsidRDefault="00076324">
      <w:bookmarkStart w:id="5" w:name="fig:ml_indicacoes"/>
      <w:r>
        <w:rPr>
          <w:noProof/>
        </w:rPr>
        <w:drawing>
          <wp:inline distT="0" distB="0" distL="0" distR="0" wp14:anchorId="6032B8E7" wp14:editId="6032B8E8">
            <wp:extent cx="4480560" cy="1451884"/>
            <wp:effectExtent l="0" t="0" r="0" b="0"/>
            <wp:docPr id="21"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22" name="Picture" descr="2-FIGURAS/2-EN/ml_indicacoes_geograficas.png"/>
                    <pic:cNvPicPr>
                      <a:picLocks noChangeAspect="1" noChangeArrowheads="1"/>
                    </pic:cNvPicPr>
                  </pic:nvPicPr>
                  <pic:blipFill>
                    <a:blip r:embed="rId5"/>
                    <a:stretch>
                      <a:fillRect/>
                    </a:stretch>
                  </pic:blipFill>
                  <pic:spPr bwMode="auto">
                    <a:xfrm>
                      <a:off x="0" y="0"/>
                      <a:ext cx="4480560" cy="1451884"/>
                    </a:xfrm>
                    <a:prstGeom prst="rect">
                      <a:avLst/>
                    </a:prstGeom>
                    <a:noFill/>
                    <a:ln w="9525">
                      <a:noFill/>
                      <a:headEnd/>
                      <a:tailEnd/>
                    </a:ln>
                  </pic:spPr>
                </pic:pic>
              </a:graphicData>
            </a:graphic>
          </wp:inline>
        </w:drawing>
      </w:r>
    </w:p>
    <w:p w14:paraId="6032B734" w14:textId="77777777" w:rsidR="00AB40ED" w:rsidRDefault="00076324">
      <w:r>
        <w:t>Fluxograma da revisão de Escopo sobre Aplicações de Machine Learning em Indicações Geográficas.</w:t>
      </w:r>
    </w:p>
    <w:p w14:paraId="6032B735" w14:textId="77777777" w:rsidR="00AB40ED" w:rsidRDefault="00076324">
      <w:pPr>
        <w:pStyle w:val="Ttulo2"/>
      </w:pPr>
      <w:bookmarkStart w:id="6" w:name="X1939699e69c4ebc2787c0544392a7c3067c801c"/>
      <w:bookmarkEnd w:id="5"/>
      <w:bookmarkEnd w:id="4"/>
      <w:r>
        <w:t>2.3 Estratégia de Busca e Extração dos Estudos</w:t>
      </w:r>
    </w:p>
    <w:p w14:paraId="6032B736" w14:textId="77777777" w:rsidR="00AB40ED" w:rsidRDefault="00076324">
      <w:r>
        <w:t>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14:paraId="6032B737" w14:textId="77777777" w:rsidR="00AB40ED" w:rsidRPr="00076324" w:rsidRDefault="00076324">
      <w:pPr>
        <w:pStyle w:val="Corpodetexto"/>
        <w:rPr>
          <w:lang w:val="en-US"/>
        </w:rPr>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w:t>
      </w:r>
      <w:r w:rsidRPr="00076324">
        <w:rPr>
          <w:lang w:val="en-US"/>
        </w:rPr>
        <w:t>A estratégia de busca foi construída seguindo a lógica:</w:t>
      </w:r>
    </w:p>
    <w:p w14:paraId="6032B738" w14:textId="77777777" w:rsidR="00AB40ED" w:rsidRPr="00076324" w:rsidRDefault="00076324">
      <w:pPr>
        <w:pStyle w:val="Corpodetexto"/>
        <w:rPr>
          <w:lang w:val="en-US"/>
        </w:rPr>
      </w:pPr>
      <w:r w:rsidRPr="00076324">
        <w:rPr>
          <w:i/>
          <w:iCs/>
          <w:lang w:val="en-U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rsidRPr="00076324">
        <w:rPr>
          <w:lang w:val="en-US"/>
        </w:rPr>
        <w:t>.</w:t>
      </w:r>
    </w:p>
    <w:p w14:paraId="6032B739" w14:textId="77777777" w:rsidR="00AB40ED" w:rsidRDefault="00076324">
      <w:pPr>
        <w:pStyle w:val="Corpodetexto"/>
      </w:pPr>
      <w:r>
        <w:t xml:space="preserve">Os critérios de inclusão contemplaram os artigos completos publicados em periódicos revisados por pares, escritos em inglês, português ou espanhol, que </w:t>
      </w:r>
      <w:r>
        <w:lastRenderedPageBreak/>
        <w:t>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14:paraId="6032B73A" w14:textId="77777777" w:rsidR="00AB40ED" w:rsidRDefault="00076324">
      <w:pPr>
        <w:pStyle w:val="Corpodetexto"/>
      </w:pPr>
      <w:r>
        <w:t>Para a extração de dados, foi elaborado um formulário padronizado onde foram registradas as seguintes variáveis de cada estudo que incluiram metadados bibliográficos (autor, ano, título), características geográficas (país de origem, região, tipo de IG), detalhes do produto (categoria, denominação específica), abordagem metodológica (algoritmos de ML, técnicas analíticas/instrumentais, tamanho da amostra) e métricas de desempenho (acurácia, sensibilidade, especificidade, RMSE).</w:t>
      </w:r>
    </w:p>
    <w:p w14:paraId="6032B73B" w14:textId="77777777" w:rsidR="00AB40ED" w:rsidRDefault="00076324">
      <w:pPr>
        <w:pStyle w:val="Ttulo2"/>
      </w:pPr>
      <w:bookmarkStart w:id="7" w:name="X19c91b0939485640128d6824b4fe0a12aa5aa83"/>
      <w:bookmarkEnd w:id="6"/>
      <w:r>
        <w:t>2.4 Primeira Fase: Sistema de Filtragem Automatizada por Relevância Temática</w:t>
      </w:r>
    </w:p>
    <w:p w14:paraId="6032B73C" w14:textId="77777777" w:rsidR="00AB40ED" w:rsidRDefault="00076324">
      <w:pPr>
        <w:pStyle w:val="Ttulo3"/>
      </w:pPr>
      <w:bookmarkStart w:id="8" w:name="algoritmo-de-pontuação-ponderada"/>
      <w:r>
        <w:t>2.4.1 Algoritmo de Pontuação Ponderada</w:t>
      </w:r>
    </w:p>
    <w:p w14:paraId="6032B73D" w14:textId="77777777" w:rsidR="00AB40ED" w:rsidRDefault="00076324">
      <w:r>
        <w:t>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O sistema de pontuação seguiu princípios do Método de Análise Hierárquica (AHP) representado na Equação 1, organizando o</w:t>
      </w:r>
      <w:r>
        <w:t>s descritores em cinco categorias com pesos diferenciados (Saaty, 1991).</w:t>
      </w:r>
    </w:p>
    <w:p w14:paraId="6032B73E" w14:textId="77777777" w:rsidR="00AB40ED" w:rsidRDefault="00076324">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6032B73F" w14:textId="77777777" w:rsidR="00AB40ED" w:rsidRDefault="00076324">
      <w:r>
        <w:t>onde:</w:t>
      </w:r>
    </w:p>
    <w:p w14:paraId="6032B740" w14:textId="77777777" w:rsidR="00AB40ED" w:rsidRDefault="00076324">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6032B741" w14:textId="77777777" w:rsidR="00AB40ED" w:rsidRDefault="00076324">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w:t>
      </w:r>
      <w:r>
        <w:t>(categorizado em 5 níveis: 5, 3, 2, 1, ou -5/-3/-2 pontos)</w:t>
      </w:r>
    </w:p>
    <w:p w14:paraId="6032B742" w14:textId="77777777" w:rsidR="00AB40ED" w:rsidRDefault="00076324">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do termo (1,5 para título, 1,2 para palavras‑chave, 1,0 para abstract)</w:t>
      </w:r>
    </w:p>
    <w:p w14:paraId="6032B743" w14:textId="77777777" w:rsidR="00AB40ED" w:rsidRDefault="00076324">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6032B744" w14:textId="77777777" w:rsidR="00AB40ED" w:rsidRDefault="00076324">
      <w:pPr>
        <w:numPr>
          <w:ilvl w:val="0"/>
          <w:numId w:val="25"/>
        </w:numPr>
      </w:pPr>
      <m:oMath>
        <m:r>
          <w:rPr>
            <w:rFonts w:ascii="Cambria Math" w:hAnsi="Cambria Math"/>
          </w:rPr>
          <m:t>n</m:t>
        </m:r>
      </m:oMath>
      <w:r>
        <w:t xml:space="preserve"> = número total de termos avaliados</w:t>
      </w:r>
    </w:p>
    <w:p w14:paraId="6032B745" w14:textId="77777777" w:rsidR="00AB40ED" w:rsidRDefault="00076324">
      <w:r>
        <w:t xml:space="preserve">Termos Prioritários (5 pontos) representam o núcleo conceitual da revisão e incluem expressões como </w:t>
      </w:r>
      <w:r>
        <w:rPr>
          <w:i/>
          <w:iCs/>
        </w:rPr>
        <w:t xml:space="preserve">geographical indications, denominations of origin, appellations of origin, protected designations of origin, traceability, authentication, </w:t>
      </w:r>
      <w:r>
        <w:rPr>
          <w:i/>
          <w:iCs/>
        </w:rPr>
        <w:lastRenderedPageBreak/>
        <w:t>quality control</w:t>
      </w:r>
      <w:r>
        <w:t xml:space="preserve">. Termos de Alta Relevância (3 pontos) capturam conceitos metodológicos centrais, como </w:t>
      </w:r>
      <w:r>
        <w:rPr>
          <w:i/>
          <w:iCs/>
        </w:rPr>
        <w:t>machine learning, artificial intelligence, deep learning, neural networks, fraud detection, geospatial analysis</w:t>
      </w:r>
      <w:r>
        <w:t xml:space="preserve">. Termos de Relevância Média (2 pontos) cobrem temas complementares, a exemplo de </w:t>
      </w:r>
      <w:r>
        <w:rPr>
          <w:i/>
          <w:iCs/>
        </w:rPr>
        <w:t>chemometrics, data mining, classification</w:t>
      </w:r>
      <w:r>
        <w:t>, enquanto Termos de Contexto (1 pont</w:t>
      </w:r>
      <w:r>
        <w:t xml:space="preserve">o) indicam ambientes ou aplicações potenciais, como </w:t>
      </w:r>
      <w:r>
        <w:rPr>
          <w:i/>
          <w:iCs/>
        </w:rPr>
        <w:t>regional products, certification, prediction, validation</w:t>
      </w:r>
      <w:r>
        <w:t xml:space="preserve">. Termos de Exclusão recebem pesos negativos e penalizam registros fora do escopo, sobretudo em domínios como </w:t>
      </w:r>
      <w:r>
        <w:rPr>
          <w:i/>
          <w:iCs/>
        </w:rPr>
        <w:t>medical/clinical/pharmaceutical</w:t>
      </w:r>
      <w:r>
        <w:t xml:space="preserve"> (−5), </w:t>
      </w:r>
      <w:r>
        <w:rPr>
          <w:i/>
          <w:iCs/>
        </w:rPr>
        <w:t>urban planning/smart cities</w:t>
      </w:r>
      <w:r>
        <w:t xml:space="preserve"> (−3) e </w:t>
      </w:r>
      <w:r>
        <w:rPr>
          <w:i/>
          <w:iCs/>
        </w:rPr>
        <w:t>finance/economics/business</w:t>
      </w:r>
      <w:r>
        <w:t xml:space="preserve"> (−2) (Munn et al., 2018; Tricco et al., 2018).</w:t>
      </w:r>
    </w:p>
    <w:p w14:paraId="6032B746" w14:textId="77777777" w:rsidR="00AB40ED" w:rsidRDefault="00076324">
      <w:pPr>
        <w:pStyle w:val="Ttulo3"/>
      </w:pPr>
      <w:bookmarkStart w:id="9" w:name="implementação-e-validação-do-sistema"/>
      <w:bookmarkEnd w:id="8"/>
      <w:r>
        <w:t>2.4.2 Implementação e Validação do Sistema</w:t>
      </w:r>
    </w:p>
    <w:p w14:paraId="6032B747" w14:textId="77777777" w:rsidR="00AB40ED" w:rsidRDefault="00076324">
      <w:r>
        <w:t>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14:paraId="6032B748" w14:textId="77777777" w:rsidR="00AB40ED" w:rsidRDefault="00076324">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 </w:t>
      </w:r>
      <w:r>
        <w:rPr>
          <w:i/>
          <w:iCs/>
        </w:rPr>
        <w:t>machine learning</w:t>
      </w:r>
      <w:r>
        <w:t xml:space="preserve">, </w:t>
      </w:r>
      <w:r>
        <w:rPr>
          <w:i/>
          <w:iCs/>
        </w:rPr>
        <w:t>geographical indications</w:t>
      </w:r>
      <w:r>
        <w:t xml:space="preserve"> e </w:t>
      </w:r>
      <w:r>
        <w:rPr>
          <w:i/>
          <w:iCs/>
        </w:rPr>
        <w:t>authentication</w:t>
      </w:r>
      <w:r>
        <w:t>. O valor final representou o melhor compromisso entre sensibilidade e especificidade, estabilizando a concordância interavaliadores nos casos limítrofes.</w:t>
      </w:r>
    </w:p>
    <w:p w14:paraId="6032B749" w14:textId="77777777" w:rsidR="00AB40ED" w:rsidRDefault="00076324">
      <w:pPr>
        <w:pStyle w:val="Ttulo3"/>
      </w:pPr>
      <w:bookmarkStart w:id="10" w:name="X1bd208d3063693f893a5ebd052bdbe8aa16c823"/>
      <w:bookmarkEnd w:id="9"/>
      <w:r>
        <w:t>2.4.3 Validação Participativa e Refinamento Algorítmico</w:t>
      </w:r>
    </w:p>
    <w:p w14:paraId="6032B74A" w14:textId="77777777" w:rsidR="00AB40ED" w:rsidRDefault="00076324">
      <w:r>
        <w:t>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w:t>
      </w:r>
      <w:r>
        <w:t>oncordância interavaliadores para verificar a consistência na classificação dos estudos (Tricco, Lillie, et al., 2018).</w:t>
      </w:r>
    </w:p>
    <w:p w14:paraId="6032B74B" w14:textId="77777777" w:rsidR="00AB40ED" w:rsidRDefault="00076324">
      <w:pPr>
        <w:pStyle w:val="Corpodetexto"/>
      </w:pPr>
      <w:r>
        <w:t xml:space="preserve">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A validação resultou em uma taxa de </w:t>
      </w:r>
      <w:r>
        <w:lastRenderedPageBreak/>
        <w:t>concordância de 90,2% entre o sistema automatizado e a avaliação manual, indicando boa eficácia do algoritmo na triagem temática.</w:t>
      </w:r>
    </w:p>
    <w:p w14:paraId="6032B74C" w14:textId="77777777" w:rsidR="00AB40ED" w:rsidRDefault="00076324">
      <w:pPr>
        <w:pStyle w:val="Ttulo3"/>
      </w:pPr>
      <w:bookmarkStart w:id="11" w:name="Xf73146bbbaf0ab9a9dd893b4d2ad0b0861c222e"/>
      <w:bookmarkEnd w:id="10"/>
      <w:r>
        <w:t>2.4.4 Verificação de Cobertura Bibliográfica e Categorização Automatizada</w:t>
      </w:r>
    </w:p>
    <w:p w14:paraId="6032B74D" w14:textId="77777777" w:rsidR="00AB40ED" w:rsidRDefault="00076324">
      <w:r>
        <w:t>Foi desenvolvido sistema automatizado para verificar a cobertura bibliográfica das citações metodológicas. O procedimento avalia completude e consistência da base de referências, garantindo rastreabilidade entre citações textuais e arquivos bibliográficos.</w:t>
      </w:r>
    </w:p>
    <w:p w14:paraId="6032B74E" w14:textId="77777777" w:rsidR="00AB40ED" w:rsidRDefault="00076324">
      <w:pPr>
        <w:pStyle w:val="Corpodetexto"/>
      </w:pPr>
      <w:r>
        <w:t>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 (Ofori-Boateng et al., 2024; Sawicki et al., 2023). Foi construído pipeline computacional que extrai, tokeniza e vetorializa metadados e resumos das referências, usando modelos supervisionados e regras semânticas para reconhec</w:t>
      </w:r>
      <w:r>
        <w:t>imento de padrões (Casey et al., 2021; Young et al., 2019). As referências foram classificadas em categorias metodológicas previamente definidas, abrangendo áreas como técnicas de aprendizado de máquina e sistemas de indicações geográficas.</w:t>
      </w:r>
    </w:p>
    <w:p w14:paraId="6032B74F" w14:textId="77777777" w:rsidR="00AB40ED" w:rsidRDefault="00076324">
      <w:pPr>
        <w:pStyle w:val="Corpodetexto"/>
      </w:pPr>
      <w:r>
        <w:t>Para quantificação da cobertura bibliográfica e adequação dos estudos selecionados, foram aplicadas métricas de cobertura de citações e taxa de uso do corpus bibliográfico (Tranfield et al., 2003; Webster &amp; Watson, 2002). A partir dessas métricas é possível avaliar quantitativamente a utilização efetiva da base de referências e garantir que os estudos selecionados reflitam adequadamente o escopo temático da revisão.</w:t>
      </w:r>
    </w:p>
    <w:p w14:paraId="6032B750" w14:textId="77777777" w:rsidR="00AB40ED" w:rsidRDefault="00076324">
      <w:pPr>
        <w:pStyle w:val="Ttulo2"/>
      </w:pPr>
      <w:bookmarkStart w:id="12" w:name="X60ba370774735ab4dcbf3df0484936abf0a5e44"/>
      <w:bookmarkEnd w:id="11"/>
      <w:bookmarkEnd w:id="7"/>
      <w:r>
        <w:t>2.5 Segunda Fase: Análise Manual de Qualidade Metodológica</w:t>
      </w:r>
    </w:p>
    <w:p w14:paraId="6032B751" w14:textId="77777777" w:rsidR="00AB40ED" w:rsidRDefault="00076324">
      <w:r>
        <w:t>Na segunda fase, três revisores independentes avaliaram manualmente a qualidade metodológica dos estudos selecionados, assegurando análise multidisciplinar e reduzindo vieses interpretativos. Adaptamos a escala MMAT (Hong et al., 2018; Pluye et al., 2009) para estudos interdisciplinares envolvendo machine learning e sistemas de certificação geográfica, estruturando oito indicadores em escala Likert de 3 pontos. Os indicadores incluíram rigor metodológico, validação técnica dos algoritmos, aderência a protoc</w:t>
      </w:r>
      <w:r>
        <w:t>olos éticos para comunidades produtivas, reprodutibilidade dos experimentos, integração entre métodos quantitativos e qualitativos territoriais, impacto para sistemas de IG, documentação completa e generalizabilidade dos métodos (Tabela 2).</w:t>
      </w:r>
    </w:p>
    <w:p w14:paraId="6032B752" w14:textId="77777777" w:rsidR="00AB40ED" w:rsidRDefault="00076324">
      <w:pPr>
        <w:pStyle w:val="Corpodetexto"/>
      </w:pPr>
      <w:r>
        <w:lastRenderedPageBreak/>
        <w:t>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 (Surname &amp; Surname, 2025).</w:t>
      </w:r>
    </w:p>
    <w:tbl>
      <w:tblPr>
        <w:tblStyle w:val="Table"/>
        <w:tblW w:w="5000" w:type="pct"/>
        <w:tblLayout w:type="fixed"/>
        <w:tblLook w:val="0020" w:firstRow="1" w:lastRow="0" w:firstColumn="0" w:lastColumn="0" w:noHBand="0" w:noVBand="0"/>
      </w:tblPr>
      <w:tblGrid>
        <w:gridCol w:w="578"/>
        <w:gridCol w:w="6360"/>
        <w:gridCol w:w="1900"/>
      </w:tblGrid>
      <w:tr w:rsidR="00AB40ED" w14:paraId="6032B756" w14:textId="77777777" w:rsidTr="00AB40ED">
        <w:trPr>
          <w:tblHeader/>
        </w:trPr>
        <w:tc>
          <w:tcPr>
            <w:tcW w:w="518" w:type="dxa"/>
          </w:tcPr>
          <w:p w14:paraId="6032B753" w14:textId="77777777" w:rsidR="00AB40ED" w:rsidRDefault="00076324">
            <w:r>
              <w:t>Código</w:t>
            </w:r>
          </w:p>
        </w:tc>
        <w:tc>
          <w:tcPr>
            <w:tcW w:w="5699" w:type="dxa"/>
          </w:tcPr>
          <w:p w14:paraId="6032B754" w14:textId="77777777" w:rsidR="00AB40ED" w:rsidRDefault="00076324">
            <w:r>
              <w:t>Indicador</w:t>
            </w:r>
          </w:p>
        </w:tc>
        <w:tc>
          <w:tcPr>
            <w:tcW w:w="1702" w:type="dxa"/>
          </w:tcPr>
          <w:p w14:paraId="6032B755" w14:textId="77777777" w:rsidR="00AB40ED" w:rsidRDefault="00076324">
            <w:r>
              <w:t>Domínio</w:t>
            </w:r>
          </w:p>
        </w:tc>
      </w:tr>
      <w:tr w:rsidR="00AB40ED" w14:paraId="6032B75A" w14:textId="77777777">
        <w:tc>
          <w:tcPr>
            <w:tcW w:w="518" w:type="dxa"/>
          </w:tcPr>
          <w:p w14:paraId="6032B757" w14:textId="77777777" w:rsidR="00AB40ED" w:rsidRDefault="00076324">
            <w:r>
              <w:t>RIG</w:t>
            </w:r>
          </w:p>
        </w:tc>
        <w:tc>
          <w:tcPr>
            <w:tcW w:w="5699" w:type="dxa"/>
          </w:tcPr>
          <w:p w14:paraId="6032B758" w14:textId="77777777" w:rsidR="00AB40ED" w:rsidRDefault="00076324">
            <w:r>
              <w:t>Rigor metodológico na coleta e processamento de dados territoriais</w:t>
            </w:r>
          </w:p>
        </w:tc>
        <w:tc>
          <w:tcPr>
            <w:tcW w:w="1702" w:type="dxa"/>
          </w:tcPr>
          <w:p w14:paraId="6032B759" w14:textId="77777777" w:rsidR="00AB40ED" w:rsidRDefault="00076324">
            <w:r>
              <w:t>Qualidade Territorial</w:t>
            </w:r>
          </w:p>
        </w:tc>
      </w:tr>
      <w:tr w:rsidR="00AB40ED" w14:paraId="6032B75E" w14:textId="77777777">
        <w:tc>
          <w:tcPr>
            <w:tcW w:w="518" w:type="dxa"/>
          </w:tcPr>
          <w:p w14:paraId="6032B75B" w14:textId="77777777" w:rsidR="00AB40ED" w:rsidRDefault="00076324">
            <w:r>
              <w:t>VAL</w:t>
            </w:r>
          </w:p>
        </w:tc>
        <w:tc>
          <w:tcPr>
            <w:tcW w:w="5699" w:type="dxa"/>
          </w:tcPr>
          <w:p w14:paraId="6032B75C" w14:textId="77777777" w:rsidR="00AB40ED" w:rsidRDefault="00076324">
            <w:r>
              <w:t>Validação técnica dos algoritmos com métricas apropriadas</w:t>
            </w:r>
          </w:p>
        </w:tc>
        <w:tc>
          <w:tcPr>
            <w:tcW w:w="1702" w:type="dxa"/>
          </w:tcPr>
          <w:p w14:paraId="6032B75D" w14:textId="77777777" w:rsidR="00AB40ED" w:rsidRDefault="00076324">
            <w:r>
              <w:t>Qualidade Computacional</w:t>
            </w:r>
          </w:p>
        </w:tc>
      </w:tr>
      <w:tr w:rsidR="00AB40ED" w14:paraId="6032B762" w14:textId="77777777">
        <w:tc>
          <w:tcPr>
            <w:tcW w:w="518" w:type="dxa"/>
          </w:tcPr>
          <w:p w14:paraId="6032B75F" w14:textId="77777777" w:rsidR="00AB40ED" w:rsidRDefault="00076324">
            <w:r>
              <w:t>ETI</w:t>
            </w:r>
          </w:p>
        </w:tc>
        <w:tc>
          <w:tcPr>
            <w:tcW w:w="5699" w:type="dxa"/>
          </w:tcPr>
          <w:p w14:paraId="6032B760" w14:textId="77777777" w:rsidR="00AB40ED" w:rsidRDefault="00076324">
            <w:r>
              <w:t>Aderência a protocolos éticos para pesquisa com comunidades produtivas</w:t>
            </w:r>
          </w:p>
        </w:tc>
        <w:tc>
          <w:tcPr>
            <w:tcW w:w="1702" w:type="dxa"/>
          </w:tcPr>
          <w:p w14:paraId="6032B761" w14:textId="77777777" w:rsidR="00AB40ED" w:rsidRDefault="00076324">
            <w:r>
              <w:t>Qualidade Ética</w:t>
            </w:r>
          </w:p>
        </w:tc>
      </w:tr>
      <w:tr w:rsidR="00AB40ED" w14:paraId="6032B766" w14:textId="77777777">
        <w:tc>
          <w:tcPr>
            <w:tcW w:w="518" w:type="dxa"/>
          </w:tcPr>
          <w:p w14:paraId="6032B763" w14:textId="77777777" w:rsidR="00AB40ED" w:rsidRDefault="00076324">
            <w:r>
              <w:t>REP</w:t>
            </w:r>
          </w:p>
        </w:tc>
        <w:tc>
          <w:tcPr>
            <w:tcW w:w="5699" w:type="dxa"/>
          </w:tcPr>
          <w:p w14:paraId="6032B764" w14:textId="77777777" w:rsidR="00AB40ED" w:rsidRDefault="00076324">
            <w:r>
              <w:t>Reprodutibilidade dos experimentos computacionais</w:t>
            </w:r>
          </w:p>
        </w:tc>
        <w:tc>
          <w:tcPr>
            <w:tcW w:w="1702" w:type="dxa"/>
          </w:tcPr>
          <w:p w14:paraId="6032B765" w14:textId="77777777" w:rsidR="00AB40ED" w:rsidRDefault="00076324">
            <w:r>
              <w:t>Qualidade Técnica</w:t>
            </w:r>
          </w:p>
        </w:tc>
      </w:tr>
      <w:tr w:rsidR="00AB40ED" w14:paraId="6032B76A" w14:textId="77777777">
        <w:tc>
          <w:tcPr>
            <w:tcW w:w="518" w:type="dxa"/>
          </w:tcPr>
          <w:p w14:paraId="6032B767" w14:textId="77777777" w:rsidR="00AB40ED" w:rsidRDefault="00076324">
            <w:r>
              <w:t>INT</w:t>
            </w:r>
          </w:p>
        </w:tc>
        <w:tc>
          <w:tcPr>
            <w:tcW w:w="5699" w:type="dxa"/>
          </w:tcPr>
          <w:p w14:paraId="6032B768" w14:textId="77777777" w:rsidR="00AB40ED" w:rsidRDefault="00076324">
            <w:r>
              <w:t>Integração efetiva entre métodos quantitativos e qualitativos territoriais</w:t>
            </w:r>
          </w:p>
        </w:tc>
        <w:tc>
          <w:tcPr>
            <w:tcW w:w="1702" w:type="dxa"/>
          </w:tcPr>
          <w:p w14:paraId="6032B769" w14:textId="77777777" w:rsidR="00AB40ED" w:rsidRDefault="00076324">
            <w:r>
              <w:t>Qualidade Metodológica</w:t>
            </w:r>
          </w:p>
        </w:tc>
      </w:tr>
      <w:tr w:rsidR="00AB40ED" w14:paraId="6032B76E" w14:textId="77777777">
        <w:tc>
          <w:tcPr>
            <w:tcW w:w="518" w:type="dxa"/>
          </w:tcPr>
          <w:p w14:paraId="6032B76B" w14:textId="77777777" w:rsidR="00AB40ED" w:rsidRDefault="00076324">
            <w:r>
              <w:t>IMP</w:t>
            </w:r>
          </w:p>
        </w:tc>
        <w:tc>
          <w:tcPr>
            <w:tcW w:w="5699" w:type="dxa"/>
          </w:tcPr>
          <w:p w14:paraId="6032B76C" w14:textId="77777777" w:rsidR="00AB40ED" w:rsidRDefault="00076324">
            <w:r>
              <w:t>Impacto e aplicabilidade dos resultados para sistemas de IG</w:t>
            </w:r>
          </w:p>
        </w:tc>
        <w:tc>
          <w:tcPr>
            <w:tcW w:w="1702" w:type="dxa"/>
          </w:tcPr>
          <w:p w14:paraId="6032B76D" w14:textId="77777777" w:rsidR="00AB40ED" w:rsidRDefault="00076324">
            <w:r>
              <w:t>Qualidade Social</w:t>
            </w:r>
          </w:p>
        </w:tc>
      </w:tr>
      <w:tr w:rsidR="00AB40ED" w14:paraId="6032B772" w14:textId="77777777">
        <w:tc>
          <w:tcPr>
            <w:tcW w:w="518" w:type="dxa"/>
          </w:tcPr>
          <w:p w14:paraId="6032B76F" w14:textId="77777777" w:rsidR="00AB40ED" w:rsidRDefault="00076324">
            <w:r>
              <w:t>DOC</w:t>
            </w:r>
          </w:p>
        </w:tc>
        <w:tc>
          <w:tcPr>
            <w:tcW w:w="5699" w:type="dxa"/>
          </w:tcPr>
          <w:p w14:paraId="6032B770" w14:textId="77777777" w:rsidR="00AB40ED" w:rsidRDefault="00076324">
            <w:r>
              <w:t>Documentação completa dos algoritmos e procedimentos de certificação</w:t>
            </w:r>
          </w:p>
        </w:tc>
        <w:tc>
          <w:tcPr>
            <w:tcW w:w="1702" w:type="dxa"/>
          </w:tcPr>
          <w:p w14:paraId="6032B771" w14:textId="77777777" w:rsidR="00AB40ED" w:rsidRDefault="00076324">
            <w:r>
              <w:t>Qualidade Documental</w:t>
            </w:r>
          </w:p>
        </w:tc>
      </w:tr>
      <w:tr w:rsidR="00AB40ED" w14:paraId="6032B776" w14:textId="77777777">
        <w:tc>
          <w:tcPr>
            <w:tcW w:w="518" w:type="dxa"/>
          </w:tcPr>
          <w:p w14:paraId="6032B773" w14:textId="77777777" w:rsidR="00AB40ED" w:rsidRDefault="00076324">
            <w:r>
              <w:t>GEN</w:t>
            </w:r>
          </w:p>
        </w:tc>
        <w:tc>
          <w:tcPr>
            <w:tcW w:w="5699" w:type="dxa"/>
          </w:tcPr>
          <w:p w14:paraId="6032B774" w14:textId="77777777" w:rsidR="00AB40ED" w:rsidRDefault="00076324">
            <w:r>
              <w:t>Generalizabilidade e transferibilidade dos métodos propostos</w:t>
            </w:r>
          </w:p>
        </w:tc>
        <w:tc>
          <w:tcPr>
            <w:tcW w:w="1702" w:type="dxa"/>
          </w:tcPr>
          <w:p w14:paraId="6032B775" w14:textId="77777777" w:rsidR="00AB40ED" w:rsidRDefault="00076324">
            <w:r>
              <w:t>Qualidade Científica</w:t>
            </w:r>
          </w:p>
        </w:tc>
      </w:tr>
    </w:tbl>
    <w:p w14:paraId="6032B777" w14:textId="77777777" w:rsidR="00AB40ED" w:rsidRDefault="00076324">
      <w:pPr>
        <w:pStyle w:val="Corpodetexto"/>
      </w:pPr>
      <w:r>
        <w:rPr>
          <w:i/>
          <w:iCs/>
        </w:rPr>
        <w:t>Tabela 2. Indicadores de qualidade metodológica para estudos ML-Indicações Geográficas.</w:t>
      </w:r>
    </w:p>
    <w:p w14:paraId="6032B778" w14:textId="77777777" w:rsidR="00AB40ED" w:rsidRDefault="00076324">
      <w:pPr>
        <w:pStyle w:val="Ttulo3"/>
      </w:pPr>
      <w:bookmarkStart w:id="13" w:name="X26093f460acc1ad64d60305f75f283585ca96d1"/>
      <w:r>
        <w:t>2.5.1 Procedimentos de Consenso e Validação Interavaliadores</w:t>
      </w:r>
    </w:p>
    <w:p w14:paraId="6032B779" w14:textId="77777777" w:rsidR="00AB40ED" w:rsidRDefault="00076324">
      <w:r>
        <w:t>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w:t>
      </w:r>
      <w:r>
        <w:t>ssão fundamentada nos critérios estabelecidos, e decisão por maioria simples quando necessário. O coeficiente de correlação intraclasse (ICC) foi calculado conforme Shrout &amp; Fleiss (1979), obtendo-se valor igual a 0,87 com intervalo de confiança de 95% entre 0,84 e 0,91, indicando boa concordância.</w:t>
      </w:r>
    </w:p>
    <w:p w14:paraId="6032B77A" w14:textId="77777777" w:rsidR="00AB40ED" w:rsidRDefault="00076324">
      <w:pPr>
        <w:pStyle w:val="Ttulo3"/>
      </w:pPr>
      <w:bookmarkStart w:id="14" w:name="X70d12912f801c5a5a93265aac0cb875d994c51f"/>
      <w:bookmarkEnd w:id="13"/>
      <w:r>
        <w:t>2.5.2 Critérios Específicos para Estudos Interdisciplinares</w:t>
      </w:r>
    </w:p>
    <w:p w14:paraId="6032B77B" w14:textId="77777777" w:rsidR="00AB40ED" w:rsidRDefault="00076324">
      <w:r>
        <w:t xml:space="preserve">Considerando a natureza interdisciplinar dos estudos analisados, foram estabelecidos critérios de qualidade que examinam a coerência na integração entre </w:t>
      </w:r>
      <w:r>
        <w:lastRenderedPageBreak/>
        <w:t>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14:paraId="6032B77C" w14:textId="77777777" w:rsidR="00AB40ED" w:rsidRDefault="00076324">
      <w:pPr>
        <w:pStyle w:val="Corpodetexto"/>
      </w:pPr>
      <w:r>
        <w:t>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p w14:paraId="6032B77D" w14:textId="77777777" w:rsidR="00AB40ED" w:rsidRDefault="00076324">
      <w:pPr>
        <w:pStyle w:val="Ttulo2"/>
      </w:pPr>
      <w:bookmarkStart w:id="15" w:name="terceira-fase-análise-bibliométrica"/>
      <w:bookmarkEnd w:id="14"/>
      <w:bookmarkEnd w:id="12"/>
      <w:r>
        <w:t>2.6 Terceira Fase: Análise Bibliométrica</w:t>
      </w:r>
    </w:p>
    <w:p w14:paraId="6032B77E" w14:textId="77777777" w:rsidR="00AB40ED" w:rsidRDefault="00076324">
      <w:r>
        <w:t>Na terceira fase, foi analisada a produtividade científica através da Lei de Lotka (Lotka, 1926), que examina a distribuição de autores segundo o número de publicações. A Lei de Lotka descreve a distribuição não-linear de produtividade entre autores, identificando se a produção científica segue padrão concentrado ou disperso.</w:t>
      </w:r>
    </w:p>
    <w:p w14:paraId="6032B77F" w14:textId="77777777" w:rsidR="00AB40ED" w:rsidRDefault="00076324">
      <w:pPr>
        <w:pStyle w:val="Corpodetexto"/>
      </w:pPr>
      <w:r>
        <w:t>A análise de cocitação e acoplamento bibliográfico não foram realizadas devido à ausência de campos de referências citadas nos arquivos bibliográficos disponíveis.</w:t>
      </w:r>
    </w:p>
    <w:p w14:paraId="6032B780" w14:textId="77777777" w:rsidR="00AB40ED" w:rsidRDefault="00076324">
      <w:pPr>
        <w:pStyle w:val="Ttulo2"/>
      </w:pPr>
      <w:bookmarkStart w:id="16" w:name="Xa73ec537bdf1c61b8c1fa0323e31fabdcd8342f"/>
      <w:bookmarkEnd w:id="15"/>
      <w:r>
        <w:t>2.7 Quarta Fase: Síntese Qualitativa e Integração com Análise Documental</w:t>
      </w:r>
    </w:p>
    <w:p w14:paraId="6032B781" w14:textId="77777777" w:rsidR="00AB40ED" w:rsidRDefault="00076324">
      <w:r>
        <w:t>Na quarta fase, foram integrados sistematicamente os achados das fases anteriores com análise documental de marcos regulatórios, fundamentando as recomendações metodológicas da revisão.</w:t>
      </w:r>
    </w:p>
    <w:p w14:paraId="6032B782" w14:textId="77777777" w:rsidR="00AB40ED" w:rsidRDefault="00076324">
      <w:pPr>
        <w:pStyle w:val="Corpodetexto"/>
      </w:pPr>
      <w:r>
        <w:t>A síntese final combinou análise qualitativa temática com seleção baseada no princípio de Pareto (80/20), priorizando os 20% dos artigos com maior pontuação combinada (40% qualidade metodológica, 35% relevância temática, 25% impacto bibliométrico).</w:t>
      </w:r>
    </w:p>
    <w:p w14:paraId="6032B783" w14:textId="77777777" w:rsidR="00AB40ED" w:rsidRDefault="00076324">
      <w:pPr>
        <w:pStyle w:val="Corpodetexto"/>
      </w:pPr>
      <w:r>
        <w:t>A pontuação combinada final foi calculada pela Equação 2.</w:t>
      </w:r>
    </w:p>
    <w:p w14:paraId="6032B784" w14:textId="77777777" w:rsidR="00AB40ED" w:rsidRDefault="00076324">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6032B785" w14:textId="77777777" w:rsidR="00AB40ED" w:rsidRDefault="00076324">
      <w:r>
        <w:t>Onde:</w:t>
      </w:r>
    </w:p>
    <w:p w14:paraId="6032B786" w14:textId="77777777" w:rsidR="00AB40ED" w:rsidRDefault="00076324">
      <w:pPr>
        <w:numPr>
          <w:ilvl w:val="0"/>
          <w:numId w:val="26"/>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6032B787" w14:textId="77777777" w:rsidR="00AB40ED" w:rsidRDefault="00076324">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6032B788" w14:textId="77777777" w:rsidR="00AB40ED" w:rsidRDefault="00076324">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6032B789" w14:textId="77777777" w:rsidR="00AB40ED" w:rsidRDefault="00076324">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w:t>
      </w:r>
      <w:r>
        <w:t>= impacto bibliométrico normalizado (0-1)</w:t>
      </w:r>
    </w:p>
    <w:p w14:paraId="6032B78A" w14:textId="77777777" w:rsidR="00AB40ED" w:rsidRDefault="00076324">
      <w:pPr>
        <w:pStyle w:val="Ttulo2"/>
      </w:pPr>
      <w:bookmarkStart w:id="17" w:name="análises-estatísticas"/>
      <w:bookmarkEnd w:id="16"/>
      <w:r>
        <w:lastRenderedPageBreak/>
        <w:t>2.8 Análises Estatísticas</w:t>
      </w:r>
    </w:p>
    <w:p w14:paraId="6032B78B" w14:textId="77777777" w:rsidR="00AB40ED" w:rsidRDefault="00076324">
      <w:r>
        <w:t>Para caracterizar sistematicamente o corpus bibliográfico e identificar padrões emergentes, as análises estatísticas foram implementadas no ambiente R (R. C. Team, 2024) utilizando o RStudio (Rs. Team, 2023) e pacotes específicos. A Análise de Correspondência Múltipla (MCA) foi adotada para investigar associações entre variáveis categóricas (algoritmos, produtos, regiões, técnicas analíticas), conforme metodologia consolidada por Lê et al. (2008) e Greenacre (2017), utilizando o pacote FactoMineR para extra</w:t>
      </w:r>
      <w:r>
        <w:t>ção das dimensões principais e interpretação das relações conceituais da área. Com base nas mesmas variáveis, procedeu-se, em seguida, à Análise de Clusters (k-means e hierárquica), implementada com FactoMineR e factoextra, para identificar agrupamentos recorrentes de combinações produto‑instrumento‑algoritmo, que sintetizam as “famílias tecnológicas” discutidas na seção 3.8.</w:t>
      </w:r>
    </w:p>
    <w:p w14:paraId="6032B78C" w14:textId="77777777" w:rsidR="00AB40ED" w:rsidRDefault="00076324">
      <w:pPr>
        <w:pStyle w:val="Corpodetexto"/>
      </w:pPr>
      <w:r>
        <w:t>A análise de redes foi implementada para mapear coocorrências entre algoritmos, produtos e regiões, seguindo procedimentos de análise de redes complexas (Csárdi &amp; Nepusz, 2006; Schoch, 2020). Utilizando os pacotes igraph e ggraph, foi construído grafo não direcionado com cálculo de centralidades de grau, autovetor e intermediação, e a detecção de comunidades foi realizada com o algoritmo de Louvain (Blondel et al., 2008) para identificar módulos temáticos, cujos resultados estruturam as interpretações apres</w:t>
      </w:r>
      <w:r>
        <w:t>entadas na seção 3.9.</w:t>
      </w:r>
    </w:p>
    <w:p w14:paraId="6032B78D" w14:textId="77777777" w:rsidR="00AB40ED" w:rsidRDefault="00076324">
      <w:pPr>
        <w:pStyle w:val="Corpodetexto"/>
      </w:pPr>
      <w:r>
        <w:t>A evolução temporal das publicações (2010–2025) foi analisada por meio de séries temporais e tendência não paramétrica, empregando o teste de correlação de Spearman (Spearman, 1904) para detectar tendências significativas no número de estudos por ano e na adoção relativa dos principais algoritmos. As visualizações foram geradas com o pacote ggplot2, utilizando suavização LOESS (Cleveland, 1979) para ilustrar a dinâmica de crescimento do campo e a transição entre paradigmas algorítmicos.</w:t>
      </w:r>
    </w:p>
    <w:p w14:paraId="6032B78E" w14:textId="77777777" w:rsidR="00AB40ED" w:rsidRDefault="00076324">
      <w:pPr>
        <w:pStyle w:val="Corpodetexto"/>
      </w:pPr>
      <w:r>
        <w:t>Por fim, foram ajustados modelos preditivos globais para avaliar em que medida variáveis bibliométricas e metodológicas permitem antecipar um índice contínuo de pontuação dos estudos e uma classificação dicotômica entre trabalhos de alto e baixo score. Modelos de regressão (Mínimos Quadrados Ordinários, Ridge, Lasso e Random Forest) e de classificação (Regressão Logística e Random Forest) foram estimados com caret e randomForest, utilizando validação cruzada k-fold estratificada para controle de sobreajuste</w:t>
      </w:r>
      <w:r>
        <w:t xml:space="preserve">. O desempenho foi avaliado por RMSE 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na regressão, e por acurácia, precisão, sensibilidade e F1-score na classificação, em consonância com os resultados discutidos na seção 3.7.</w:t>
      </w:r>
    </w:p>
    <w:p w14:paraId="6032B78F" w14:textId="77777777" w:rsidR="00AB40ED" w:rsidRDefault="00076324">
      <w:pPr>
        <w:pStyle w:val="Ttulo3"/>
      </w:pPr>
      <w:bookmarkStart w:id="18" w:name="análise-de-correspondência-múltipla-mca"/>
      <w:r>
        <w:lastRenderedPageBreak/>
        <w:t>2.8.1 Análise de Correspondência Múltipla (MCA)</w:t>
      </w:r>
    </w:p>
    <w:p w14:paraId="6032B790" w14:textId="77777777" w:rsidR="00AB40ED" w:rsidRDefault="00076324">
      <w:r>
        <w:t>A Análise de Correspondência Múltipla (MCA) foi adotada para investigar associações entre as variáveis categóricas (algoritmos, produtos, regiões, etc.), conforme metodologia consolidada por Lê et al. (2008) e Greenacre (2017). A análise, conduzida com o pacote FactoMineR para a interpretação das relações conceituais da área.</w:t>
      </w:r>
    </w:p>
    <w:p w14:paraId="6032B791" w14:textId="77777777" w:rsidR="00AB40ED" w:rsidRDefault="00076324">
      <w:pPr>
        <w:pStyle w:val="Ttulo3"/>
      </w:pPr>
      <w:bookmarkStart w:id="19" w:name="análise-de-redes-network-analysis"/>
      <w:bookmarkEnd w:id="18"/>
      <w:r>
        <w:t>2.8.2 Análise de Redes (Network Analysis)</w:t>
      </w:r>
    </w:p>
    <w:p w14:paraId="6032B792" w14:textId="77777777" w:rsidR="00AB40ED" w:rsidRDefault="00076324">
      <w:r>
        <w:t>A análise de redes foi implementada para mapear co-ocorrências entre algoritmos, produtos e regiões, seguindo procedimentos de análise de redes complexas (Csárdi &amp; Nepusz, 2006; Schoch, 2020). Utilizando os pacotes igraph e ggraph, foi construído um grafo não-direcionado ponderado, onde os nós representam entidades (algoritmos, instrumentos analíticos, produtos e regiões) e as arestas indicam co-ocorrência nos estudos, com pesos proporcionais à frequência de co-ocorrência. Foram calculadas métricas de centr</w:t>
      </w:r>
      <w:r>
        <w:t>alidade (grau, intermediação e autovetor) para identificar elementos estruturalmente centrais na rede de conhecimento do campo.</w:t>
      </w:r>
    </w:p>
    <w:p w14:paraId="6032B793" w14:textId="77777777" w:rsidR="00AB40ED" w:rsidRDefault="00076324">
      <w:pPr>
        <w:pStyle w:val="Corpodetexto"/>
      </w:pPr>
      <w:r>
        <w:t>A detecção de comunidades foi realizada com o algoritmo de Louvain (Blondel et al., 2008), método hierárquico baseado em otimização da modularidade que identifica partições da rede maximizando a densidade de conexões intra-módulo. A estrutura modular resultante foi interpretada como módulos tecnológicos temáticos, cujos resultados estruturam as interpretações apresentadas na seção 3.9.</w:t>
      </w:r>
    </w:p>
    <w:p w14:paraId="6032B794" w14:textId="77777777" w:rsidR="00AB40ED" w:rsidRDefault="00076324">
      <w:pPr>
        <w:pStyle w:val="Ttulo3"/>
      </w:pPr>
      <w:bookmarkStart w:id="20" w:name="análise-temporal"/>
      <w:bookmarkEnd w:id="19"/>
      <w:r>
        <w:t>2.8.3 Análise Temporal</w:t>
      </w:r>
    </w:p>
    <w:p w14:paraId="6032B795" w14:textId="77777777" w:rsidR="00AB40ED" w:rsidRDefault="00076324">
      <w:r>
        <w:t>A evolução temporal das publicações (2010–2025) foi analisada por meio de séries temporais, empregando o teste de correlação de Spearman (Spearman, 1904) para detectar tendências significativas. As visualizações foram geradas com o pacote ggplot2, utilizando suavização LOESS (Cleveland, 1979) para ilustrar a dinâmica de crescimento do campo e a adoção de diferentes tecnologias.</w:t>
      </w:r>
    </w:p>
    <w:p w14:paraId="6032B796" w14:textId="77777777" w:rsidR="00AB40ED" w:rsidRDefault="00076324">
      <w:pPr>
        <w:pStyle w:val="Ttulo1"/>
      </w:pPr>
      <w:bookmarkStart w:id="21" w:name="resultados-e-discussão"/>
      <w:bookmarkEnd w:id="20"/>
      <w:bookmarkEnd w:id="17"/>
      <w:bookmarkEnd w:id="2"/>
      <w:r>
        <w:t>3. Resultados e Discussão</w:t>
      </w:r>
    </w:p>
    <w:p w14:paraId="6032B797" w14:textId="77777777" w:rsidR="00AB40ED" w:rsidRDefault="00076324">
      <w:pPr>
        <w:pStyle w:val="Ttulo2"/>
      </w:pPr>
      <w:bookmarkStart w:id="22" w:name="síntese-executiva-da-revisão-de-escopo"/>
      <w:r>
        <w:t>3.1 Síntese Executiva da Revisão de Escopo</w:t>
      </w:r>
    </w:p>
    <w:p w14:paraId="6032B798" w14:textId="77777777" w:rsidR="00AB40ED" w:rsidRDefault="00076324">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w:t>
      </w:r>
      <w:r>
        <w:t xml:space="preserve">recente: 68% das publicações concentram-se em </w:t>
      </w:r>
      <w:r>
        <w:lastRenderedPageBreak/>
        <w:t>2021-2025, indicando convergência entre certificação territorial e transformação digital, acompanhando tendências globais de inovação em sistemas agroalimentares (Hu et al., 2024).</w:t>
      </w:r>
    </w:p>
    <w:p w14:paraId="6032B799" w14:textId="77777777" w:rsidR="00AB40ED" w:rsidRDefault="00076324">
      <w:bookmarkStart w:id="23" w:name="fig:prisma2020"/>
      <w:r>
        <w:rPr>
          <w:noProof/>
        </w:rPr>
        <w:drawing>
          <wp:inline distT="0" distB="0" distL="0" distR="0" wp14:anchorId="6032B8E9" wp14:editId="6032B8EA">
            <wp:extent cx="4480560" cy="2473085"/>
            <wp:effectExtent l="0" t="0" r="0" b="0"/>
            <wp:docPr id="42"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43" name="Picture" descr="2-FIGURAS/2-EN/prisma_flowdiagram.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p>
    <w:p w14:paraId="6032B79A" w14:textId="77777777" w:rsidR="00AB40ED" w:rsidRDefault="00076324">
      <w:r>
        <w:t>Fluxograma da revisão de Escopo sobre Aplicações de Machine Learning em Indicações Geográficas.</w:t>
      </w:r>
    </w:p>
    <w:bookmarkEnd w:id="23"/>
    <w:p w14:paraId="6032B79B" w14:textId="77777777" w:rsidR="00AB40ED" w:rsidRDefault="00076324">
      <w:pPr>
        <w:pStyle w:val="Corpodetexto"/>
      </w:pPr>
      <w:r>
        <w:t>A filtragem automatizada por análise semântica e pontuação,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 (Ofori-Boateng et al., 2024). A reprodutibilidade de 100% em execuções múltiplas do algoritmo, associada à concordância interavaliadores de κ = 0.8</w:t>
      </w:r>
      <w:r>
        <w:t>9, garante que os achados refletem, com alta confiabilidade, o estado atual da literatura científica neste domínio.</w:t>
      </w:r>
    </w:p>
    <w:p w14:paraId="6032B79C" w14:textId="77777777" w:rsidR="00AB40ED" w:rsidRDefault="00076324">
      <w:pPr>
        <w:pStyle w:val="Corpodetexto"/>
      </w:pPr>
      <w:r>
        <w:t>A avaliação manual de qualidade metodológica alcançou coeficiente de correlação intraclasse (ICC), de 0,87 (intervalo de confiança de 95%: 0,84–0,91), confirmando boa concordância entre avaliadores e legitimando os critérios de inclusão utilizados (Streiner &amp; Norman, 2008). Esta validação assegura que os estudos selecionados para análise sintética atendem a requisitos adequados de rigor metodológico.</w:t>
      </w:r>
    </w:p>
    <w:p w14:paraId="6032B79D" w14:textId="77777777" w:rsidR="00AB40ED" w:rsidRDefault="00076324">
      <w:pPr>
        <w:pStyle w:val="Ttulo2"/>
      </w:pPr>
      <w:bookmarkStart w:id="24" w:name="X436b3ae93799519be02fd9051a8c628a7b063c7"/>
      <w:bookmarkEnd w:id="22"/>
      <w:r>
        <w:t>3.2 Análise Estrutural e Temporal do Corpus Científico</w:t>
      </w:r>
    </w:p>
    <w:p w14:paraId="6032B79E" w14:textId="77777777" w:rsidR="00AB40ED" w:rsidRDefault="00076324">
      <w:r>
        <w:t xml:space="preserve">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w:t>
      </w:r>
      <w:r>
        <w:lastRenderedPageBreak/>
        <w:t>com a alta dimensionalidade do corpus analisado (148 estudos, 33 variáveis categóricas binárias), indicando uma estrutura conceitual diversificada no campo (Figura 3).</w:t>
      </w:r>
    </w:p>
    <w:p w14:paraId="6032B79F" w14:textId="77777777" w:rsidR="00AB40ED" w:rsidRDefault="00076324">
      <w:bookmarkStart w:id="25" w:name="fig:mca_temporal"/>
      <w:r>
        <w:rPr>
          <w:noProof/>
        </w:rPr>
        <w:drawing>
          <wp:inline distT="0" distB="0" distL="0" distR="0" wp14:anchorId="6032B8EB" wp14:editId="6032B8EC">
            <wp:extent cx="4480560" cy="3200206"/>
            <wp:effectExtent l="0" t="0" r="0" b="0"/>
            <wp:docPr id="47" name="Picture" descr="Biplot de Análise de Correspondência Múltipla (ACM) sobre a evolução temporal das aplicações de ML para autenticação de indicações geográficas (2010-2025)."/>
            <wp:cNvGraphicFramePr/>
            <a:graphic xmlns:a="http://schemas.openxmlformats.org/drawingml/2006/main">
              <a:graphicData uri="http://schemas.openxmlformats.org/drawingml/2006/picture">
                <pic:pic xmlns:pic="http://schemas.openxmlformats.org/drawingml/2006/picture">
                  <pic:nvPicPr>
                    <pic:cNvPr id="48" name="Picture" descr="2-FIGURAS/2-EN/mca_biplot_temporal_completo.png"/>
                    <pic:cNvPicPr>
                      <a:picLocks noChangeAspect="1" noChangeArrowheads="1"/>
                    </pic:cNvPicPr>
                  </pic:nvPicPr>
                  <pic:blipFill>
                    <a:blip r:embed="rId7"/>
                    <a:stretch>
                      <a:fillRect/>
                    </a:stretch>
                  </pic:blipFill>
                  <pic:spPr bwMode="auto">
                    <a:xfrm>
                      <a:off x="0" y="0"/>
                      <a:ext cx="4480560" cy="3200206"/>
                    </a:xfrm>
                    <a:prstGeom prst="rect">
                      <a:avLst/>
                    </a:prstGeom>
                    <a:noFill/>
                    <a:ln w="9525">
                      <a:noFill/>
                      <a:headEnd/>
                      <a:tailEnd/>
                    </a:ln>
                  </pic:spPr>
                </pic:pic>
              </a:graphicData>
            </a:graphic>
          </wp:inline>
        </w:drawing>
      </w:r>
    </w:p>
    <w:p w14:paraId="6032B7A0" w14:textId="77777777" w:rsidR="00AB40ED" w:rsidRDefault="00076324">
      <w:r>
        <w:t>Biplot de Análise de Correspondência Múltipla (ACM) sobre a evolução temporal das aplicações de ML para autenticação de indicações geográficas (2010-2025).</w:t>
      </w:r>
    </w:p>
    <w:bookmarkEnd w:id="25"/>
    <w:p w14:paraId="6032B7A1" w14:textId="77777777" w:rsidR="00AB40ED" w:rsidRDefault="00076324">
      <w:pPr>
        <w:pStyle w:val="Corpodetexto"/>
      </w:pPr>
      <w:r>
        <w:rPr>
          <w:i/>
          <w:iCs/>
        </w:rPr>
        <w:t>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w:t>
      </w:r>
      <w:r>
        <w:rPr>
          <w:i/>
          <w:iCs/>
        </w:rPr>
        <w:t>xibidos sobre os pontos correspondentes. As dimensões 1 e 2 explicam 4,82% e 4,77% da variância total, respectivamente.</w:t>
      </w:r>
    </w:p>
    <w:p w14:paraId="6032B7A2" w14:textId="77777777" w:rsidR="00AB40ED" w:rsidRDefault="00076324">
      <w:pPr>
        <w:pStyle w:val="Corpodetexto"/>
      </w:pPr>
      <w:r>
        <w:t>Como pode ser visto na Figura 3, 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 (Mohammadi et al., 2024; Rebiai et al., 2022). O período intermediário (2019–2021) marca uma transição, na qual a democratização de ferramentas de ML e o a</w:t>
      </w:r>
      <w:r>
        <w:t xml:space="preserve">cesso ampliado a técnicas analíticas avançadas favorecem a diversificação de produtos (incluindo chás e plantas medicinais asiáticos) e a adoção gradual de algoritmos como Random Forest e redes neurais (Liakos et al., 2018). A fase recente (2022–2025), que concentra 64% do </w:t>
      </w:r>
      <w:r>
        <w:lastRenderedPageBreak/>
        <w:t xml:space="preserve">corpus, corresponde a uma expansão rápida e heterogênea, com crescimento das aplicações de Deep Learning, metabolômica </w:t>
      </w:r>
      <w:r>
        <w:rPr>
          <w:i/>
          <w:iCs/>
        </w:rPr>
        <w:t>untargeted</w:t>
      </w:r>
      <w:r>
        <w:t xml:space="preserve">, abordagens multimodais e estratégias de transfer learning (Feng et al., 2025; He et al., 2024; Liu et al., </w:t>
      </w:r>
      <w:r>
        <w:t>2025; Peng et al., 2025; Wang et al., 2021). A Figura 4 apresenta a análise de redes de co-ocorrência.</w:t>
      </w:r>
    </w:p>
    <w:p w14:paraId="6032B7A3" w14:textId="77777777" w:rsidR="00AB40ED" w:rsidRDefault="00076324">
      <w:pPr>
        <w:pStyle w:val="Corpodetexto"/>
      </w:pPr>
      <w:bookmarkStart w:id="26" w:name="fig:network_analysiss"/>
      <w:r>
        <w:rPr>
          <w:noProof/>
        </w:rPr>
        <w:drawing>
          <wp:inline distT="0" distB="0" distL="0" distR="0" wp14:anchorId="6032B8ED" wp14:editId="6032B8EE">
            <wp:extent cx="5600700" cy="2115405"/>
            <wp:effectExtent l="0" t="0" r="0" b="0"/>
            <wp:docPr id="51" name="Picture" descr="Análise de Redes de Co-ocorrência. (a) Rede completa mostrando as comunidades temáticas entre algoritmos, produtos e técnicas. (b) Rede focada na co-ocorrência entre algoritmos de ML e produtos."/>
            <wp:cNvGraphicFramePr/>
            <a:graphic xmlns:a="http://schemas.openxmlformats.org/drawingml/2006/main">
              <a:graphicData uri="http://schemas.openxmlformats.org/drawingml/2006/picture">
                <pic:pic xmlns:pic="http://schemas.openxmlformats.org/drawingml/2006/picture">
                  <pic:nvPicPr>
                    <pic:cNvPr id="52" name="Picture" descr="2-FIGURAS/2-EN/network_centrality_metrics.png"/>
                    <pic:cNvPicPr>
                      <a:picLocks noChangeAspect="1" noChangeArrowheads="1"/>
                    </pic:cNvPicPr>
                  </pic:nvPicPr>
                  <pic:blipFill>
                    <a:blip r:embed="rId8"/>
                    <a:stretch>
                      <a:fillRect/>
                    </a:stretch>
                  </pic:blipFill>
                  <pic:spPr bwMode="auto">
                    <a:xfrm>
                      <a:off x="0" y="0"/>
                      <a:ext cx="5600700" cy="2115405"/>
                    </a:xfrm>
                    <a:prstGeom prst="rect">
                      <a:avLst/>
                    </a:prstGeom>
                    <a:noFill/>
                    <a:ln w="9525">
                      <a:noFill/>
                      <a:headEnd/>
                      <a:tailEnd/>
                    </a:ln>
                  </pic:spPr>
                </pic:pic>
              </a:graphicData>
            </a:graphic>
          </wp:inline>
        </w:drawing>
      </w:r>
      <w:bookmarkEnd w:id="26"/>
      <w:r>
        <w:t xml:space="preserve"> {#fig:network_analysis_B}</w:t>
      </w:r>
    </w:p>
    <w:p w14:paraId="6032B7A4" w14:textId="77777777" w:rsidR="00AB40ED" w:rsidRDefault="00076324">
      <w:pPr>
        <w:pStyle w:val="Corpodetexto"/>
      </w:pPr>
      <w:r>
        <w:t xml:space="preserve">A dinâmica temporal da produção científica (Figura 5 (a)) revela crescimento exponencial superior a 400% entre 2018 e 2024, reflexo da democratização de ferramentas de ML e da expansão de técnicas analíticas de alta performance (Liakos et al., 2018). Paralelamente, a transição paradigmática nos algoritmos empregados (Figura 5 (b)) evidencia a substituição gradual de métodos quimiométricos clássicos (PLS-DA, predominante até 2018) por algoritmos com maior capacidade preditiva e flexibilidade (Random Forest, </w:t>
      </w:r>
      <w:r>
        <w:t>SVM a partir de 2019), culminando na emergência de Deep Learning e CNNs após 2022, voltados ao processamento de dados hiperespectrais e não estruturados (Lavine &amp; Workman, 2005; Shah et al., 2019).</w:t>
      </w:r>
    </w:p>
    <w:p w14:paraId="6032B7A5" w14:textId="77777777" w:rsidR="00AB40ED" w:rsidRDefault="00076324">
      <w:bookmarkStart w:id="27" w:name="fig:temporal_algoritmos"/>
      <w:r>
        <w:rPr>
          <w:noProof/>
        </w:rPr>
        <w:drawing>
          <wp:inline distT="0" distB="0" distL="0" distR="0" wp14:anchorId="6032B8EF" wp14:editId="6032B8F0">
            <wp:extent cx="4480560" cy="1340935"/>
            <wp:effectExtent l="0" t="0" r="0" b="0"/>
            <wp:docPr id="55" name="Picture" descr="Evolução temporal de (a) número de publicações e (b) adoção dos principais algoritmos de Machine Learning em estudos de IGs."/>
            <wp:cNvGraphicFramePr/>
            <a:graphic xmlns:a="http://schemas.openxmlformats.org/drawingml/2006/main">
              <a:graphicData uri="http://schemas.openxmlformats.org/drawingml/2006/picture">
                <pic:pic xmlns:pic="http://schemas.openxmlformats.org/drawingml/2006/picture">
                  <pic:nvPicPr>
                    <pic:cNvPr id="56" name="Picture" descr="2-FIGURAS/2-EN/evolucao_temporal.png"/>
                    <pic:cNvPicPr>
                      <a:picLocks noChangeAspect="1" noChangeArrowheads="1"/>
                    </pic:cNvPicPr>
                  </pic:nvPicPr>
                  <pic:blipFill>
                    <a:blip r:embed="rId9"/>
                    <a:stretch>
                      <a:fillRect/>
                    </a:stretch>
                  </pic:blipFill>
                  <pic:spPr bwMode="auto">
                    <a:xfrm>
                      <a:off x="0" y="0"/>
                      <a:ext cx="4480560" cy="1340935"/>
                    </a:xfrm>
                    <a:prstGeom prst="rect">
                      <a:avLst/>
                    </a:prstGeom>
                    <a:noFill/>
                    <a:ln w="9525">
                      <a:noFill/>
                      <a:headEnd/>
                      <a:tailEnd/>
                    </a:ln>
                  </pic:spPr>
                </pic:pic>
              </a:graphicData>
            </a:graphic>
          </wp:inline>
        </w:drawing>
      </w:r>
    </w:p>
    <w:p w14:paraId="6032B7A6" w14:textId="77777777" w:rsidR="00AB40ED" w:rsidRDefault="00076324">
      <w:r>
        <w:t>Evolução temporal de (a) número de publicações e (b) adoção dos principais algoritmos de Machine Learning em estudos de IGs.</w:t>
      </w:r>
    </w:p>
    <w:p w14:paraId="6032B7A7" w14:textId="77777777" w:rsidR="00AB40ED" w:rsidRDefault="00076324">
      <w:pPr>
        <w:pStyle w:val="Ttulo2"/>
      </w:pPr>
      <w:bookmarkStart w:id="28" w:name="X5c2d1980a76d19469d70002b9df752d0e93c628"/>
      <w:bookmarkEnd w:id="27"/>
      <w:bookmarkEnd w:id="24"/>
      <w:r>
        <w:t>3.3 Domínios de Aplicação, Produtos e Padrões de Distribuição Geográfica</w:t>
      </w:r>
    </w:p>
    <w:p w14:paraId="6032B7A8" w14:textId="77777777" w:rsidR="00AB40ED" w:rsidRDefault="00076324">
      <w:r>
        <w:t xml:space="preserve">A análise do corpus revelou que as aplicações de Machine Learning em Indicações Geográficas concentram-se predominantemente em produtos agroalimentares, com </w:t>
      </w:r>
      <w:r>
        <w:lastRenderedPageBreak/>
        <w:t>ênfase em bebidas alcoólicas, carnes processadas e produtos agrícolas especializados (Apêndice A, Tabela A.1). Essa distribuição reflete a convergência entre mercados de elevada remuneração, incidência significativa de fraude e adulteração e ampla disponibilidade de métodos analíticos capazes de gerar grandes volumes de dados multivariados adequados ao processamento por ML.</w:t>
      </w:r>
    </w:p>
    <w:p w14:paraId="6032B7A9" w14:textId="77777777" w:rsidR="00AB40ED" w:rsidRDefault="00076324">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 </w:t>
      </w:r>
      <w:r>
        <w:rPr>
          <w:i/>
          <w:iCs/>
        </w:rPr>
        <w:t>fingerprinting</w:t>
      </w:r>
      <w:r>
        <w:t xml:space="preserve"> metabolômico e análise de traços elementares, demonstrando que o perfil químico dessas bebidas está intimamente associado às condições geográficas de produção e a fatores ambientais do terroir (Ramos et al., 2025; Xu et al., 2021). Carnes e produtos cárneos (por exemplo, cordeiro de regiões específicas e presunto de Jinhua) configuram um segundo bloco relevante, no qual a discriminação de origem se baseia sobretudo em assinaturas elementares e isotópicas processadas por algoritmos como Random</w:t>
      </w:r>
      <w:r>
        <w:t xml:space="preserve"> Forest e SVM (R. C. Chen et al., 2020).</w:t>
      </w:r>
    </w:p>
    <w:p w14:paraId="6032B7AA" w14:textId="77777777" w:rsidR="00AB40ED" w:rsidRDefault="00076324">
      <w:pPr>
        <w:pStyle w:val="Corpodetexto"/>
      </w:pPr>
      <w:r>
        <w:t xml:space="preserve">Segmentos como frutas, hortaliças e plantas medicinais expandem esse quadro para uma diversidade maior de matrizes. Em frutas e hortaliças, o ML é empregado para rastrear origem a partir de </w:t>
      </w:r>
      <w:r>
        <w:rPr>
          <w:i/>
          <w:iCs/>
        </w:rPr>
        <w:t>fingerprints</w:t>
      </w:r>
      <w:r>
        <w:t xml:space="preserve"> metabólicos e perfis nutricionais, explorando a hipótese de que a assinatura bioquímica dos produtos reflete condições edafoclimáticas específicas (Luan et al., 2020; Peng et al., 2025). No caso de plantas medicinais como o </w:t>
      </w:r>
      <w:r>
        <w:rPr>
          <w:i/>
          <w:iCs/>
        </w:rPr>
        <w:t>Panax notoginseng</w:t>
      </w:r>
      <w:r>
        <w:t>, a certificação de origem relaciona-se também à potência farmacológica, reforçando o vínculo entre localização geográfica, composição bioativa e valor agregado (Feng et al., 2025).</w:t>
      </w:r>
    </w:p>
    <w:p w14:paraId="6032B7AB" w14:textId="77777777" w:rsidR="00AB40ED" w:rsidRDefault="00076324">
      <w:pPr>
        <w:pStyle w:val="Corpodetexto"/>
      </w:pPr>
      <w:r>
        <w:t>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 (Wang et al., 2025) e, por outro, a consolidação de infraestrutura analítica em contextos europeus. Para o Brasil, essa assimetria evidencia uma lacuna e, simultaneamente, uma oportunidade estratégica</w:t>
      </w:r>
      <w:r>
        <w:t xml:space="preserve"> para desenvolver aplicações de ML voltadas à proteção e valorização de IGs nacionais.</w:t>
      </w:r>
    </w:p>
    <w:p w14:paraId="6032B7AC" w14:textId="77777777" w:rsidR="00AB40ED" w:rsidRDefault="00076324">
      <w:pPr>
        <w:pStyle w:val="Ttulo3"/>
      </w:pPr>
      <w:bookmarkStart w:id="29" w:name="análise-bibliométrica"/>
      <w:r>
        <w:t>3.3.1 Análise Bibliométrica</w:t>
      </w:r>
    </w:p>
    <w:p w14:paraId="6032B7AD" w14:textId="77777777" w:rsidR="00AB40ED" w:rsidRDefault="00076324">
      <w:r>
        <w:t xml:space="preserve">A Lei de Lotka,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w:t>
      </w:r>
      <w:r>
        <w:lastRenderedPageBreak/>
        <w:t>produtividade em poucos autores. Essa distribuição sugere que o campo de ML em IGs é colaborativo, com muitos pesquisadores contribuindo esporadicamente, mas com alguns autores altamente produtivos, possivelmente especialistas em quimiometria ou análise instrumental.</w:t>
      </w:r>
    </w:p>
    <w:p w14:paraId="6032B7AE" w14:textId="77777777" w:rsidR="00AB40ED" w:rsidRDefault="00076324">
      <w:pPr>
        <w:pStyle w:val="Corpodetexto"/>
      </w:pPr>
      <w:r>
        <w:t>A aplicação do princípio de Pareto (80/20) resultou na seleção dos 20% dos artigos com maior pontuação combinada, calculada pela Equação 6 (40% qualidade metodológica, 35% relevância temática, 25% impacto bibliométrico). A Tabela A.2 (Apêndice A) apresenta os 10 artigos selecionados com maior pontuação.</w:t>
      </w:r>
    </w:p>
    <w:p w14:paraId="6032B7AF" w14:textId="77777777" w:rsidR="00AB40ED" w:rsidRDefault="00076324">
      <w:pPr>
        <w:pStyle w:val="Ttulo2"/>
      </w:pPr>
      <w:bookmarkStart w:id="30" w:name="técnicas-de-machine-learning-empregadas"/>
      <w:bookmarkEnd w:id="29"/>
      <w:bookmarkEnd w:id="28"/>
      <w:r>
        <w:t>3.4 Técnicas de Machine Learning Empregadas</w:t>
      </w:r>
    </w:p>
    <w:p w14:paraId="6032B7B0" w14:textId="77777777" w:rsidR="00AB40ED" w:rsidRDefault="00076324">
      <w:pPr>
        <w:pStyle w:val="Ttulo2"/>
      </w:pPr>
      <w:bookmarkStart w:id="31" w:name="X4964c4b002a6bcd9bc0fc69dad95c4397d6031b"/>
      <w:bookmarkEnd w:id="30"/>
      <w:r>
        <w:t>3.5 O Ecossistema Algorítmico na Autenticação de IGs</w:t>
      </w:r>
    </w:p>
    <w:p w14:paraId="6032B7B1" w14:textId="77777777" w:rsidR="00AB40ED" w:rsidRDefault="00076324">
      <w:r>
        <w:t xml:space="preserve">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 Xu et al. (2021) empregaram Random </w:t>
      </w:r>
      <w:r>
        <w:t>Forest para discriminar a origem de vinhos a partir de perfis elementares, alcançando acurácia superior a 95%, enquanto Mohammadi et al. (2024) integraram SVM com kernel RBF para autenticar azeites a partir de espectroscopia NIR em um cenário de alta dimensionalidade.</w:t>
      </w:r>
    </w:p>
    <w:p w14:paraId="6032B7B2" w14:textId="77777777" w:rsidR="00AB40ED" w:rsidRDefault="00076324">
      <w:pPr>
        <w:pStyle w:val="Corpodetexto"/>
      </w:pPr>
      <w:r>
        <w:t xml:space="preserve">Do ponto de vista funcional, esses modelos podem ser entendidos como dispositivos que transformam vetores de características </w:t>
      </w:r>
      <m:oMath>
        <m:r>
          <w:rPr>
            <w:rFonts w:ascii="Cambria Math" w:hAnsi="Cambria Math"/>
          </w:rP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r>
          <w:rPr>
            <w:rFonts w:ascii="Cambria Math" w:hAnsi="Cambria Math"/>
          </w:rPr>
          <m:t>b</m:t>
        </m:r>
      </m:oMath>
      <w:r>
        <w:t>, na qual a combinação ponderada das variáveis (</w:t>
      </w:r>
      <m:oMath>
        <m:r>
          <w:rPr>
            <w:rFonts w:ascii="Cambria Math" w:hAnsi="Cambria Math"/>
          </w:rPr>
          <m:t>w</m:t>
        </m:r>
      </m:oMath>
      <w:r>
        <w:t xml:space="preserve">) 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 </w:t>
      </w:r>
      <m:oMath>
        <m:r>
          <w:rPr>
            <w:rFonts w:ascii="Cambria Math" w:hAnsi="Cambria Math"/>
          </w:rPr>
          <m:t>w</m:t>
        </m:r>
      </m:oMath>
      <w:r>
        <w:t xml:space="preserve"> como vetor que concentra os pesos das evidências analíticas em favor de cada origem.</w:t>
      </w:r>
    </w:p>
    <w:p w14:paraId="6032B7B3" w14:textId="77777777" w:rsidR="00AB40ED" w:rsidRDefault="00076324">
      <w:pPr>
        <w:pStyle w:val="Corpodetexto"/>
      </w:pPr>
      <w:r>
        <w:t>O uso amplo do Random Forest decorre de sua capacidade de modelar interações não lineares em dados multivariados, lidar com classes desbalanceadas e, sobretudo, fornecer medidas de importância de variáveis (VIM) que permitem identificar marcadores territoriais com valor regulatório (</w:t>
      </w:r>
      <w:r>
        <w:rPr>
          <w:b/>
          <w:bCs/>
        </w:rPr>
        <w:t>Zhang2025MRF?</w:t>
      </w:r>
      <w:r>
        <w:t xml:space="preserve">). Em termos formais, </w:t>
      </w:r>
      <w:r>
        <w:lastRenderedPageBreak/>
        <w:t xml:space="preserve">esses modelos operam como comitês de classificadores </w:t>
      </w:r>
      <m:oMath>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agregados em uma decisão final </w:t>
      </w:r>
      <m:oMath>
        <m:acc>
          <m:accPr>
            <m:ctrlPr>
              <w:rPr>
                <w:rFonts w:ascii="Cambria Math" w:hAnsi="Cambria Math"/>
              </w:rPr>
            </m:ctrlPr>
          </m:accPr>
          <m:e>
            <m:r>
              <w:rPr>
                <w:rFonts w:ascii="Cambria Math" w:hAnsi="Cambria Math"/>
              </w:rPr>
              <m:t>y</m:t>
            </m:r>
          </m:e>
        </m:acc>
        <m:r>
          <m:rPr>
            <m:sty m:val="p"/>
          </m:rPr>
          <w:rPr>
            <w:rFonts w:ascii="Cambria Math" w:hAnsi="Cambria Math"/>
          </w:rPr>
          <m:t>=agg(</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usualmente por maioria de votos ou média de probabilidades (Cornelio et al., 2019). Em estudos como Y. Li et al. (2025), essa arquitetura de comitê foi explorada para isolar subconjuntos de variáveis químicas e elementares que sustentam, de forma transparente, alegações de autenticidade geográfica, uma vez que as VIM indicam quais componentes de </w:t>
      </w:r>
      <m:oMath>
        <m:r>
          <w:rPr>
            <w:rFonts w:ascii="Cambria Math" w:hAnsi="Cambria Math"/>
          </w:rPr>
          <m:t>x</m:t>
        </m:r>
      </m:oMath>
      <w:r>
        <w:t xml:space="preserve"> mais contribuem para alterar </w:t>
      </w:r>
      <m:oMath>
        <m:acc>
          <m:accPr>
            <m:ctrlPr>
              <w:rPr>
                <w:rFonts w:ascii="Cambria Math" w:hAnsi="Cambria Math"/>
              </w:rPr>
            </m:ctrlPr>
          </m:accPr>
          <m:e>
            <m:r>
              <w:rPr>
                <w:rFonts w:ascii="Cambria Math" w:hAnsi="Cambria Math"/>
              </w:rPr>
              <m:t>y</m:t>
            </m:r>
          </m:e>
        </m:acc>
      </m:oMath>
      <w:r>
        <w:t xml:space="preserve"> de uma denominação para outra.</w:t>
      </w:r>
    </w:p>
    <w:p w14:paraId="6032B7B4" w14:textId="77777777" w:rsidR="00AB40ED" w:rsidRDefault="00076324">
      <w:pPr>
        <w:pStyle w:val="Corpodetexto"/>
      </w:pPr>
      <w:r>
        <w:t xml:space="preserve">Em domínios com dados de imagem ou sinais hiperespectrais, modelos de Deep Learning, especialmente Redes Neurais Convolucionais (CNNs), constituem o padrão emergente. Peng et al. (2025) utilizaram CNNs para classificar chás com IG a partir de imagens hiperespectrais, obtendo discriminação precisa entre diferentes regiões produtoras; Feng et al. (2025) aplicaram arquiteturas profundas para autenticar visualmente plantas medicinais. Nesses modelos, a operação central de convolução pode ser descrita como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r>
              <w:rPr>
                <w:rFonts w:ascii="Cambria Math" w:hAnsi="Cambria Math"/>
              </w:rPr>
              <m:t>K</m:t>
            </m:r>
          </m:e>
        </m:nary>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em que um filtro </w:t>
      </w:r>
      <m:oMath>
        <m:r>
          <w:rPr>
            <w:rFonts w:ascii="Cambria Math" w:hAnsi="Cambria Math"/>
          </w:rPr>
          <m:t>K</m:t>
        </m:r>
      </m:oMath>
      <w:r>
        <w:t xml:space="preserve"> varre a matriz de entrada </w:t>
      </w:r>
      <m:oMath>
        <m:r>
          <w:rPr>
            <w:rFonts w:ascii="Cambria Math" w:hAnsi="Cambria Math"/>
          </w:rPr>
          <m:t>X</m:t>
        </m:r>
      </m:oMath>
      <w:r>
        <w:t xml:space="preserve"> (imagem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14:paraId="6032B7B5" w14:textId="77777777" w:rsidR="00AB40ED" w:rsidRDefault="00076324">
      <w:pPr>
        <w:pStyle w:val="Corpodetexto"/>
      </w:pPr>
      <w:r>
        <w:t xml:space="preserve">Para dados espectrais e quimiométricos, a Análise Discriminante por Mínimos Quadrados Parciais (PLS-DA) permanece central em quase metade dos estudos, consolidando um paradigma bem estabelecido em quimiometria. Rebiai et al. (2022) demonstraram que PLS-DA, acoplada a espectroscopia NIR, discrimina azeites de múltiplas denominações com elevada acurácia, explorando sua robustez frente à multicolinearidade e ao regime </w:t>
      </w:r>
      <m:oMath>
        <m:r>
          <w:rPr>
            <w:rFonts w:ascii="Cambria Math" w:hAnsi="Cambria Math"/>
          </w:rPr>
          <m:t>n</m:t>
        </m:r>
        <m:r>
          <m:rPr>
            <m:sty m:val="p"/>
          </m:rPr>
          <w:rPr>
            <w:rFonts w:ascii="Cambria Math" w:hAnsi="Cambria Math"/>
          </w:rPr>
          <m:t>&lt;</m:t>
        </m:r>
        <m:r>
          <w:rPr>
            <w:rFonts w:ascii="Cambria Math" w:hAnsi="Cambria Math"/>
          </w:rPr>
          <m:t>p</m:t>
        </m:r>
      </m:oMath>
      <w:r>
        <w:t>. Diferentemente da Análise de Componentes Principais (PCA), que busca representar a variância total dos dados, a PLS-DA otimiza explicitamente a separação entre classes, o que a torna particularmente adequada para problemas de autenticação de origem.</w:t>
      </w:r>
    </w:p>
    <w:p w14:paraId="6032B7B6" w14:textId="77777777" w:rsidR="00AB40ED" w:rsidRDefault="00076324">
      <w:pPr>
        <w:pStyle w:val="Corpodetexto"/>
      </w:pPr>
      <w:r>
        <w:t>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 Ramos et al. (2025), por exemplo, aplicaram PCA para condensar milhares de variáveis metabolômicas de vinhos em poucos componentes principais interpretáveis, que em seguida alimentaram um modelo de Random Forest. E</w:t>
      </w:r>
      <w:r>
        <w:t xml:space="preserve">m paralelo, métodos de seleção de </w:t>
      </w:r>
      <w:r>
        <w:rPr>
          <w:i/>
          <w:iCs/>
        </w:rPr>
        <w:t>features</w:t>
      </w:r>
      <w:r>
        <w:t xml:space="preserve"> como RF-RFE e Boruta, presentes em cerca de um terço dos trabalhos, são empregados para identificar subconjuntos de variáveis com maior poder discriminante. Salam et al. (2021) mostraram que o uso de Boruta permitiu reduzir de </w:t>
      </w:r>
      <w:r>
        <w:lastRenderedPageBreak/>
        <w:t>80 para 15 elementos traço em estudos com carnes, sem perdas significativas de desempenho. Essa combinação entre redução/seleção de variáveis e classificadores robustos é central não apenas para controlar o risco de sobreajuste e reduzir cust</w:t>
      </w:r>
      <w:r>
        <w:t>os computacionais, mas também para chegar a conjuntos compactos de marcadores territoriais com potencial de serem incorporados em protocolos oficiais de certificação.</w:t>
      </w:r>
    </w:p>
    <w:p w14:paraId="6032B7B7" w14:textId="77777777" w:rsidR="00AB40ED" w:rsidRDefault="00076324">
      <w:pPr>
        <w:pStyle w:val="Corpodetexto"/>
      </w:pPr>
      <w:r>
        <w:t>Neste sentido, o ecossistema algorítmico observado neste corpus indica que a escolha de modelos em IGs não segue uma lógica meramente incremental (substituir um algoritmo por outro “mais moderno”),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p w14:paraId="6032B7B8" w14:textId="77777777" w:rsidR="00AB40ED" w:rsidRDefault="00076324">
      <w:pPr>
        <w:pStyle w:val="Corpodetexto"/>
      </w:pPr>
      <w:r>
        <w:t xml:space="preserve">Essa necessidade de interpretabilidade transcende o domínio técnico, constituindo-se em requisito fundamental para a validade jurídica e a legitimidade social das decisões de certificação. Em contextos regulatórios como os das Indicações Geográficas, onde a prova de origem deve ser defensável em processos administrativos ou judiciais, algoritmos como Random Forest e PLS-DA, que fornecem medidas de importância de variáveis ou </w:t>
      </w:r>
      <w:r>
        <w:rPr>
          <w:i/>
          <w:iCs/>
        </w:rPr>
        <w:t>loadings</w:t>
      </w:r>
      <w:r>
        <w:t xml:space="preserve"> explicitáveis, oferecem uma vantagem crítica sobre modelos de “caixa-preta” como redes neurais profundas. Essa transparência algorítmica não apenas facilita a auditoria científica, mas também reforça a confiança dos stakeholders, produtores, consumidores e reguladores, na integridade do sistema de certificação, transformando a ML de uma ferramenta técnica em um instrumento de governança territorial (He et al., 2024; Lundberg &amp; Lee, 2017).</w:t>
      </w:r>
    </w:p>
    <w:p w14:paraId="6032B7B9" w14:textId="77777777" w:rsidR="00AB40ED" w:rsidRDefault="00076324">
      <w:pPr>
        <w:pStyle w:val="Ttulo2"/>
      </w:pPr>
      <w:bookmarkStart w:id="32" w:name="desempenho-preditivo-dos-modelos"/>
      <w:bookmarkEnd w:id="31"/>
      <w:r>
        <w:t>3.7 Desempenho Preditivo dos Modelos</w:t>
      </w:r>
    </w:p>
    <w:p w14:paraId="6032B7BA" w14:textId="77777777" w:rsidR="00AB40ED" w:rsidRDefault="00076324">
      <w:r>
        <w:t>A análise do corpus revela que os modelos de Machine Learning alcançam um desempenho preditivo substancial, com acurácias frequentemente situadas entre 80% e 100%, o que sugere que a assinatura geográfica dos produtos é computacionalmente detectável. Quando o objetivo é regressão de atributos como acidez, teor de fenóis ou intensidade aromática, a qualidade do ajuste é usualmente medida por métricas como erro absoluto médio (MAE) e raiz do erro quadrático médio (RMSE).</w:t>
      </w:r>
    </w:p>
    <w:p w14:paraId="6032B7BB" w14:textId="77777777" w:rsidR="00AB40ED" w:rsidRDefault="00076324">
      <w:pPr>
        <w:pStyle w:val="Corpodetexto"/>
      </w:pPr>
      <w:r>
        <w:t xml:space="preserve">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w:t>
      </w:r>
      <w:r>
        <w:lastRenderedPageBreak/>
        <w:t>presunto de Jinhua ou do chá Wuyi Rock, onde marcadores químicos ou isotópicos únicos podem, teoricamente, permitir uma diferenciação perfeita (R. C. Chen et al., 2020; Effrosynidis &amp; Arampatzis, 2021). O ceticismo em relação a tais resultados é justificado, pois raramente são acompanhados de validação externa robusta que permita estimar o desempenho esperado quando o modelo é exposto a novas amostras não utilizadas no ajuste dos parâmetros.</w:t>
      </w:r>
    </w:p>
    <w:p w14:paraId="6032B7BC" w14:textId="77777777" w:rsidR="00AB40ED" w:rsidRDefault="00076324">
      <w:pPr>
        <w:pStyle w:val="Corpodetexto"/>
      </w:pPr>
      <w:r>
        <w:t>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 (Meena et al., 2024; Mohammadi et al., 2024). A detecção de</w:t>
      </w:r>
      <w:r>
        <w:t xml:space="preserv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14:paraId="6032B7BD" w14:textId="77777777" w:rsidR="00AB40ED" w:rsidRDefault="00076324">
      <w:pPr>
        <w:pStyle w:val="Corpodetexto"/>
      </w:pPr>
      <w:r>
        <w:t>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 o model</w:t>
      </w:r>
      <w:r>
        <w:t>o (Kuhn &amp; Johnson, 2013). Essa discrepância revela que muitos sistemas operam em condições 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14:paraId="6032B7BE" w14:textId="77777777" w:rsidR="00AB40ED" w:rsidRDefault="00076324">
      <w:pPr>
        <w:pStyle w:val="Corpodetexto"/>
      </w:pPr>
      <w:r>
        <w:t>Essa falha de validação externa não representa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 terroir (He et al., 2024). Em termos econômicos, a exposição de fraudes não detectadas ou falsos positivos pode resultar em litígios, perda de mercado e desvalorização de ativos i</w:t>
      </w:r>
      <w:r>
        <w:t xml:space="preserve">ntangíveis, transformando o </w:t>
      </w:r>
      <w:r>
        <w:lastRenderedPageBreak/>
        <w:t>otimismo estatístico em uma vulnerabilidade sistêmica que ameaça a sustentabilidade das IGs como estratégia de desenvolvimento territorial.</w:t>
      </w:r>
    </w:p>
    <w:p w14:paraId="6032B7BF" w14:textId="77777777" w:rsidR="00AB40ED" w:rsidRDefault="00076324">
      <w:pPr>
        <w:pStyle w:val="Corpodetexto"/>
      </w:pPr>
      <w:r>
        <w:t xml:space="preserve">Complementarmente, foi conduzida uma análise de modelagem preditiva global para avaliar em que medida os padrões estatísticos capturados pelas variáveis do corpus permitem antecipar um índice contínuo de pontuação dos estudos e uma classificação dicotômica entre trabalhos de “alto score” e demais artigos. Na tarefa de regressão, comparando modelos lineares e não lineares, a performance foi modesta: o erro médio quadrático (RMSE) variou entre 11,8 e 12,5 e o coeficiente de determinação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permaneceu baixo (0,11–0,14) mesmo para os melhores modelos (Ridge e Random Forest). Segundo Hair et al. (2010), valores de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abaixo de 0,25 indicam relações fracas entre as variáveis preditoras e a variável dependente. Esse resultado indica que, embora os modelos de ML sejam altamente eficazes para discriminar a origem geográfica de produtos, a predição de um índice sintético de qualidade/impacto dos estudos a partir de variáveis bibliométricas e metodológicas agregadas é substancialmente mais difícil, reforçando o papel insubstituível do julgamento humano na avaliação qualitativa dos artigos (D. Wang et al., 2013).</w:t>
      </w:r>
    </w:p>
    <w:p w14:paraId="6032B7C0" w14:textId="77777777" w:rsidR="00AB40ED" w:rsidRDefault="00076324">
      <w:pPr>
        <w:pStyle w:val="Corpodetexto"/>
      </w:pPr>
      <w:r>
        <w:t>Na tarefa de classificação (alto score vs. demais), o modelo de Regressão Logística apresentou desempenho superior ao Random Forest (acurácia de 0,69 e F1-score de 0,70, contra 0,53 de acurácia para Random Forest), sugerindo que o padrão que distingue os estudos mais bem avaliados é relativamente simples e pode ser capturado adequadamente por fronteiras de decisão aproximadamente lineares (Rudin, 2019). Em conjunto, esses achados apontam para uma assimetria que, os mesmos algoritmos que atingem acurácias pr</w:t>
      </w:r>
      <w:r>
        <w:t>óximas de 100% em autenticação de produtos mostram desempenho apenas moderado quando aplicados à avaliação global da qualidade dos estudos. A Figura 6 destaca as abordagens lineares simples que apresentam desempenho semelhante a algoritmos mais complexos na predição do score e da categoria de alto score.</w:t>
      </w:r>
    </w:p>
    <w:p w14:paraId="6032B7C1" w14:textId="77777777" w:rsidR="00AB40ED" w:rsidRDefault="00076324">
      <w:bookmarkStart w:id="33" w:name="fig:model_metricas"/>
      <w:r>
        <w:rPr>
          <w:noProof/>
        </w:rPr>
        <w:lastRenderedPageBreak/>
        <w:drawing>
          <wp:inline distT="0" distB="0" distL="0" distR="0" wp14:anchorId="6032B8F1" wp14:editId="6032B8F2">
            <wp:extent cx="4480560" cy="2613660"/>
            <wp:effectExtent l="0" t="0" r="0" b="0"/>
            <wp:docPr id="64" name="Picture" descr="Comparação do desempenho de modelos de regressão e classificação para predição do score contínuo e da categoria de alto score dos estudos."/>
            <wp:cNvGraphicFramePr/>
            <a:graphic xmlns:a="http://schemas.openxmlformats.org/drawingml/2006/main">
              <a:graphicData uri="http://schemas.openxmlformats.org/drawingml/2006/picture">
                <pic:pic xmlns:pic="http://schemas.openxmlformats.org/drawingml/2006/picture">
                  <pic:nvPicPr>
                    <pic:cNvPr id="65" name="Picture" descr="2-FIGURAS/2-EN/model_metricas_comparacao.png"/>
                    <pic:cNvPicPr>
                      <a:picLocks noChangeAspect="1" noChangeArrowheads="1"/>
                    </pic:cNvPicPr>
                  </pic:nvPicPr>
                  <pic:blipFill>
                    <a:blip r:embed="rId10"/>
                    <a:stretch>
                      <a:fillRect/>
                    </a:stretch>
                  </pic:blipFill>
                  <pic:spPr bwMode="auto">
                    <a:xfrm>
                      <a:off x="0" y="0"/>
                      <a:ext cx="4480560" cy="2613660"/>
                    </a:xfrm>
                    <a:prstGeom prst="rect">
                      <a:avLst/>
                    </a:prstGeom>
                    <a:noFill/>
                    <a:ln w="9525">
                      <a:noFill/>
                      <a:headEnd/>
                      <a:tailEnd/>
                    </a:ln>
                  </pic:spPr>
                </pic:pic>
              </a:graphicData>
            </a:graphic>
          </wp:inline>
        </w:drawing>
      </w:r>
    </w:p>
    <w:p w14:paraId="6032B7C2" w14:textId="77777777" w:rsidR="00AB40ED" w:rsidRDefault="00076324">
      <w:r>
        <w:t>Comparação do desempenho de modelos de regressão e classificação para predição do score contínuo e da categoria de alto score dos estudos.</w:t>
      </w:r>
    </w:p>
    <w:p w14:paraId="6032B7C3" w14:textId="77777777" w:rsidR="00AB40ED" w:rsidRDefault="00076324">
      <w:pPr>
        <w:pStyle w:val="Ttulo2"/>
      </w:pPr>
      <w:bookmarkStart w:id="34" w:name="aplicações-temáticas-identificadas"/>
      <w:bookmarkEnd w:id="33"/>
      <w:bookmarkEnd w:id="32"/>
      <w:r>
        <w:t>3.8 Aplicações Temáticas Identificadas</w:t>
      </w:r>
    </w:p>
    <w:p w14:paraId="6032B7C4" w14:textId="77777777" w:rsidR="00AB40ED" w:rsidRDefault="00076324">
      <w:r>
        <w:t>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a diversidade dos desafios enfrentados na autenticação de produtos com IG, assim como, representam uma evolução paradigmática na própria governança da prova de origem (M. Zhang et al., 2024). Ao mover a validação territorial de um domínio</w:t>
      </w:r>
      <w:r>
        <w:t xml:space="preserve"> de expertise tácita e subjetiva para um de evidência computacional auditável, o ML redefine o que constitui “prova de origem”, transformando a certificação de um processo empírico em um sistema de verificação algorítmica que integra dados analíticos, conhecimento territorial e marcos regulatórios.</w:t>
      </w:r>
    </w:p>
    <w:p w14:paraId="6032B7C5" w14:textId="77777777" w:rsidR="00AB40ED" w:rsidRDefault="00076324">
      <w:pPr>
        <w:pStyle w:val="Corpodetexto"/>
      </w:pPr>
      <w:r>
        <w:t>A primeira arquitetura, mais frequente no corpus analisado (79% dos estudos), visa estabelecer procedência territorial através de análise multivariada de assinaturas analíticas. Xu et al. (2021) 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w:t>
      </w:r>
      <w:r>
        <w:t xml:space="preserve"> Em termos operacionais, esses estudos constroem funções de decisão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particionam o espaço de características em regiões associadas a denominações específicas, de modo que cada vetor </w:t>
      </w:r>
      <m:oMath>
        <m:r>
          <w:rPr>
            <w:rFonts w:ascii="Cambria Math" w:hAnsi="Cambria Math"/>
          </w:rPr>
          <m:t>x</m:t>
        </m:r>
      </m:oMath>
      <w:r>
        <w:t xml:space="preserve"> de intensidades ou concentrações seja mapeado para uma origem estimada </w:t>
      </w:r>
      <m:oMath>
        <m:acc>
          <m:accPr>
            <m:ctrlPr>
              <w:rPr>
                <w:rFonts w:ascii="Cambria Math" w:hAnsi="Cambria Math"/>
              </w:rPr>
            </m:ctrlPr>
          </m:accPr>
          <m:e>
            <m:r>
              <w:rPr>
                <w:rFonts w:ascii="Cambria Math" w:hAnsi="Cambria Math"/>
              </w:rPr>
              <m:t>y</m:t>
            </m:r>
          </m:e>
        </m:acc>
      </m:oMath>
      <w:r>
        <w:t xml:space="preserve">. A fronteira entre essas regiões, aprendida a partir de dados rotulados, representa, em termos matemáticos, </w:t>
      </w:r>
      <w:r>
        <w:lastRenderedPageBreak/>
        <w:t>a noção de prova de origem ao traduzir diferenças físico-químicas em classificações reprodutíveis.</w:t>
      </w:r>
    </w:p>
    <w:p w14:paraId="6032B7C6" w14:textId="77777777" w:rsidR="00AB40ED" w:rsidRDefault="00076324">
      <w:pPr>
        <w:pStyle w:val="Corpodetexto"/>
      </w:pPr>
      <w:r>
        <w:t>Autores como Y. Li et al. (2025) e Ratnasekhar et al. (2025) 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 R. C. Chen et al. (2020) e Luan et al. (2020) reportaram acurácias variando entre 82% e 99%, com concentração modal entre 90% e 97%, evidenciando que discriminação</w:t>
      </w:r>
      <w:r>
        <w:t xml:space="preserve"> computacional de origem é não apenas exequível, mas alcança níveis de confiabilidade compatíveis com requisitos de certificação formal em múltiplos contextos territoriais.</w:t>
      </w:r>
    </w:p>
    <w:p w14:paraId="6032B7C7" w14:textId="77777777" w:rsidR="00AB40ED" w:rsidRDefault="00076324">
      <w:pPr>
        <w:pStyle w:val="Corpodetexto"/>
      </w:pPr>
      <w:r>
        <w:t>A segunda arquitetura funcional, focada na identificação de produtos falsificados, adulterados ou misturados, foi documentada por Salam et al. (2021) e Loyal et al. (2022) como presente em 54% dos estudos, respondendo a desafios econômicos críticos em mercados de alto valor agregado. Mohammadi et al. (2024) categorizaram práticas fraudulentas específicas identificadas onde, a adição de etanol industrial a bebidas alcoólicas, mistura de produtos de denominação protegida com não-protegidos (conhecido como “co</w:t>
      </w:r>
      <w:r>
        <w:t>rte” de vinhos), e falsificação de processos tradicionais mediante envelhecimento artificial versus natural em presuntos. Nesses cenários, os modelos deixam de apenas atribuir rótulos de origem e passam a aproximar probabilidades de fraude, a partir das quais se estabelece um limiar de decisão para classificar amostras como suspeitas. A escolha desse limiar, frequentemente calibrada por curvas ROC, reflete explicitamente a assimetria de custos entre falsos negativos (fraude não detectada) e falsos positivos</w:t>
      </w:r>
      <w:r>
        <w:t xml:space="preserve"> (produto autêntico indevidamente sinalizado), deslocando a arquitetura para regimes em que sensibilidade máxima é priorizada mesmo à custa de alguma perda de especificidade.</w:t>
      </w:r>
    </w:p>
    <w:p w14:paraId="6032B7C8" w14:textId="77777777" w:rsidR="00AB40ED" w:rsidRDefault="00076324">
      <w:pPr>
        <w:pStyle w:val="Corpodetexto"/>
      </w:pPr>
      <w:r>
        <w:t>Em estudos similares, Salam et al. (2021) e Loyal et al. (2022) 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 R. C. Chen et al. (2020) e Effrosynidis &amp; Arampatzis (2021) enfatizam que métricas de desempenho são repo</w:t>
      </w:r>
      <w:r>
        <w:t>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14:paraId="6032B7C9" w14:textId="77777777" w:rsidR="00AB40ED" w:rsidRDefault="00076324">
      <w:pPr>
        <w:pStyle w:val="Corpodetexto"/>
      </w:pPr>
      <w:r>
        <w:lastRenderedPageBreak/>
        <w:t>Representando a terceira arquitetura funcional, Wang et al. (2025) identificaram que 31% dos estudos abordam estabelecimento de continuidade entre produto final e origem de matéria-prima, respondendo a demandas crescentes de transparência e responsabilidade em cadeias complexas de suprimento. Gong et al. (2023) documentaram tendência emergente particularmente inovadora neste domínio. A integração de Machine Learning com blockchain, observada em 21% dos estudos de rastreabilidade, onde modelos preditivos são</w:t>
      </w:r>
      <w:r>
        <w:t xml:space="preserve"> codificados em smart contracts que verificam autenticidade de lotes em cada etapa distributiva.</w:t>
      </w:r>
    </w:p>
    <w:p w14:paraId="6032B7CA" w14:textId="77777777" w:rsidR="00AB40ED" w:rsidRDefault="00076324">
      <w:pPr>
        <w:pStyle w:val="Corpodetexto"/>
      </w:pPr>
      <w:r>
        <w:t>Autores como Wang et al. (2025) argumentam que esta arquitetura híbrida, algoritmos de ML operando sobre dados imutáveis em blockchain, permite auditoria computacional de cadeia de suprimento, reduzindo fraude intermediária através de verificação descentralizada e tamper-proof. Hu et al. (2024) demonstraram aplicação prática desta convergência tecnológica em cadeias de chá chinês, onde sensores IoT capturam dados ambientais durante processamento e transporte, ML valida conformidade com perfis esperados, e b</w:t>
      </w:r>
      <w:r>
        <w:t>lockchain registra permanentemente cada verificação, criando “passaporte digital” rastreável do produto.</w:t>
      </w:r>
    </w:p>
    <w:p w14:paraId="6032B7CB" w14:textId="77777777" w:rsidR="00AB40ED" w:rsidRDefault="00076324">
      <w:pPr>
        <w:pStyle w:val="Corpodetexto"/>
      </w:pPr>
      <w:r>
        <w:t xml:space="preserve">A análise de agrupamento (k-means e hierárquico) organizada sobre as variáveis de produto, instrumento analítico, algoritmo e tipo de aplicação revelou a existência de dez clusters bem definidos, que sintetizam famílias tecnológicas recorrentes no campo. Entre eles, destacam-se um cluster centrado em aplicações de autenticação e detecção de fraude em mel, combinando espectroscopia NIR com classificadores SVM e KNN, com forte presença de estudos asiáticos, um cluster dominado por queijos europeus, nos quais </w:t>
      </w:r>
      <w:r>
        <w:t>redes neurais e espectroscopia NIR são mobilizadas para discriminação de origem, e um conjunto de estudos que integra LC-MS e GC-MS em matrizes como mel e carnes, associadas a SVM, Random Forest e métodos baseados em árvores decisórias.</w:t>
      </w:r>
    </w:p>
    <w:p w14:paraId="6032B7CC" w14:textId="77777777" w:rsidR="00AB40ED" w:rsidRDefault="00076324">
      <w:pPr>
        <w:pStyle w:val="Corpodetexto"/>
      </w:pPr>
      <w:r>
        <w:t>Outro cluster relevante reúne aplicações com ICP-MS em carnes e produtos cárneos, nas quais a análise de traços elementares é combinada a algoritmos de classificação para autenticação territorial (Figura 7). Esses agrupamentos mostram que a adoção de técnicas de ML demostra que, instrumentos e algoritmos tendem a se articular em ecossistemas coerentes, nos quais determinadas combinações (por exemplo, NMR + redes neurais em vinhos, FTIR + SVM em azeites) se consolidam como arquiteturas de referência para pro</w:t>
      </w:r>
      <w:r>
        <w:t>blemas específicos. Do ponto de vista metodológico, essa estrutura em clusters reforça a existência de caminhos tecnológicos preferenciais, que podem orientar decisões de desenho experimental em futuras aplicações de ML em Indicações Geográficas (J. Li et al., 2025; Qi et al., 2021).</w:t>
      </w:r>
    </w:p>
    <w:p w14:paraId="6032B7CD" w14:textId="77777777" w:rsidR="00AB40ED" w:rsidRDefault="00076324">
      <w:pPr>
        <w:pStyle w:val="Corpodetexto"/>
      </w:pPr>
      <w:r>
        <w:lastRenderedPageBreak/>
        <w:t>A Figura 7 apresenta o heatmap dos perfis de clusters, evidenciando como combinações específicas de produtos, instrumentos analíticos e algoritmos se organizam em dez famílias tecnológicas recorrentes.</w:t>
      </w:r>
    </w:p>
    <w:p w14:paraId="6032B7CE" w14:textId="77777777" w:rsidR="00AB40ED" w:rsidRDefault="00076324">
      <w:bookmarkStart w:id="35" w:name="fig:cluster_heatmap"/>
      <w:r>
        <w:rPr>
          <w:noProof/>
        </w:rPr>
        <w:drawing>
          <wp:inline distT="0" distB="0" distL="0" distR="0" wp14:anchorId="6032B8F3" wp14:editId="6032B8F4">
            <wp:extent cx="4480560" cy="3305025"/>
            <wp:effectExtent l="0" t="0" r="0" b="0"/>
            <wp:docPr id="69" name="Picture" descr="Heatmap dos perfis de clusters de estudos, mostrando a coocorrência de produtos, instrumentos analíticos e algoritmos de machine learning em dez grupos principais."/>
            <wp:cNvGraphicFramePr/>
            <a:graphic xmlns:a="http://schemas.openxmlformats.org/drawingml/2006/main">
              <a:graphicData uri="http://schemas.openxmlformats.org/drawingml/2006/picture">
                <pic:pic xmlns:pic="http://schemas.openxmlformats.org/drawingml/2006/picture">
                  <pic:nvPicPr>
                    <pic:cNvPr id="70" name="Picture" descr="2-FIGURAS/2-EN/cluster_heatmap_profiles.png"/>
                    <pic:cNvPicPr>
                      <a:picLocks noChangeAspect="1" noChangeArrowheads="1"/>
                    </pic:cNvPicPr>
                  </pic:nvPicPr>
                  <pic:blipFill>
                    <a:blip r:embed="rId11"/>
                    <a:stretch>
                      <a:fillRect/>
                    </a:stretch>
                  </pic:blipFill>
                  <pic:spPr bwMode="auto">
                    <a:xfrm>
                      <a:off x="0" y="0"/>
                      <a:ext cx="4480560" cy="3305025"/>
                    </a:xfrm>
                    <a:prstGeom prst="rect">
                      <a:avLst/>
                    </a:prstGeom>
                    <a:noFill/>
                    <a:ln w="9525">
                      <a:noFill/>
                      <a:headEnd/>
                      <a:tailEnd/>
                    </a:ln>
                  </pic:spPr>
                </pic:pic>
              </a:graphicData>
            </a:graphic>
          </wp:inline>
        </w:drawing>
      </w:r>
    </w:p>
    <w:p w14:paraId="6032B7CF" w14:textId="77777777" w:rsidR="00AB40ED" w:rsidRDefault="00076324">
      <w:r>
        <w:t>Heatmap dos perfis de clusters de estudos, mostrando a coocorrência de produtos, instrumentos analíticos e algoritmos de machine learning em dez grupos principais.</w:t>
      </w:r>
    </w:p>
    <w:bookmarkEnd w:id="35"/>
    <w:p w14:paraId="6032B7D0" w14:textId="77777777" w:rsidR="00AB40ED" w:rsidRDefault="00076324">
      <w:pPr>
        <w:pStyle w:val="Corpodetexto"/>
      </w:pPr>
      <w:r>
        <w:t>A quarta arquitetura funcional, identificada por Meena et al. (2024) e Liu et al. (2025) em 47% dos estudos, emprega ML para predição de atributos de qualidade (acidez, índice de fenóis totais, capacidade antioxidante, textura, perfil sensorial) com base em dados analíticos rapidamente obtidos. Peng et al. (2025) e Feng et al. (2025) distinguem esta aplicação da autenticação por seu objetivo funcional divergente: ao invés de responder se determinado produto é de origem X, o método busca determinar qual qual</w:t>
      </w:r>
      <w:r>
        <w:t>idade espera-se desta amostra. Nesses casos, o desempenho é quantificado por coeficientes de determinação (R²), MAE e RMSE que refletem o desvio médio em unidades fisicamente interpretáveis (por exemplo, g/L, unidades de cor, escores sensoriais). Meena et al. (2024) documentaram que regressão constitui a abordagem predominante neste contexto.</w:t>
      </w:r>
    </w:p>
    <w:p w14:paraId="6032B7D1" w14:textId="77777777" w:rsidR="00AB40ED" w:rsidRDefault="00076324">
      <w:pPr>
        <w:pStyle w:val="Corpodetexto"/>
      </w:pPr>
      <w:r>
        <w:t xml:space="preserve">Ainda, Liu et al. (2025) e Rebiai et al. (2022) 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Nesse cenário, a relação entre erro de predição e incerteza analítica torna-se central, </w:t>
      </w:r>
      <w:r>
        <w:lastRenderedPageBreak/>
        <w:t>modelos cujo RMSE é da mesma ordem de magnitude que o erro instrumental pouco agregam à prática Ozaki et al. (2021), ao passo que modelos em que o RMSE é substancialmente inferior ao desvio típico de métodos convencionais criam, de fato, uma nova camada de controle de qualidade acessível a operações de pequena e média escala (Ferreira et al., 2007; Todeschini et al., 2015).</w:t>
      </w:r>
    </w:p>
    <w:p w14:paraId="6032B7D2" w14:textId="77777777" w:rsidR="00AB40ED" w:rsidRDefault="00076324">
      <w:pPr>
        <w:pStyle w:val="Corpodetexto"/>
      </w:pPr>
      <w:r>
        <w:t>Por fim, a quinta arquitetura funcional, embora menos prevalente com 19% dos estudos conforme Ramos et al. (2025), emprega ML para elucidar fatores que influenciam aceitação e preferência de consumidores por produtos com indicação geográfica. Effrosynidis &amp; Arampatzis (2021) documentaram que estudos nesta categoria frequentemente empregam Partial Least Squares Structural Equation Modeling (PLS-SEM) para modelar relações complexas entre atributos analíticos, características demográficas do consumidor e variá</w:t>
      </w:r>
      <w:r>
        <w:t>veis comportamentais. Ramos et al. (2025) argumentam que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w:t>
      </w:r>
    </w:p>
    <w:p w14:paraId="6032B7D3" w14:textId="77777777" w:rsidR="00AB40ED" w:rsidRDefault="00076324">
      <w:pPr>
        <w:pStyle w:val="Ttulo2"/>
      </w:pPr>
      <w:bookmarkStart w:id="36" w:name="Xf2e4d763af8e74cc328559f68dab05756ffbf4c"/>
      <w:bookmarkEnd w:id="34"/>
      <w:r>
        <w:t>3.9 Tendências Metodológicas, Lacunas e Direções para Pesquisa Futura</w:t>
      </w:r>
    </w:p>
    <w:p w14:paraId="6032B7D4" w14:textId="77777777" w:rsidR="00AB40ED" w:rsidRDefault="00076324">
      <w:r>
        <w:t>A análise de comunidades com o algoritmo de Louvain (Blondel et al., 2008) aplicada à rede de coocorrências (20 nós, 58 arestas, densidade = 0,305, clustering = 0,595) revelou três módulos tecnológicos bem definidos, sintetizados na Tabela 5. Essa estrutura modular indica que o campo de ML para IGs está organizado em subcampos especializados, onde combinações recorrentes de algoritmos, técnicas analíticas e matrizes alimentares conformam plataformas metodológicas estáveis.</w:t>
      </w:r>
    </w:p>
    <w:tbl>
      <w:tblPr>
        <w:tblStyle w:val="Table"/>
        <w:tblW w:w="5000" w:type="pct"/>
        <w:tblLayout w:type="fixed"/>
        <w:tblLook w:val="0020" w:firstRow="1" w:lastRow="0" w:firstColumn="0" w:lastColumn="0" w:noHBand="0" w:noVBand="0"/>
      </w:tblPr>
      <w:tblGrid>
        <w:gridCol w:w="911"/>
        <w:gridCol w:w="2517"/>
        <w:gridCol w:w="2410"/>
        <w:gridCol w:w="1393"/>
        <w:gridCol w:w="1607"/>
      </w:tblGrid>
      <w:tr w:rsidR="00AB40ED" w14:paraId="6032B7DA" w14:textId="77777777" w:rsidTr="00AB40ED">
        <w:trPr>
          <w:tblHeader/>
        </w:trPr>
        <w:tc>
          <w:tcPr>
            <w:tcW w:w="816" w:type="dxa"/>
          </w:tcPr>
          <w:p w14:paraId="6032B7D5" w14:textId="77777777" w:rsidR="00AB40ED" w:rsidRDefault="00076324">
            <w:r>
              <w:rPr>
                <w:b/>
                <w:bCs/>
              </w:rPr>
              <w:t>Módulo</w:t>
            </w:r>
          </w:p>
        </w:tc>
        <w:tc>
          <w:tcPr>
            <w:tcW w:w="2256" w:type="dxa"/>
          </w:tcPr>
          <w:p w14:paraId="6032B7D6" w14:textId="77777777" w:rsidR="00AB40ED" w:rsidRDefault="00076324">
            <w:pPr>
              <w:jc w:val="left"/>
            </w:pPr>
            <w:r>
              <w:rPr>
                <w:b/>
                <w:bCs/>
              </w:rPr>
              <w:t>Algoritmos Principais</w:t>
            </w:r>
          </w:p>
        </w:tc>
        <w:tc>
          <w:tcPr>
            <w:tcW w:w="2160" w:type="dxa"/>
          </w:tcPr>
          <w:p w14:paraId="6032B7D7" w14:textId="77777777" w:rsidR="00AB40ED" w:rsidRDefault="00076324">
            <w:pPr>
              <w:jc w:val="left"/>
            </w:pPr>
            <w:r>
              <w:rPr>
                <w:b/>
                <w:bCs/>
              </w:rPr>
              <w:t>Técnicas Analíticas</w:t>
            </w:r>
          </w:p>
        </w:tc>
        <w:tc>
          <w:tcPr>
            <w:tcW w:w="1248" w:type="dxa"/>
          </w:tcPr>
          <w:p w14:paraId="6032B7D8" w14:textId="77777777" w:rsidR="00AB40ED" w:rsidRDefault="00076324">
            <w:pPr>
              <w:jc w:val="left"/>
            </w:pPr>
            <w:r>
              <w:rPr>
                <w:b/>
                <w:bCs/>
              </w:rPr>
              <w:t>Produtos</w:t>
            </w:r>
          </w:p>
        </w:tc>
        <w:tc>
          <w:tcPr>
            <w:tcW w:w="1440" w:type="dxa"/>
          </w:tcPr>
          <w:p w14:paraId="6032B7D9" w14:textId="77777777" w:rsidR="00AB40ED" w:rsidRDefault="00076324">
            <w:pPr>
              <w:jc w:val="left"/>
            </w:pPr>
            <w:r>
              <w:rPr>
                <w:b/>
                <w:bCs/>
              </w:rPr>
              <w:t>Região Predominante</w:t>
            </w:r>
          </w:p>
        </w:tc>
      </w:tr>
      <w:tr w:rsidR="00AB40ED" w14:paraId="6032B7E0" w14:textId="77777777">
        <w:tc>
          <w:tcPr>
            <w:tcW w:w="816" w:type="dxa"/>
          </w:tcPr>
          <w:p w14:paraId="6032B7DB" w14:textId="77777777" w:rsidR="00AB40ED" w:rsidRDefault="00076324">
            <w:r>
              <w:rPr>
                <w:b/>
                <w:bCs/>
              </w:rPr>
              <w:t>M1</w:t>
            </w:r>
          </w:p>
        </w:tc>
        <w:tc>
          <w:tcPr>
            <w:tcW w:w="2256" w:type="dxa"/>
          </w:tcPr>
          <w:p w14:paraId="6032B7DC" w14:textId="77777777" w:rsidR="00AB40ED" w:rsidRPr="00076324" w:rsidRDefault="00076324">
            <w:pPr>
              <w:jc w:val="left"/>
              <w:rPr>
                <w:lang w:val="en-US"/>
              </w:rPr>
            </w:pPr>
            <w:r w:rsidRPr="00076324">
              <w:rPr>
                <w:lang w:val="en-US"/>
              </w:rPr>
              <w:t>Random Forest, Decision Tree, Gradient Boosting</w:t>
            </w:r>
          </w:p>
        </w:tc>
        <w:tc>
          <w:tcPr>
            <w:tcW w:w="2160" w:type="dxa"/>
          </w:tcPr>
          <w:p w14:paraId="6032B7DD" w14:textId="77777777" w:rsidR="00AB40ED" w:rsidRDefault="00076324">
            <w:pPr>
              <w:jc w:val="left"/>
            </w:pPr>
            <w:r>
              <w:t>Espectroscopia (NIR), Quimiometria</w:t>
            </w:r>
          </w:p>
        </w:tc>
        <w:tc>
          <w:tcPr>
            <w:tcW w:w="1248" w:type="dxa"/>
          </w:tcPr>
          <w:p w14:paraId="6032B7DE" w14:textId="77777777" w:rsidR="00AB40ED" w:rsidRDefault="00076324">
            <w:pPr>
              <w:jc w:val="left"/>
            </w:pPr>
            <w:r>
              <w:t>Vinho, Mel</w:t>
            </w:r>
          </w:p>
        </w:tc>
        <w:tc>
          <w:tcPr>
            <w:tcW w:w="1440" w:type="dxa"/>
          </w:tcPr>
          <w:p w14:paraId="6032B7DF" w14:textId="77777777" w:rsidR="00AB40ED" w:rsidRDefault="00076324">
            <w:pPr>
              <w:jc w:val="left"/>
            </w:pPr>
            <w:r>
              <w:t>África, Europa</w:t>
            </w:r>
          </w:p>
        </w:tc>
      </w:tr>
      <w:tr w:rsidR="00AB40ED" w14:paraId="6032B7E6" w14:textId="77777777">
        <w:tc>
          <w:tcPr>
            <w:tcW w:w="816" w:type="dxa"/>
          </w:tcPr>
          <w:p w14:paraId="6032B7E1" w14:textId="77777777" w:rsidR="00AB40ED" w:rsidRDefault="00076324">
            <w:r>
              <w:rPr>
                <w:b/>
                <w:bCs/>
              </w:rPr>
              <w:t>M2</w:t>
            </w:r>
          </w:p>
        </w:tc>
        <w:tc>
          <w:tcPr>
            <w:tcW w:w="2256" w:type="dxa"/>
          </w:tcPr>
          <w:p w14:paraId="6032B7E2" w14:textId="77777777" w:rsidR="00AB40ED" w:rsidRDefault="00076324">
            <w:pPr>
              <w:jc w:val="left"/>
            </w:pPr>
            <w:r>
              <w:t>SVM, KNN</w:t>
            </w:r>
          </w:p>
        </w:tc>
        <w:tc>
          <w:tcPr>
            <w:tcW w:w="2160" w:type="dxa"/>
          </w:tcPr>
          <w:p w14:paraId="6032B7E3" w14:textId="77777777" w:rsidR="00AB40ED" w:rsidRDefault="00076324">
            <w:pPr>
              <w:jc w:val="left"/>
            </w:pPr>
            <w:r>
              <w:t>Cromatografia (GC-MS, LC-MS, HPLC)</w:t>
            </w:r>
          </w:p>
        </w:tc>
        <w:tc>
          <w:tcPr>
            <w:tcW w:w="1248" w:type="dxa"/>
          </w:tcPr>
          <w:p w14:paraId="6032B7E4" w14:textId="77777777" w:rsidR="00AB40ED" w:rsidRDefault="00076324">
            <w:pPr>
              <w:jc w:val="left"/>
            </w:pPr>
            <w:r>
              <w:t>Carnes, Produtos Regionais</w:t>
            </w:r>
          </w:p>
        </w:tc>
        <w:tc>
          <w:tcPr>
            <w:tcW w:w="1440" w:type="dxa"/>
          </w:tcPr>
          <w:p w14:paraId="6032B7E5" w14:textId="77777777" w:rsidR="00AB40ED" w:rsidRDefault="00076324">
            <w:pPr>
              <w:jc w:val="left"/>
            </w:pPr>
            <w:r>
              <w:t>Ásia</w:t>
            </w:r>
          </w:p>
        </w:tc>
      </w:tr>
      <w:tr w:rsidR="00AB40ED" w14:paraId="6032B7EC" w14:textId="77777777">
        <w:tc>
          <w:tcPr>
            <w:tcW w:w="816" w:type="dxa"/>
          </w:tcPr>
          <w:p w14:paraId="6032B7E7" w14:textId="77777777" w:rsidR="00AB40ED" w:rsidRDefault="00076324">
            <w:r>
              <w:rPr>
                <w:b/>
                <w:bCs/>
              </w:rPr>
              <w:t>M3</w:t>
            </w:r>
          </w:p>
        </w:tc>
        <w:tc>
          <w:tcPr>
            <w:tcW w:w="2256" w:type="dxa"/>
          </w:tcPr>
          <w:p w14:paraId="6032B7E8" w14:textId="77777777" w:rsidR="00AB40ED" w:rsidRPr="00076324" w:rsidRDefault="00076324">
            <w:pPr>
              <w:jc w:val="left"/>
              <w:rPr>
                <w:lang w:val="en-US"/>
              </w:rPr>
            </w:pPr>
            <w:r w:rsidRPr="00076324">
              <w:rPr>
                <w:lang w:val="en-US"/>
              </w:rPr>
              <w:t>Neural Networks, CNN, Deep Learning</w:t>
            </w:r>
          </w:p>
        </w:tc>
        <w:tc>
          <w:tcPr>
            <w:tcW w:w="2160" w:type="dxa"/>
          </w:tcPr>
          <w:p w14:paraId="6032B7E9" w14:textId="77777777" w:rsidR="00AB40ED" w:rsidRDefault="00076324">
            <w:pPr>
              <w:jc w:val="left"/>
            </w:pPr>
            <w:r>
              <w:t>Espectroscopia (NIR, FTIR), Sensores (e-nose)</w:t>
            </w:r>
          </w:p>
        </w:tc>
        <w:tc>
          <w:tcPr>
            <w:tcW w:w="1248" w:type="dxa"/>
          </w:tcPr>
          <w:p w14:paraId="6032B7EA" w14:textId="77777777" w:rsidR="00AB40ED" w:rsidRDefault="00076324">
            <w:pPr>
              <w:jc w:val="left"/>
            </w:pPr>
            <w:r>
              <w:t>Azeite, Queijo, Chá</w:t>
            </w:r>
          </w:p>
        </w:tc>
        <w:tc>
          <w:tcPr>
            <w:tcW w:w="1440" w:type="dxa"/>
          </w:tcPr>
          <w:p w14:paraId="6032B7EB" w14:textId="77777777" w:rsidR="00AB40ED" w:rsidRDefault="00076324">
            <w:pPr>
              <w:jc w:val="left"/>
            </w:pPr>
            <w:r>
              <w:t>Europa, Ásia</w:t>
            </w:r>
          </w:p>
        </w:tc>
      </w:tr>
    </w:tbl>
    <w:p w14:paraId="6032B7ED" w14:textId="77777777" w:rsidR="00AB40ED" w:rsidRDefault="00076324">
      <w:pPr>
        <w:pStyle w:val="Corpodetexto"/>
      </w:pPr>
      <w:r>
        <w:rPr>
          <w:i/>
          <w:iCs/>
        </w:rPr>
        <w:t>Tabela 5: Módulos tecnológicos identificados pela análise de comunidades de Louvain na rede de coocorrências de algoritmos, técnicas analíticas e produtos com Indicação Geográfica.</w:t>
      </w:r>
    </w:p>
    <w:p w14:paraId="6032B7EE" w14:textId="77777777" w:rsidR="00AB40ED" w:rsidRDefault="00076324">
      <w:pPr>
        <w:pStyle w:val="Corpodetexto"/>
      </w:pPr>
      <w:r>
        <w:t xml:space="preserve">A estrutura interna de cada módulo, visualizada na Figura 8, revela padrões de coesão e especialização que fundamentam a organização do campo. O Módulo 1 (Árvores + Espectroscopia) apresenta alta densidade interna (0,60), conectando </w:t>
      </w:r>
      <w:r>
        <w:lastRenderedPageBreak/>
        <w:t>fortemente Random Forest, Decision Tree e Gradient Boosting a produtos como vinho e mel, com predomínio de aplicações em terroirs africanos e europeus. Essa coesão reflete a consolidação de uma plataforma metodológica madura, na qual classificadores de árvore dominam a autenticação por assinaturas espectrais NIR, explorando a capacidade desses algoritmos de modelar interações não-lineares entre marcadores químicos e origem territorial (Oganesyants et al., 2024; Resce &amp; Vaquero-Piñeiro, 2022).</w:t>
      </w:r>
    </w:p>
    <w:p w14:paraId="6032B7EF" w14:textId="77777777" w:rsidR="00AB40ED" w:rsidRDefault="00076324">
      <w:pPr>
        <w:pStyle w:val="Corpodetexto"/>
      </w:pPr>
      <w:r>
        <w:t>O Módulo 2 (SVM/KNN + Cromatografia) caracteriza-se por uma arquitetura mais dispersa (densidade = 0,53), conectando SVM e KNN a técnicas cromatográficas de alta resolução (GC-MS, LC-MS) aplicadas predominantemente a carnes e produtos regionais asiáticos. Essa configuração reflete um nicho metodológico especializado em metabolômica direcionada (</w:t>
      </w:r>
      <w:r>
        <w:rPr>
          <w:i/>
          <w:iCs/>
        </w:rPr>
        <w:t>targeted</w:t>
      </w:r>
      <w:r>
        <w:t>) e huellado cromatográfico, no qual a separação física de compostos precede a classificação algorítmica, uma abordagem particularmente efetiva para matrizes complexas com perfis voláteis e semivoláteis (Santomá-Martí et al., 2025; Shuai et al., 2022).</w:t>
      </w:r>
    </w:p>
    <w:p w14:paraId="6032B7F0" w14:textId="77777777" w:rsidR="00AB40ED" w:rsidRDefault="00076324">
      <w:pPr>
        <w:pStyle w:val="Corpodetexto"/>
      </w:pPr>
      <w:r>
        <w:t xml:space="preserve">O Módulo 3 (Redes Neurais + Sensores), e internamente coeso (densidade = 0,68), integra Neural Networks, CNN e Deep Learning a instrumentos espectroscópicos (NIR, FTIR) e sensores portáteis (e-nose) aplicados a azeite, queijo e chá, com estudos concentrados em contextos europeus e asiáticos. Esse módulo representa a fronteira tecnológica do campo, explorando arquiteturas profundas capazes de processar sinais hiperespectrais e dados não estruturados, viabilizando autenticação </w:t>
      </w:r>
      <w:r>
        <w:rPr>
          <w:i/>
          <w:iCs/>
        </w:rPr>
        <w:t>in-situ</w:t>
      </w:r>
      <w:r>
        <w:t xml:space="preserve"> e democratização de certificação (Fu et al., 2023; Gazeli et al., 2020; Y. Li et al., 2025).</w:t>
      </w:r>
    </w:p>
    <w:p w14:paraId="6032B7F1" w14:textId="77777777" w:rsidR="00AB40ED" w:rsidRDefault="00076324">
      <w:pPr>
        <w:pStyle w:val="Corpodetexto"/>
      </w:pPr>
      <w:r>
        <w:t>As métricas de centralidade corroboram o papel estruturante desses módulos em que, NeuralNetwork apresenta a maior centralidade global (degree = 15, betweenness = 0,306), atuando como conector entre o Módulo 3 e os demais, enquanto SVM (degree = 12) e RandomForest (degree = 11) funcionam como núcleos dos Módulos 2 e 1, respectivamente. Destaca-se o papel de ponte desempenhado por plataformas cromatográficas (GCMS betweenness = 0,186; LCMS betweenness = 0,105), que conectam o Módulo 2 aos demais, viabilizand</w:t>
      </w:r>
      <w:r>
        <w:t>o fluxos informacionais entre nichos metodológicos e facilitando a transição entre paradigmas tecnológicos (Csárdi &amp; Nepusz, 2006).</w:t>
      </w:r>
    </w:p>
    <w:p w14:paraId="6032B7F2" w14:textId="77777777" w:rsidR="00AB40ED" w:rsidRDefault="00076324">
      <w:bookmarkStart w:id="37" w:name="fig:louvain_modules"/>
      <w:r>
        <w:rPr>
          <w:noProof/>
        </w:rPr>
        <w:lastRenderedPageBreak/>
        <w:drawing>
          <wp:inline distT="0" distB="0" distL="0" distR="0" wp14:anchorId="6032B8F5" wp14:editId="6032B8F6">
            <wp:extent cx="5600700" cy="1960244"/>
            <wp:effectExtent l="0" t="0" r="0" b="0"/>
            <wp:docPr id="74" name="Picture" descr="Estrutura interna dos três módulos tecnológicos identificados pelo algoritmo de Louvain. Cada painel mostra as conexões entre algoritmos (vermelho), técnicas analíticas (azul), produtos (verde) e regiões (laranja) dentro de cada comunidade especializada."/>
            <wp:cNvGraphicFramePr/>
            <a:graphic xmlns:a="http://schemas.openxmlformats.org/drawingml/2006/main">
              <a:graphicData uri="http://schemas.openxmlformats.org/drawingml/2006/picture">
                <pic:pic xmlns:pic="http://schemas.openxmlformats.org/drawingml/2006/picture">
                  <pic:nvPicPr>
                    <pic:cNvPr id="75" name="Picture" descr="2-FIGURAS/2-EN/louvain_modules_detailed.png"/>
                    <pic:cNvPicPr>
                      <a:picLocks noChangeAspect="1" noChangeArrowheads="1"/>
                    </pic:cNvPicPr>
                  </pic:nvPicPr>
                  <pic:blipFill>
                    <a:blip r:embed="rId12"/>
                    <a:stretch>
                      <a:fillRect/>
                    </a:stretch>
                  </pic:blipFill>
                  <pic:spPr bwMode="auto">
                    <a:xfrm>
                      <a:off x="0" y="0"/>
                      <a:ext cx="5600700" cy="1960244"/>
                    </a:xfrm>
                    <a:prstGeom prst="rect">
                      <a:avLst/>
                    </a:prstGeom>
                    <a:noFill/>
                    <a:ln w="9525">
                      <a:noFill/>
                      <a:headEnd/>
                      <a:tailEnd/>
                    </a:ln>
                  </pic:spPr>
                </pic:pic>
              </a:graphicData>
            </a:graphic>
          </wp:inline>
        </w:drawing>
      </w:r>
    </w:p>
    <w:p w14:paraId="6032B7F3" w14:textId="77777777" w:rsidR="00AB40ED" w:rsidRDefault="00076324">
      <w:r>
        <w:t>Estrutura interna dos três módulos tecnológicos identificados pelo algoritmo de Louvain. Cada painel mostra as conexões entre algoritmos (vermelho), técnicas analíticas (azul), produtos (verde) e regiões (laranja) dentro de cada comunidade especializada.</w:t>
      </w:r>
    </w:p>
    <w:bookmarkEnd w:id="37"/>
    <w:p w14:paraId="6032B7F4" w14:textId="77777777" w:rsidR="00AB40ED" w:rsidRDefault="00076324">
      <w:pPr>
        <w:pStyle w:val="Corpodetexto"/>
      </w:pPr>
      <w:r>
        <w:t xml:space="preserve">Luan et al. (2020) documentaram que a integração de modalidades de dados distintas (metabolômica, perfil elementar, análise isotópica e sensorial) com algoritmos de </w:t>
      </w:r>
      <w:r>
        <w:rPr>
          <w:i/>
          <w:iCs/>
        </w:rPr>
        <w:t>ensemble</w:t>
      </w:r>
      <w:r>
        <w:t xml:space="preserve"> vem crescendo, representando 28% dos estudos recentes (2024-2025). Essa fusão multimodal reconhece que a origem geográfica resulta de interações complexas entre fatores ambientais e práticas produtivas, buscando capturar complementaridades informacionais entre diferentes tipos de dados para aumentar poder discriminativo e robustez preditiva.</w:t>
      </w:r>
    </w:p>
    <w:p w14:paraId="6032B7F5" w14:textId="77777777" w:rsidR="00AB40ED" w:rsidRDefault="00076324">
      <w:pPr>
        <w:pStyle w:val="Corpodetexto"/>
      </w:pPr>
      <w:r>
        <w:t>Uma lacuna metodológica crítica surge na transferência de aprendizagem entre regiões geográficas (Figura (</w:t>
      </w:r>
      <w:r>
        <w:rPr>
          <w:b/>
          <w:bCs/>
        </w:rPr>
        <w:t>fig:louvain_modules?</w:t>
      </w:r>
      <w:r>
        <w:t>)). Foram observados poucos estudos que testam modelos treinados em uma região quando aplicados a outras regiões. R. C. Chen et al. (2020) e Ramos et al. (2025) 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w:t>
      </w:r>
      <w:r>
        <w:t>ra vinhos de Rioja com amostras limitadas, reduzindo dramaticamente demanda por dados extensivos específicos de cada região e viabilizando certificação em territórios com recursos analíticos restritos (Milojević et al., 2011).</w:t>
      </w:r>
    </w:p>
    <w:p w14:paraId="6032B7F6" w14:textId="77777777" w:rsidR="00AB40ED" w:rsidRDefault="00076324">
      <w:pPr>
        <w:pStyle w:val="Corpodetexto"/>
      </w:pPr>
      <w:r>
        <w:t xml:space="preserve">Effrosynidis &amp; Arampatzis (2021) 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w:t>
      </w:r>
      <w:r>
        <w:lastRenderedPageBreak/>
        <w:t>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 (X. Chen et al., 2024; Lundberg &amp; Lee, 2017).</w:t>
      </w:r>
    </w:p>
    <w:p w14:paraId="6032B7F7" w14:textId="77777777" w:rsidR="00AB40ED" w:rsidRDefault="00076324">
      <w:pPr>
        <w:pStyle w:val="Corpodetexto"/>
      </w:pPr>
      <w:r>
        <w:t>Effrosynidis &amp; Arampatzis (2021) e Loyal et al. (2022) 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w:t>
      </w:r>
      <w:r>
        <w:t>do sobre subconjuntos selecionados de variáveis discriminativas, democratizando acesso à tecnologia de autenticação para operações de pequena escala.</w:t>
      </w:r>
    </w:p>
    <w:p w14:paraId="6032B7F8" w14:textId="77777777" w:rsidR="00AB40ED" w:rsidRDefault="00076324">
      <w:pPr>
        <w:pStyle w:val="Corpodetexto"/>
      </w:pPr>
      <w:r>
        <w:t>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imutável e descentralizada, transações e verificações, criando trilhas de auditoria robustas (Agyekum et al.</w:t>
      </w:r>
      <w:r>
        <w:t xml:space="preserve">, 2022; Gong et al., 2023; Gupta et al., 2021; Wang et al., 2022; Y. Zhang et al., 2022; Zhou et al., 2022). Estudos em sistemas agroalimentares apontam essa convergência como relevante tanto para o compliance regulatório quanto para o </w:t>
      </w:r>
      <w:r>
        <w:rPr>
          <w:i/>
          <w:iCs/>
        </w:rPr>
        <w:t>compliance</w:t>
      </w:r>
      <w:r>
        <w:t xml:space="preserve"> regulatório quanto para responder a demandas de consumidores e produtores por autenticidade e sustentabilidade (Sun et al., 2019; Yang et al., 2023).</w:t>
      </w:r>
    </w:p>
    <w:p w14:paraId="6032B7F9" w14:textId="77777777" w:rsidR="00AB40ED" w:rsidRDefault="00076324">
      <w:pPr>
        <w:pStyle w:val="Corpodetexto"/>
      </w:pPr>
      <w:r>
        <w:t>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w:t>
      </w:r>
      <w:r>
        <w:t xml:space="preserve">de degradar o desempenho preditivo de modelos treinados em um único ciclo sazonal, um desafio conhecido em modelagem agroambiental (Kamilaris &amp; Prenafeta-Boldú, 2018). Sem essa validação </w:t>
      </w:r>
      <w:r>
        <w:lastRenderedPageBreak/>
        <w:t>temporal, a capacidade de generalização dos modelos permanece incerta, limitando sua confiabilidade para fins regulatórios.</w:t>
      </w:r>
    </w:p>
    <w:p w14:paraId="6032B7FA" w14:textId="77777777" w:rsidR="00AB40ED" w:rsidRDefault="00076324">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pode representar um risco para a integridade dos sistemas de certificação (Lones, 2021). Por fim, a escassez de </w:t>
      </w:r>
      <w:r>
        <w:t>diretrizes para a implementação prática em agências certificadoras (11% dos estudos) evidencia uma lacuna na translação do conhecimento, dificultando que os avanços da pesquisa acadêmica se convertam em impacto regulatório e operacional efetivo (Liakos et al., 2018).</w:t>
      </w:r>
    </w:p>
    <w:p w14:paraId="6032B7FB" w14:textId="77777777" w:rsidR="00AB40ED" w:rsidRDefault="00076324">
      <w:pPr>
        <w:pStyle w:val="Ttulo2"/>
      </w:pPr>
      <w:bookmarkStart w:id="38" w:name="X24a14d559198e7c311cdc31909ae236f9bc8ef2"/>
      <w:bookmarkEnd w:id="36"/>
      <w:r>
        <w:t>3.10 Implicações para Sistemas de Certificação de Indicações Geográficas</w:t>
      </w:r>
    </w:p>
    <w:p w14:paraId="6032B7FC" w14:textId="77777777" w:rsidR="00AB40ED" w:rsidRDefault="00076324">
      <w:r>
        <w:t>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w:t>
      </w:r>
      <w:r>
        <w:t>es não representadas no treinamento, com quedas de desempenho de até 15% nesses cenários (R. C. Chen et al., 2020; Effrosynidis &amp; Arampatzis, 2021; Kuhn &amp; Johnson, 2013), evidencia que a validação espacialmente independente é condição indispensável para que modelos baseados em ML sejam juridicamente defensáveis.</w:t>
      </w:r>
    </w:p>
    <w:p w14:paraId="6032B7FD" w14:textId="77777777" w:rsidR="00AB40ED" w:rsidRDefault="00076324">
      <w:pPr>
        <w:pStyle w:val="Corpodetexto"/>
      </w:pPr>
      <w:r>
        <w:t xml:space="preserve">Paralelamente, a crescente complexidade dos algoritmos, sobretudo em arquiteturas profundas, intensifica o problema da “caixa‑preta”. Como apenas 14% dos trabalhos empregaram técnicas de explicabilidade como SHAP ou LIME (Effrosynidis &amp; Arampatzis, 2021), persiste um descompasso entre o desempenho preditivo e a necessidade de transparência exigida por reguladores e produtores. A preferência por modelos inerentemente interpretáveis, como Random Forest com análise de importância de variáveis ou PLS-DA com </w:t>
      </w:r>
      <w:r>
        <w:rPr>
          <w:i/>
          <w:iCs/>
        </w:rPr>
        <w:t>loadings</w:t>
      </w:r>
      <w:r>
        <w:t xml:space="preserve"> explicitáveis, desponta como estratégia pragmática para equilibrar acurácia e explicabilidade, ao mesmo tempo em que viabiliza a identificação de marcadores territoriais passíveis de incorporação em normas técnicas.</w:t>
      </w:r>
    </w:p>
    <w:p w14:paraId="6032B7FE" w14:textId="77777777" w:rsidR="00AB40ED" w:rsidRDefault="00076324">
      <w:pPr>
        <w:pStyle w:val="Corpodetexto"/>
      </w:pPr>
      <w:r>
        <w:t xml:space="preserve">Do ponto de vista geográfico e setorial, a concentração de 72% dos estudos em produtos europeus e asiáticos, como vinhos, chás e azeites, abre uma oportunidade evidente para IGs de países em desenvolvimento, incluindo o Brasil, onde café, queijo, </w:t>
      </w:r>
      <w:r>
        <w:lastRenderedPageBreak/>
        <w:t>cachaça e cacau podem se beneficiar de metodologias já consolidadas (Frigerio &amp; Campone, 2024; Y. Li et al., 2025). A aplicação desses modelos a novas matrizes permitiria transformar IGs em ativos intangíveis estrategicamente manejados, nos termos da Visão Baseada em Recursos (Barney, 1991), embora abordagens de valoração econômica (custo, mercado, renda) ainda não estejam integradas aos modelos computacionais (Organization, 2003; Union, 2019).</w:t>
      </w:r>
    </w:p>
    <w:p w14:paraId="6032B7FF" w14:textId="77777777" w:rsidR="00AB40ED" w:rsidRDefault="00076324">
      <w:pPr>
        <w:pStyle w:val="Corpodetexto"/>
      </w:pPr>
      <w:r>
        <w:t>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pode ser relevante para a legitimidade social dos modelos (Huera-Lucero et al., 2025). No contexto brasileiro, marcos legais como a Lei 15.068/2024 (Lei Paul Singer) podem fomentar a criação de Empree</w:t>
      </w:r>
      <w:r>
        <w:t>ndimentos Econômicos Solidários especializados em ML (Brasil, 2024; Mazzucato, 2013), desde que acompanhados por redes laboratoriais com protocolos harmonizados (MAPA, 2020) e por arranjos de governança que definam claramente direitos de propriedade intelectual e mecanismos de repartição justa de benefícios derivados do conhecimento territorial.</w:t>
      </w:r>
    </w:p>
    <w:p w14:paraId="6032B800" w14:textId="77777777" w:rsidR="00AB40ED" w:rsidRDefault="00076324">
      <w:pPr>
        <w:pStyle w:val="Ttulo2"/>
      </w:pPr>
      <w:bookmarkStart w:id="39" w:name="conclusão"/>
      <w:bookmarkEnd w:id="38"/>
      <w:r>
        <w:t>4. Conclusão</w:t>
      </w:r>
    </w:p>
    <w:p w14:paraId="6032B801" w14:textId="77777777" w:rsidR="00AB40ED" w:rsidRDefault="00076324">
      <w:r>
        <w:t>Esta revisão de escopo mapeou a intersecção entre Machine Learning e certificação de origem, revelando um campo em maturação metodológica onde a escolha algorítmica obedece a uma ecologia de restrições informacionais e regulatórias, não apenas ao progresso tecnológico.</w:t>
      </w:r>
    </w:p>
    <w:p w14:paraId="6032B802" w14:textId="77777777" w:rsidR="00AB40ED" w:rsidRDefault="00076324">
      <w:pPr>
        <w:pStyle w:val="Corpodetexto"/>
      </w:pPr>
      <w:r>
        <w:t xml:space="preserve">A predominância de validações </w:t>
      </w:r>
      <w:r>
        <w:rPr>
          <w:i/>
          <w:iCs/>
        </w:rPr>
        <w:t>in silico</w:t>
      </w:r>
      <w:r>
        <w:t xml:space="preserve"> e a escassez de testes longitudinais e espaciais comprometem a robustez jurídica dos modelos, exigindo protocolos de validação mais rigorosos.</w:t>
      </w:r>
    </w:p>
    <w:p w14:paraId="6032B803" w14:textId="77777777" w:rsidR="00AB40ED" w:rsidRDefault="00076324">
      <w:pPr>
        <w:pStyle w:val="Corpodetexto"/>
      </w:pPr>
      <w:r>
        <w:t>A integração efetiva em sistemas de certificação demanda uma mudança de paradigma que priorize a explicabilidade e a reprodutibilidade em detrimento da complexidade arquitetural pura.</w:t>
      </w:r>
    </w:p>
    <w:p w14:paraId="6032B804" w14:textId="77777777" w:rsidR="00AB40ED" w:rsidRDefault="00076324">
      <w:pPr>
        <w:pStyle w:val="Corpodetexto"/>
      </w:pPr>
      <w:r>
        <w:t>Para o Sul Global, o caminho reside no desenvolvimento de metodologias adaptadas aos contextos locais e regimes de biodiversidade, incorporando dimensões de equidade e governança na distribuição dos benefícios do conhecimento territorial.</w:t>
      </w:r>
    </w:p>
    <w:p w14:paraId="6032B805" w14:textId="77777777" w:rsidR="00AB40ED" w:rsidRDefault="00076324">
      <w:pPr>
        <w:pStyle w:val="Corpodetexto"/>
      </w:pPr>
      <w:r>
        <w:t>A fragmentação atual em silos de dados limita o avanço do campo onde a criação de repositórios públicos padronizados e bibliotecas espectrais compartilhadas é essencial para permitir a validação cruzada global e garantir a transparência necessária aos sistemas de certificação.</w:t>
      </w:r>
    </w:p>
    <w:p w14:paraId="6032B806" w14:textId="77777777" w:rsidR="00AB40ED" w:rsidRDefault="00076324">
      <w:pPr>
        <w:pStyle w:val="Ttulo3"/>
      </w:pPr>
      <w:bookmarkStart w:id="40" w:name="financiamento"/>
      <w:r>
        <w:lastRenderedPageBreak/>
        <w:t>Financiamento</w:t>
      </w:r>
    </w:p>
    <w:p w14:paraId="6032B807" w14:textId="77777777" w:rsidR="00AB40ED" w:rsidRDefault="00076324">
      <w:r>
        <w:t>A publicação deste artigo foi financiada pelo Instituto Federal de Sergipe (IFS), por meio do Edital nº 29/2025/DPP/PROPEX/IFS.</w:t>
      </w:r>
    </w:p>
    <w:p w14:paraId="6032B808" w14:textId="77777777" w:rsidR="00AB40ED" w:rsidRDefault="00076324">
      <w:pPr>
        <w:pStyle w:val="Ttulo2"/>
      </w:pPr>
      <w:bookmarkStart w:id="41" w:name="agradecimentos"/>
      <w:bookmarkEnd w:id="40"/>
      <w:bookmarkEnd w:id="39"/>
      <w:r>
        <w:t>Agradecimentos</w:t>
      </w:r>
    </w:p>
    <w:p w14:paraId="6032B809" w14:textId="77777777" w:rsidR="00AB40ED" w:rsidRDefault="00076324">
      <w:r>
        <w:t>Os autores agradecem à Universidade Federal de Sergipe (UFS), à Universidade Estadual de Feira de Santana (UEFS) e ao Instituto Federal de Sergipe (IFS) pelo apoio institucional e infraestrutural que viabilizou a realização desta pesquisa.</w:t>
      </w:r>
    </w:p>
    <w:p w14:paraId="6032B80A" w14:textId="77777777" w:rsidR="00AB40ED" w:rsidRDefault="00076324">
      <w:pPr>
        <w:pStyle w:val="Ttulo2"/>
      </w:pPr>
      <w:bookmarkStart w:id="42" w:name="conflitos-de-interesse"/>
      <w:bookmarkEnd w:id="41"/>
      <w:r>
        <w:t>Conflitos de Interesse</w:t>
      </w:r>
    </w:p>
    <w:p w14:paraId="6032B80B" w14:textId="77777777" w:rsidR="00AB40ED" w:rsidRDefault="00076324">
      <w:r>
        <w:t>Os autores declaram não haver conflitos de interesse.</w:t>
      </w:r>
    </w:p>
    <w:p w14:paraId="6032B80C" w14:textId="77777777" w:rsidR="00AB40ED" w:rsidRDefault="00076324">
      <w:pPr>
        <w:pStyle w:val="Ttulo2"/>
      </w:pPr>
      <w:bookmarkStart w:id="43" w:name="declaração-de-disponibilidade-de-dados"/>
      <w:bookmarkEnd w:id="42"/>
      <w:r>
        <w:t>Declaração de Disponibilidade de Dados</w:t>
      </w:r>
    </w:p>
    <w:p w14:paraId="6032B80D" w14:textId="77777777" w:rsidR="00AB40ED" w:rsidRDefault="00076324">
      <w:r>
        <w:t xml:space="preserve">O conjunto de dados completo que suporta os resultados deste estudo, incluindo o corpus bibliográfico, os scripts de análise e os resultados intermediários, está publicamente disponível no repositório Open Science Framework (OSF) sob o DOI: </w:t>
      </w:r>
      <w:hyperlink r:id="rId13">
        <w:r>
          <w:rPr>
            <w:rStyle w:val="Hyperlink"/>
          </w:rPr>
          <w:t>https://doi.org/10.17605/OSF.IO/2EKYQ</w:t>
        </w:r>
      </w:hyperlink>
      <w:r>
        <w:t>.</w:t>
      </w:r>
    </w:p>
    <w:p w14:paraId="6032B80E" w14:textId="77777777" w:rsidR="00AB40ED" w:rsidRDefault="00076324">
      <w:pPr>
        <w:pStyle w:val="Ttulo1"/>
      </w:pPr>
      <w:bookmarkStart w:id="44" w:name="referências"/>
      <w:bookmarkEnd w:id="43"/>
      <w:bookmarkEnd w:id="21"/>
      <w:r>
        <w:t>Referências</w:t>
      </w:r>
    </w:p>
    <w:bookmarkEnd w:id="44"/>
    <w:sectPr w:rsidR="00AB40ED">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4FC5C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330598226">
    <w:abstractNumId w:val="0"/>
  </w:num>
  <w:num w:numId="25" w16cid:durableId="492724993">
    <w:abstractNumId w:val="1"/>
  </w:num>
  <w:num w:numId="26" w16cid:durableId="6672498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324"/>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1567"/>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40ED"/>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2B710"/>
  <w15:docId w15:val="{81E19CEA-E63C-41B3-829C-5F5781BA9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7605/OSF.IO/2EKYQ"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32</Pages>
  <Words>11883</Words>
  <Characters>64170</Characters>
  <Application>Microsoft Office Word</Application>
  <DocSecurity>0</DocSecurity>
  <Lines>534</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2025-11-21T14:05:00Z</dcterms:created>
  <dcterms:modified xsi:type="dcterms:W3CDTF">2025-11-21T14:06:00Z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