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54.png" ContentType="image/png"/>
  <Override PartName="/word/media/rId72.png" ContentType="image/png"/>
  <Override PartName="/word/media/rId46.png" ContentType="image/png"/>
  <Override PartName="/word/media/rId20.png" ContentType="image/png"/>
  <Override PartName="/word/media/rId62.png" ContentType="image/png"/>
  <Override PartName="/word/media/rId50.png" ContentType="image/png"/>
  <Override PartName="/word/media/rId41.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Machine Learning for Geographical Indications: A Scoping Review on Authentication, Certification and Open Data Ecosystems</w:t>
      </w:r>
    </w:p>
    <w:p>
      <w:pPr>
        <w:pStyle w:val="Author"/>
      </w:pPr>
      <w:r>
        <w:t xml:space="preserve">Catuxe Varjão de Santana Oliveira, Paulo Roberto Gagliardi, Luiz Diego Vidal Santos, Gustavo da Silva Quirino, Ana Karla de Souza Abud, Cristiane Toniolo Dias</w:t>
      </w:r>
    </w:p>
    <w:bookmarkStart w:id="17" w:name="abstract"/>
    <w:p>
      <w:pPr>
        <w:pStyle w:val="Ttulo1"/>
      </w:pPr>
      <w:r>
        <w:t xml:space="preserve">Abstract</w:t>
      </w:r>
    </w:p>
    <w:p>
      <w:pPr>
        <w:pStyle w:val="FirstParagraph"/>
      </w:pPr>
      <w:r>
        <w:t xml:space="preserve">Geographical Indications (GIs) anchor product quality to territory, necessitating robust authentication mechanisms. While Machine Learning (ML) offers powerful tools for origin verification, the field lacks a systematic synthesis of its applications. This scoping review maps ML utilization in GIs, characterizing algorithms, matrices, and methodological rigor across 148 peer-reviewed studies (2010–2025) retrieved from Scopus and Web of Science. The methodology integrated automated semantic filtering (94.2% precision), manual quality assessment (ICC = 0.87), and multivariate statistical analysis. Results reveal a 400% surge in research output since 2018, clustering into three technological modules: Random Forest coupled with spectroscopy (wines), SVM with chromatography (meats), and Deep Learning with sensor arrays (teas). Despite reported accuracies of 80–100%, generalization remains a critical bottleneck. Only 23% of studies employed spatially independent validation, revealing performance drops of 2–15% and widespread statistical optimism bias. We conclude that while ML effectively discriminates origin, regulatory adoption demands longitudinal validation protocols, enhanced model explainability, and equitable governance to ensure reliable integration into certification frameworks.</w:t>
      </w:r>
    </w:p>
    <w:p>
      <w:pPr>
        <w:pStyle w:val="Corpodetexto"/>
      </w:pPr>
      <w:r>
        <w:rPr>
          <w:b/>
          <w:bCs/>
        </w:rPr>
        <w:t xml:space="preserve">Keywords:</w:t>
      </w:r>
      <w:r>
        <w:t xml:space="preserve"> </w:t>
      </w:r>
      <w:r>
        <w:t xml:space="preserve">Geographical Indications; Machine Learning; Artificial Intelligence; Food Traceability; Agroecological Products; Intellectual Property; Territorial Justice; Scoping Review.</w:t>
      </w:r>
    </w:p>
    <w:bookmarkEnd w:id="17"/>
    <w:bookmarkStart w:id="18" w:name="introduction"/>
    <w:p>
      <w:pPr>
        <w:pStyle w:val="Ttulo1"/>
      </w:pPr>
      <w:r>
        <w:t xml:space="preserve">1. Introduction</w:t>
      </w:r>
    </w:p>
    <w:p>
      <w:pPr>
        <w:pStyle w:val="FirstParagraph"/>
      </w:pPr>
      <w:r>
        <w:t xml:space="preserve">Geographical Indications (GIs) safeguard territories and products within the knowledge economy, granting exclusive rights over goods whose quality, reputation, and characteristics stem from their geographical origin</w:t>
      </w:r>
      <w:r>
        <w:t xml:space="preserve"> </w:t>
      </w:r>
      <w:r>
        <w:t xml:space="preserve">(Locatelli, 2008; WIPO, 2018)</w:t>
      </w:r>
      <w:r>
        <w:t xml:space="preserve">. Grounded in the Berne Convention</w:t>
      </w:r>
      <w:r>
        <w:t xml:space="preserve"> </w:t>
      </w:r>
      <w:r>
        <w:t xml:space="preserve">(</w:t>
      </w:r>
      <w:r>
        <w:rPr>
          <w:i/>
          <w:iCs/>
        </w:rPr>
        <w:t xml:space="preserve">Convenção de Berna Para a Proteção Das Obras Literárias e Artísticas</w:t>
      </w:r>
      <w:r>
        <w:t xml:space="preserve">, 1886)</w:t>
      </w:r>
      <w:r>
        <w:t xml:space="preserve"> </w:t>
      </w:r>
      <w:r>
        <w:t xml:space="preserve">and the TRIPS Agreement</w:t>
      </w:r>
      <w:r>
        <w:t xml:space="preserve"> </w:t>
      </w:r>
      <w:r>
        <w:t xml:space="preserve">(</w:t>
      </w:r>
      <w:r>
        <w:rPr>
          <w:i/>
          <w:iCs/>
        </w:rPr>
        <w:t xml:space="preserve">Agreement on Trade-Related Aspects of Intellectual Property Rights (TRIPS)</w:t>
      </w:r>
      <w:r>
        <w:t xml:space="preserve">, 1994)</w:t>
      </w:r>
      <w:r>
        <w:t xml:space="preserve">, GIs link productive territories and local communities to niche markets, coupling rights protection with traditional knowledge preservation</w:t>
      </w:r>
      <w:r>
        <w:t xml:space="preserve"> </w:t>
      </w:r>
      <w:r>
        <w:t xml:space="preserve">(Suh &amp; Macpherson, 2007)</w:t>
      </w:r>
      <w:r>
        <w:t xml:space="preserve">. Beyond their legal function, GIs represent strategic intangible assets under the Resource-Based View theory. They act as rare, valuable, inimitable, and non-substitutable resources that underpin sustainable territorial competitive advantage</w:t>
      </w:r>
      <w:r>
        <w:t xml:space="preserve"> </w:t>
      </w:r>
      <w:r>
        <w:t xml:space="preserve">(Barney, 1991)</w:t>
      </w:r>
      <w:r>
        <w:t xml:space="preserve">. Value appropriation through GIs extends beyond immediate profitability; it anchors future value capture by leveraging differentiated markets and consumer willingness to pay premiums for certified origin products</w:t>
      </w:r>
      <w:r>
        <w:t xml:space="preserve"> </w:t>
      </w:r>
      <w:r>
        <w:t xml:space="preserve">(Loureiro &amp; McCluskey, 2002; Vázquez‐Fontes et al., 2010)</w:t>
      </w:r>
      <w:r>
        <w:t xml:space="preserve">.</w:t>
      </w:r>
    </w:p>
    <w:p>
      <w:pPr>
        <w:pStyle w:val="Corpodetexto"/>
      </w:pPr>
      <w:r>
        <w:t xml:space="preserve">In Brazil, the Industrial Property Law (Law No. 9.279/1996) regulates GIs, establishing two recognition categories with distinct legal and economic implications: Indication of Provenance (IP) and Denomination of Origin (DO)</w:t>
      </w:r>
      <w:r>
        <w:t xml:space="preserve"> </w:t>
      </w:r>
      <w:r>
        <w:t xml:space="preserve">(Brasil, 1996)</w:t>
      </w:r>
      <w:r>
        <w:t xml:space="preserve">. An IP refers to a geographical name renowned for producing or manufacturing a specific product, serving as an origin signaling mechanism. Conversely, a DO designates products whose qualities result exclusively or essentially from the geographical environment, including natural and human factors. This category offers robust protection by directly linking quality to</w:t>
      </w:r>
      <w:r>
        <w:t xml:space="preserve"> </w:t>
      </w:r>
      <w:r>
        <w:rPr>
          <w:i/>
          <w:iCs/>
        </w:rPr>
        <w:t xml:space="preserve">terroir</w:t>
      </w:r>
      <w:r>
        <w:t xml:space="preserve"> </w:t>
      </w:r>
      <w:r>
        <w:t xml:space="preserve">(MAPA, 2020)</w:t>
      </w:r>
      <w:r>
        <w:t xml:space="preserve">.</w:t>
      </w:r>
    </w:p>
    <w:p>
      <w:pPr>
        <w:pStyle w:val="Corpodetexto"/>
      </w:pPr>
      <w:r>
        <w:t xml:space="preserve">The National Institute of Industrial Property (INPI) manages registration control, supported by the Ministry of Agriculture, Livestock, and Supply, which implements policies for fostering and certifying agricultural products with territorial identity</w:t>
      </w:r>
      <w:r>
        <w:t xml:space="preserve"> </w:t>
      </w:r>
      <w:r>
        <w:t xml:space="preserve">(MAPA, 2020)</w:t>
      </w:r>
      <w:r>
        <w:t xml:space="preserve">. This regulatory framework aligns with the Innovation Law (No. 10.973/2004) and the New Legal Framework for Science, Technology, and Innovation (No. 13.243/2016), recognizing GIs as intellectual property assets eligible for strategic protection, valuation, and commercialization</w:t>
      </w:r>
      <w:r>
        <w:t xml:space="preserve"> </w:t>
      </w:r>
      <w:r>
        <w:t xml:space="preserve">(Brasil, 2004, 2016)</w:t>
      </w:r>
      <w:r>
        <w:t xml:space="preserve">.</w:t>
      </w:r>
    </w:p>
    <w:p>
      <w:pPr>
        <w:pStyle w:val="Corpodetexto"/>
      </w:pPr>
      <w:r>
        <w:t xml:space="preserve">Brazilian artisanal and agri-food products with GI potential represent significant cultural manifestations and strategic opportunities for territorial value capture. Research links the unique characteristics of regional products, such as Lower São Francisco artisanal ceramics or specialized wines, to specific geographical attributes, including edaphoclimatic conditions (soil, climate, altitude) and distinct production methods</w:t>
      </w:r>
      <w:r>
        <w:t xml:space="preserve"> </w:t>
      </w:r>
      <w:r>
        <w:t xml:space="preserve">(</w:t>
      </w:r>
      <w:r>
        <w:t xml:space="preserve">al.</w:t>
      </w:r>
      <w:r>
        <w:t xml:space="preserve">, 2011; Bureau &amp; Freitas, 2018; Fonzo &amp; Russo, 2015; H. G. Santos et al., 2018; J. C. Santos &amp; Santos, 2019)</w:t>
      </w:r>
      <w:r>
        <w:t xml:space="preserve">. Territorial characterization, required for DO recognition under Article 178 of Law No. 9.279/1996</w:t>
      </w:r>
      <w:r>
        <w:t xml:space="preserve"> </w:t>
      </w:r>
      <w:r>
        <w:t xml:space="preserve">(Brasil, 1996)</w:t>
      </w:r>
      <w:r>
        <w:t xml:space="preserve">, demands rigorous technical analyses to scientifically validate the relationship between quality and geographical factors</w:t>
      </w:r>
      <w:r>
        <w:t xml:space="preserve"> </w:t>
      </w:r>
      <w:r>
        <w:t xml:space="preserve">(Gonçalves-Maduro et al., 2020)</w:t>
      </w:r>
      <w:r>
        <w:t xml:space="preserve">. This requirement raises a central question: how can certification systems rigorously and objectively validate the link between geographical origin and product quality?</w:t>
      </w:r>
    </w:p>
    <w:p>
      <w:pPr>
        <w:pStyle w:val="Corpodetexto"/>
      </w:pPr>
      <w:r>
        <w:t xml:space="preserve">Machine Learning (ML) technologies address this gap by transforming complex analytical data into certifiable knowledge regarding authenticity and origin. Unlike traditional sensory analysis, which relies on tacit human expertise and suffers from subjectivity and scalability limits, ML algorithms operate via inductive or abductive logic. They automatically process multidimensional data, identifying non-linear patterns and latent relationships often missed by classical hypothesis-testing statistics. The ability to build models with flexible functional forms reveals data structures unspecified by theory, providing mathematical robustness to territorial certification</w:t>
      </w:r>
      <w:r>
        <w:t xml:space="preserve"> </w:t>
      </w:r>
      <w:r>
        <w:t xml:space="preserve">(R. C. Chen et al., 2020; Ramos et al., 2025)</w:t>
      </w:r>
      <w:r>
        <w:t xml:space="preserve">.</w:t>
      </w:r>
    </w:p>
    <w:p>
      <w:pPr>
        <w:pStyle w:val="Corpodetexto"/>
      </w:pPr>
      <w:r>
        <w:t xml:space="preserve">In the GI context, Machine Learning supports origin authentication, fraud detection, predictive quality control, and full traceability. It operates on chemical, isotopic, spectral, and geospatial signatures that capture the product-territory relationship</w:t>
      </w:r>
      <w:r>
        <w:t xml:space="preserve"> </w:t>
      </w:r>
      <w:r>
        <w:t xml:space="preserve">(Acquarelli et al., 2021; Longo et al., 2021; Rana et al., 2023; Rodrigues et al., 2022)</w:t>
      </w:r>
      <w:r>
        <w:t xml:space="preserve">. Integrating high-dimensional instrumental data with supervised models enables origin discrimination, adulteration identification, and sensory/physicochemical attribute estimation with precision meeting certification standards</w:t>
      </w:r>
      <w:r>
        <w:t xml:space="preserve"> </w:t>
      </w:r>
      <w:r>
        <w:t xml:space="preserve">(Jiang et al., 2025; Y. Li et al., 2025; Peng et al., 2025; Santomá-Martí et al., 2025; Wang et al., 2025)</w:t>
      </w:r>
      <w:r>
        <w:t xml:space="preserve">.</w:t>
      </w:r>
    </w:p>
    <w:p>
      <w:pPr>
        <w:pStyle w:val="Corpodetexto"/>
      </w:pPr>
      <w:r>
        <w:t xml:space="preserve">Variable selection and algorithm choice, particularly Random Forest, SVM, PLS-DA, PCA, and selection methods like Boruta and RFE, transcend technical decisions to become components of the regulatory architecture. They define which territorial markers qualify as evidence of authenticity</w:t>
      </w:r>
      <w:r>
        <w:t xml:space="preserve"> </w:t>
      </w:r>
      <w:r>
        <w:t xml:space="preserve">(R. C. Chen et al., 2020; Effrosynidis &amp; Arampatzis, 2021; Iranzad &amp; Liu, 2025; Loyal et al., 2022; Malik et al., 2023; Rebiai et al., 2022;</w:t>
      </w:r>
      <w:r>
        <w:t xml:space="preserve"> </w:t>
      </w:r>
      <w:r>
        <w:t xml:space="preserve">Salam et al.</w:t>
      </w:r>
      <w:r>
        <w:t xml:space="preserve">, 2021)</w:t>
      </w:r>
      <w:r>
        <w:t xml:space="preserve">.</w:t>
      </w:r>
    </w:p>
    <w:p>
      <w:pPr>
        <w:pStyle w:val="Corpodetexto"/>
      </w:pPr>
      <w:r>
        <w:t xml:space="preserve">Despite current academic and technological interest, no scoping reviews systematically synthesize available scientific evidence, identify employed techniques, evaluate performance across products and geographical contexts, or indicate future research directions. This limitation hinders methodological development and knowledge transfer to GI certification and control systems.</w:t>
      </w:r>
    </w:p>
    <w:p>
      <w:pPr>
        <w:pStyle w:val="Corpodetexto"/>
      </w:pPr>
      <w:r>
        <w:t xml:space="preserve">This scoping review systematically maps Machine Learning applications in Geographical Indications, using the PCC framework (</w:t>
      </w:r>
      <w:r>
        <w:rPr>
          <w:i/>
          <w:iCs/>
        </w:rPr>
        <w:t xml:space="preserve">Population, Concept, Context</w:t>
      </w:r>
      <w:r>
        <w:t xml:space="preserve">) to synthesize scientific evidence on integrating ML with territorial aspects. We hypothesize that Machine Learning techniques support authentication, evaluation, and decision-making processes in GIs, revealing methodological patterns that consolidate knowledge for developing computational models in geographical certification.</w:t>
      </w:r>
    </w:p>
    <w:bookmarkEnd w:id="18"/>
    <w:bookmarkStart w:id="40" w:name="materials-and-methods"/>
    <w:p>
      <w:pPr>
        <w:pStyle w:val="Ttulo1"/>
      </w:pPr>
      <w:r>
        <w:t xml:space="preserve">2. Materials and Methods</w:t>
      </w:r>
    </w:p>
    <w:p>
      <w:pPr>
        <w:pStyle w:val="FirstParagraph"/>
      </w:pPr>
      <w:r>
        <w:t xml:space="preserve">This scoping review follows the PRISMA-ScR guidelines (</w:t>
      </w:r>
      <w:r>
        <w:rPr>
          <w:i/>
          <w:iCs/>
        </w:rPr>
        <w:t xml:space="preserve">Preferred Reporting Items for Systematic Reviews and Meta-Analyses extension for Scoping Reviews</w:t>
      </w:r>
      <w:r>
        <w:t xml:space="preserve">) to ensure methodological transparency and reproducibility. The protocol is registered on the Open Science Framework to facilitate public access and replicability.</w:t>
      </w:r>
    </w:p>
    <w:bookmarkStart w:id="19" w:name="research-question"/>
    <w:p>
      <w:pPr>
        <w:pStyle w:val="Ttulo2"/>
      </w:pPr>
      <w:r>
        <w:t xml:space="preserve">2.1 Research Question</w:t>
      </w:r>
    </w:p>
    <w:p>
      <w:pPr>
        <w:pStyle w:val="FirstParagraph"/>
      </w:pPr>
      <w:r>
        <w:t xml:space="preserve">The study employs the PCC framework (</w:t>
      </w:r>
      <w:r>
        <w:rPr>
          <w:i/>
          <w:iCs/>
        </w:rPr>
        <w:t xml:space="preserve">Population, Concept, Context</w:t>
      </w:r>
      <w:r>
        <w:t xml:space="preserve">) to formulate the research question:</w:t>
      </w:r>
      <w:r>
        <w:t xml:space="preserve"> </w:t>
      </w:r>
      <w:r>
        <w:rPr>
          <w:i/>
          <w:iCs/>
        </w:rPr>
        <w:t xml:space="preserve">How have Machine Learning techniques been applied for authentication, evaluation, and decision support in Geographical Indications systems?</w:t>
      </w:r>
    </w:p>
    <w:p>
      <w:pPr>
        <w:pStyle w:val="Corpodetexto"/>
      </w:pPr>
      <w:r>
        <w:rPr>
          <w:b/>
          <w:bCs/>
        </w:rPr>
        <w:t xml:space="preserve">Table 1.</w:t>
      </w:r>
      <w:r>
        <w:t xml:space="preserve"> </w:t>
      </w:r>
      <w:r>
        <w:t xml:space="preserve">Structure of the scoping review according to the PCC framework.</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w:t>
            </w:r>
          </w:p>
        </w:tc>
        <w:tc>
          <w:tcPr/>
          <w:p>
            <w:pPr>
              <w:pStyle w:val="Compact"/>
              <w:jc w:val="left"/>
            </w:pPr>
            <w:r>
              <w:t xml:space="preserve">Description</w:t>
            </w:r>
          </w:p>
        </w:tc>
      </w:tr>
      <w:tr>
        <w:tc>
          <w:tcPr/>
          <w:p>
            <w:pPr>
              <w:pStyle w:val="Compact"/>
              <w:jc w:val="left"/>
            </w:pPr>
            <w:r>
              <w:rPr>
                <w:b/>
                <w:bCs/>
              </w:rPr>
              <w:t xml:space="preserve">P (Population)</w:t>
            </w:r>
          </w:p>
        </w:tc>
        <w:tc>
          <w:tcPr/>
          <w:p>
            <w:pPr>
              <w:pStyle w:val="Compact"/>
              <w:jc w:val="left"/>
            </w:pPr>
            <w:r>
              <w:t xml:space="preserve">Geographical Indications, Denominations of Origin, and Indications of Provenance recognized nationally and internationally, encompassing agro-food products (wines, cheeses, coffees, meats, olive oils), crafts, and other products with territorial identity.</w:t>
            </w:r>
          </w:p>
        </w:tc>
      </w:tr>
      <w:tr>
        <w:tc>
          <w:tcPr/>
          <w:p>
            <w:pPr>
              <w:pStyle w:val="Compact"/>
              <w:jc w:val="left"/>
            </w:pPr>
            <w:r>
              <w:rPr>
                <w:b/>
                <w:bCs/>
              </w:rPr>
              <w:t xml:space="preserve">C (Concept)</w:t>
            </w:r>
          </w:p>
        </w:tc>
        <w:tc>
          <w:tcPr/>
          <w:p>
            <w:pPr>
              <w:pStyle w:val="Compact"/>
              <w:jc w:val="left"/>
            </w:pPr>
            <w:r>
              <w:t xml:space="preserve">Machine Learning, Artificial Intelligence, classification and prediction algorithms, chemometric methods, Data Mining, and Natural Language Processing applied to Geographical Indications contexts.</w:t>
            </w:r>
          </w:p>
        </w:tc>
      </w:tr>
      <w:tr>
        <w:tc>
          <w:tcPr/>
          <w:p>
            <w:pPr>
              <w:pStyle w:val="Compact"/>
              <w:jc w:val="left"/>
            </w:pPr>
            <w:r>
              <w:rPr>
                <w:b/>
                <w:bCs/>
              </w:rPr>
              <w:t xml:space="preserve">C (Context)</w:t>
            </w:r>
          </w:p>
        </w:tc>
        <w:tc>
          <w:tcPr/>
          <w:p>
            <w:pPr>
              <w:pStyle w:val="Compact"/>
              <w:jc w:val="left"/>
            </w:pPr>
            <w:r>
              <w:t xml:space="preserve">Geographical origin authentication, GI potential assessment, identification of territorial determinants (soil, climate, production methods), product classification and discrimination, decision support systems for certification, quality control, traceability, fraud detection and adulterations, and territorial valorization strategies.</w:t>
            </w:r>
          </w:p>
        </w:tc>
      </w:tr>
    </w:tbl>
    <w:p>
      <w:pPr>
        <w:pStyle w:val="Corpodetexto"/>
      </w:pPr>
      <w:r>
        <w:t xml:space="preserve">This study identifies and characterizes ML applications reported in the literature, categorizing techniques by algorithm type, methodological approach, and performance metrics. Furthermore, it analyzes the distribution of applications by product type, geographical region, and time period, identifying methodological gaps, limitations, and directions for future research.</w:t>
      </w:r>
    </w:p>
    <w:bookmarkEnd w:id="19"/>
    <w:bookmarkStart w:id="24" w:name="prisma-scr-methodological-flowchart"/>
    <w:p>
      <w:pPr>
        <w:pStyle w:val="Ttulo2"/>
      </w:pPr>
      <w:r>
        <w:t xml:space="preserve">2.1.1 PRISMA-ScR Methodological Flowchart</w:t>
      </w:r>
    </w:p>
    <w:p>
      <w:pPr>
        <w:pStyle w:val="FirstParagraph"/>
      </w:pPr>
      <w:r>
        <w:t xml:space="preserve">Figure 1 presents the methodological flowchart, structured in four sequential phases: (1) Main database search strategies, (2) Automated filtering with a weighted scoring system, (3) Manual quality assessment with multidisciplinary evaluation, and (4) Bibliometric analysis and qualitative synthesis integrating quantitative and documentary methodologies. The flowchart details the path from record identification to final synthesis, offering recommendations for Machine Learning implementation in Geographical Indications systems.</w:t>
      </w:r>
    </w:p>
    <w:p>
      <w:pPr>
        <w:pStyle w:val="Corpodetexto"/>
      </w:pPr>
      <w:r>
        <w:rPr>
          <w:b/>
          <w:bCs/>
        </w:rPr>
        <w:t xml:space="preserve">Figure 1.</w:t>
      </w:r>
      <w:r>
        <w:t xml:space="preserve"> </w:t>
      </w:r>
      <w:r>
        <w:t xml:space="preserve">Scoping Review Flowchart on Machine Learning Applications in Geographical Indications.</w:t>
      </w:r>
    </w:p>
    <w:p>
      <w:pPr>
        <w:pStyle w:val="Corpodetexto"/>
      </w:pPr>
      <w:bookmarkStart w:id="23" w:name="fig:ml_indicacoes"/>
      <w:r>
        <w:drawing>
          <wp:inline>
            <wp:extent cx="4480560" cy="1451884"/>
            <wp:effectExtent b="0" l="0" r="0" t="0"/>
            <wp:docPr descr="" title="" id="21" name="Picture"/>
            <a:graphic>
              <a:graphicData uri="http://schemas.openxmlformats.org/drawingml/2006/picture">
                <pic:pic>
                  <pic:nvPicPr>
                    <pic:cNvPr descr="2-FIGURAS/2-EN/ml_indicacoes_geograficas.png" id="22" name="Picture"/>
                    <pic:cNvPicPr>
                      <a:picLocks noChangeArrowheads="1" noChangeAspect="1"/>
                    </pic:cNvPicPr>
                  </pic:nvPicPr>
                  <pic:blipFill>
                    <a:blip r:embed="rId20"/>
                    <a:stretch>
                      <a:fillRect/>
                    </a:stretch>
                  </pic:blipFill>
                  <pic:spPr bwMode="auto">
                    <a:xfrm>
                      <a:off x="0" y="0"/>
                      <a:ext cx="4480560" cy="1451884"/>
                    </a:xfrm>
                    <a:prstGeom prst="rect">
                      <a:avLst/>
                    </a:prstGeom>
                    <a:noFill/>
                    <a:ln w="9525">
                      <a:noFill/>
                      <a:headEnd/>
                      <a:tailEnd/>
                    </a:ln>
                  </pic:spPr>
                </pic:pic>
              </a:graphicData>
            </a:graphic>
          </wp:inline>
        </w:drawing>
      </w:r>
      <w:bookmarkEnd w:id="23"/>
    </w:p>
    <w:bookmarkEnd w:id="24"/>
    <w:bookmarkStart w:id="25" w:name="search-strategy-and-study-extraction"/>
    <w:p>
      <w:pPr>
        <w:pStyle w:val="Ttulo2"/>
      </w:pPr>
      <w:r>
        <w:t xml:space="preserve">2.3 Search Strategy and Study Extraction</w:t>
      </w:r>
    </w:p>
    <w:p>
      <w:pPr>
        <w:pStyle w:val="FirstParagraph"/>
      </w:pPr>
      <w:r>
        <w:t xml:space="preserve">Searches targeted Scopus (Elsevier) and Web of Science (Clarivate Analytics), intersecting three main thematic domains: machine learning and artificial intelligence techniques; geographical certification systems; and Geographical Indications/Denominations of Origin.</w:t>
      </w:r>
    </w:p>
    <w:p>
      <w:pPr>
        <w:pStyle w:val="Corpodetexto"/>
      </w:pPr>
      <w:r>
        <w:t xml:space="preserve">Descriptors employed controlled English terminology and Boolean operators (AND, OR, NOT), covering publications from 2010 to 2025 to capture the state of the art. The search strategy followed this logic:</w:t>
      </w:r>
    </w:p>
    <w:p>
      <w:pPr>
        <w:pStyle w:val="Corpodetexto"/>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Corpodetexto"/>
      </w:pPr>
      <w:r>
        <w:t xml:space="preserve">Inclusion criteria comprised peer-reviewed articles in English, Portuguese, or Spanish presenting ML applications in GI contexts, origin authentication, or territorial quality control. Primary descriptors were required in the title, abstract, or keywords. Non-peer-reviewed works, studies lacking practical ML application, and those focused exclusively on non-territorial aspects were excluded.</w:t>
      </w:r>
    </w:p>
    <w:p>
      <w:pPr>
        <w:pStyle w:val="Corpodetexto"/>
      </w:pPr>
      <w:r>
        <w:t xml:space="preserve">Data extraction utilized a standardized form to record bibliographic metadata (author, year, title), geographical characteristics (country of origin, region, GI type), product details (category, specific denomination), methodological approach (ML algorithms, analytical/instrumental techniques, sample size), and performance metrics (accuracy, sensitivity, specificity, RMSE).</w:t>
      </w:r>
    </w:p>
    <w:bookmarkEnd w:id="25"/>
    <w:bookmarkStart w:id="30" w:name="X51a6d4fed22c50e5cdc3d87d9e5591a17f81ebc"/>
    <w:p>
      <w:pPr>
        <w:pStyle w:val="Ttulo2"/>
      </w:pPr>
      <w:r>
        <w:t xml:space="preserve">2.4 First Phase: Automated Thematic Relevance Filtering System</w:t>
      </w:r>
    </w:p>
    <w:bookmarkStart w:id="26" w:name="weighted-scoring-algorithm"/>
    <w:p>
      <w:pPr>
        <w:pStyle w:val="Ttulo3"/>
      </w:pPr>
      <w:r>
        <w:t xml:space="preserve">2.4.1 Weighted Scoring Algorithm</w:t>
      </w:r>
    </w:p>
    <w:p>
      <w:pPr>
        <w:pStyle w:val="FirstParagraph"/>
      </w:pPr>
      <w:r>
        <w:t xml:space="preserve">Complementing manual screening, an automated filtering system assigns thematic relevance scores based on descriptor presence and location in the title, abstract, and keywords. Implemented in Python (NLTK, spaCy), the algorithm applies a hierarchical weighting scheme to each identified term. The scoring system adheres to Analytic Hierarchy Process (AHP) principles (Equation 1), organizing descriptors into five categories with differentiated weights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where:</w:t>
      </w:r>
    </w:p>
    <w:p>
      <w:pPr>
        <w:pStyle w:val="Compact"/>
        <w:numPr>
          <w:ilvl w:val="0"/>
          <w:numId w:val="1001"/>
        </w:numPr>
      </w:pPr>
      <m:oMath>
        <m:sSub>
          <m:e>
            <m:r>
              <m:t>S</m:t>
            </m:r>
          </m:e>
          <m:sub>
            <m:r>
              <m:t>i</m:t>
            </m:r>
          </m:sub>
        </m:sSub>
      </m:oMath>
      <w:r>
        <w:t xml:space="preserve"> </w:t>
      </w:r>
      <w:r>
        <w:t xml:space="preserve">= total score of article</w:t>
      </w:r>
      <w:r>
        <w:t xml:space="preserve"> </w:t>
      </w:r>
      <m:oMath>
        <m:r>
          <m:t>i</m:t>
        </m:r>
      </m:oMath>
    </w:p>
    <w:p>
      <w:pPr>
        <w:pStyle w:val="Compact"/>
        <w:numPr>
          <w:ilvl w:val="0"/>
          <w:numId w:val="1001"/>
        </w:numPr>
      </w:pPr>
      <m:oMath>
        <m:sSub>
          <m:e>
            <m:r>
              <m:t>w</m:t>
            </m:r>
          </m:e>
          <m:sub>
            <m:r>
              <m:t>j</m:t>
            </m:r>
          </m:sub>
        </m:sSub>
      </m:oMath>
      <w:r>
        <w:t xml:space="preserve"> </w:t>
      </w:r>
      <w:r>
        <w:t xml:space="preserve">= weight associated with term</w:t>
      </w:r>
      <w:r>
        <w:t xml:space="preserve"> </w:t>
      </w:r>
      <m:oMath>
        <m:r>
          <m:t>j</m:t>
        </m:r>
      </m:oMath>
      <w:r>
        <w:t xml:space="preserve"> </w:t>
      </w:r>
      <w:r>
        <w:t xml:space="preserve">(categorized in 5 levels: 5, 3, 2, 1, or -5/-3/-2 points)</w:t>
      </w:r>
    </w:p>
    <w:p>
      <w:pPr>
        <w:pStyle w:val="Compact"/>
        <w:numPr>
          <w:ilvl w:val="0"/>
          <w:numId w:val="1001"/>
        </w:numPr>
      </w:pPr>
      <m:oMath>
        <m:sSub>
          <m:e>
            <m:r>
              <m:t>l</m:t>
            </m:r>
          </m:e>
          <m:sub>
            <m:r>
              <m:t>i</m:t>
            </m:r>
          </m:sub>
        </m:sSub>
      </m:oMath>
      <w:r>
        <w:t xml:space="preserve"> </w:t>
      </w:r>
      <w:r>
        <w:t xml:space="preserve">= location multiplier (1.5 for title, 1.2 for keywords, 1.0 for abstract)</w:t>
      </w:r>
    </w:p>
    <w:p>
      <w:pPr>
        <w:pStyle w:val="Compact"/>
        <w:numPr>
          <w:ilvl w:val="0"/>
          <w:numId w:val="1001"/>
        </w:numPr>
      </w:pPr>
      <m:oMath>
        <m:sSub>
          <m:e>
            <m:r>
              <m:t>f</m:t>
            </m:r>
          </m:e>
          <m:sub>
            <m:r>
              <m:t>i</m:t>
            </m:r>
            <m:r>
              <m:t>j</m:t>
            </m:r>
          </m:sub>
        </m:sSub>
      </m:oMath>
      <w:r>
        <w:t xml:space="preserve"> </w:t>
      </w:r>
      <w:r>
        <w:t xml:space="preserve">= frequency of occurrence of term</w:t>
      </w:r>
      <w:r>
        <w:t xml:space="preserve"> </w:t>
      </w:r>
      <m:oMath>
        <m:r>
          <m:t>j</m:t>
        </m:r>
      </m:oMath>
      <w:r>
        <w:t xml:space="preserve"> </w:t>
      </w:r>
      <w:r>
        <w:t xml:space="preserve">in article</w:t>
      </w:r>
      <w:r>
        <w:t xml:space="preserve"> </w:t>
      </w:r>
      <m:oMath>
        <m:r>
          <m:t>i</m:t>
        </m:r>
      </m:oMath>
    </w:p>
    <w:p>
      <w:pPr>
        <w:pStyle w:val="Compact"/>
        <w:numPr>
          <w:ilvl w:val="0"/>
          <w:numId w:val="1001"/>
        </w:numPr>
      </w:pPr>
      <m:oMath>
        <m:r>
          <m:t>n</m:t>
        </m:r>
      </m:oMath>
      <w:r>
        <w:t xml:space="preserve"> </w:t>
      </w:r>
      <w:r>
        <w:t xml:space="preserve">= total number of terms evaluated</w:t>
      </w:r>
    </w:p>
    <w:p>
      <w:pPr>
        <w:pStyle w:val="FirstParagraph"/>
      </w:pPr>
      <w:r>
        <w:t xml:space="preserve">Priority terms (5 points) represent the core conceptual review (e.g.,</w:t>
      </w:r>
      <w:r>
        <w:t xml:space="preserve"> </w:t>
      </w:r>
      <w:r>
        <w:rPr>
          <w:i/>
          <w:iCs/>
        </w:rPr>
        <w:t xml:space="preserve">geographical indications, traceability, authentication</w:t>
      </w:r>
      <w:r>
        <w:t xml:space="preserve">). High relevance terms (3 points) capture central methodological concepts (e.g.,</w:t>
      </w:r>
      <w:r>
        <w:t xml:space="preserve"> </w:t>
      </w:r>
      <w:r>
        <w:rPr>
          <w:i/>
          <w:iCs/>
        </w:rPr>
        <w:t xml:space="preserve">machine learning, deep learning, neural networks</w:t>
      </w:r>
      <w:r>
        <w:t xml:space="preserve">). Medium relevance terms (2 points) cover complementary themes (e.g.,</w:t>
      </w:r>
      <w:r>
        <w:t xml:space="preserve"> </w:t>
      </w:r>
      <w:r>
        <w:rPr>
          <w:i/>
          <w:iCs/>
        </w:rPr>
        <w:t xml:space="preserve">chemometrics, data mining</w:t>
      </w:r>
      <w:r>
        <w:t xml:space="preserve">), while Context terms (1 point) indicate potential environments (e.g.,</w:t>
      </w:r>
      <w:r>
        <w:t xml:space="preserve"> </w:t>
      </w:r>
      <w:r>
        <w:rPr>
          <w:i/>
          <w:iCs/>
        </w:rPr>
        <w:t xml:space="preserve">regional products, certification</w:t>
      </w:r>
      <w:r>
        <w:t xml:space="preserve">). Exclusion terms receive negative weights to penalize out-of-scope records, particularly in</w:t>
      </w:r>
      <w:r>
        <w:t xml:space="preserve"> </w:t>
      </w:r>
      <w:r>
        <w:rPr>
          <w:i/>
          <w:iCs/>
        </w:rPr>
        <w:t xml:space="preserve">medical/clinical</w:t>
      </w:r>
      <w:r>
        <w:t xml:space="preserve"> </w:t>
      </w:r>
      <w:r>
        <w:t xml:space="preserve">(−5),</w:t>
      </w:r>
      <w:r>
        <w:t xml:space="preserve"> </w:t>
      </w:r>
      <w:r>
        <w:rPr>
          <w:i/>
          <w:iCs/>
        </w:rPr>
        <w:t xml:space="preserve">urban planning</w:t>
      </w:r>
      <w:r>
        <w:t xml:space="preserve"> </w:t>
      </w:r>
      <w:r>
        <w:t xml:space="preserve">(−3), and</w:t>
      </w:r>
      <w:r>
        <w:t xml:space="preserve"> </w:t>
      </w:r>
      <w:r>
        <w:rPr>
          <w:i/>
          <w:iCs/>
        </w:rPr>
        <w:t xml:space="preserve">finance</w:t>
      </w:r>
      <w:r>
        <w:t xml:space="preserve"> </w:t>
      </w:r>
      <w:r>
        <w:t xml:space="preserve">(−2) domains</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26"/>
    <w:bookmarkStart w:id="27" w:name="algorithm-implementation-and-validation"/>
    <w:p>
      <w:pPr>
        <w:pStyle w:val="Ttulo3"/>
      </w:pPr>
      <w:r>
        <w:t xml:space="preserve">2.4.2 Algorithm Implementation and Validation</w:t>
      </w:r>
    </w:p>
    <w:p>
      <w:pPr>
        <w:pStyle w:val="FirstParagraph"/>
      </w:pPr>
      <w:r>
        <w:t xml:space="preserve">For each record, the algorithm scans the title, abstract, and keywords, applies the category weights, and multiplies each occurrence by the location factor. The final score sums these products across all identified terms.</w:t>
      </w:r>
    </w:p>
    <w:p>
      <w:pPr>
        <w:pStyle w:val="Corpodetexto"/>
      </w:pPr>
      <w:r>
        <w:t xml:space="preserve">The empirical score distribution defined the minimum inclusion threshold, identifying the inflection point in the cumulative curve (Pareto/elbow criterion) and adjusting it via manual validation with stratified sampling. The final value represents the optimal compromise between sensitivity and specificity, stabilizing inter-rater concordance in borderline cases.</w:t>
      </w:r>
    </w:p>
    <w:bookmarkEnd w:id="27"/>
    <w:bookmarkStart w:id="28" w:name="X490bbeb2aaaf014196396fff65d0dc66760b6fc"/>
    <w:p>
      <w:pPr>
        <w:pStyle w:val="Ttulo3"/>
      </w:pPr>
      <w:r>
        <w:t xml:space="preserve">2.4.3 Participatory Validation and Algorithm Refinement</w:t>
      </w:r>
    </w:p>
    <w:p>
      <w:pPr>
        <w:pStyle w:val="FirstParagraph"/>
      </w:pPr>
      <w:r>
        <w:t xml:space="preserve">To ensure scientific validity, a validation protocol involving three independent reviewers specializing in machine learning and GI systems was implemented. The protocol included a systematic manual review of 272 studies to verify adherence to inclusion criteria. An inter-rater concordance test verified classification consistency</w:t>
      </w:r>
      <w:r>
        <w:t xml:space="preserve"> </w:t>
      </w:r>
      <w:r>
        <w:t xml:space="preserve">(</w:t>
      </w:r>
      <w:r>
        <w:t xml:space="preserve">Tricco, Lillie, et al.</w:t>
      </w:r>
      <w:r>
        <w:t xml:space="preserve">, 2018)</w:t>
      </w:r>
      <w:r>
        <w:t xml:space="preserve">.</w:t>
      </w:r>
    </w:p>
    <w:p>
      <w:pPr>
        <w:pStyle w:val="Corpodetexto"/>
      </w:pPr>
      <w:r>
        <w:t xml:space="preserve">The process involved qualitative investigation of borderline cases and iterative refinement of eligibility criteria. Validation yielded a 90.2% concordance rate between the automated system and manual evaluation, indicating high algorithmic effectiveness in thematic screening.</w:t>
      </w:r>
    </w:p>
    <w:bookmarkEnd w:id="28"/>
    <w:bookmarkStart w:id="29" w:name="Xfdf3f0bd1e0549102752d63788f50286a4ed6d7"/>
    <w:p>
      <w:pPr>
        <w:pStyle w:val="Ttulo3"/>
      </w:pPr>
      <w:r>
        <w:t xml:space="preserve">2.4.4 Bibliographic Coverage Verification and Automated Categorization</w:t>
      </w:r>
    </w:p>
    <w:p>
      <w:pPr>
        <w:pStyle w:val="FirstParagraph"/>
      </w:pPr>
      <w:r>
        <w:t xml:space="preserve">An automated system verified bibliographic coverage, ensuring completeness and consistency between textual citations and bibliographic files.</w:t>
      </w:r>
    </w:p>
    <w:p>
      <w:pPr>
        <w:pStyle w:val="Corpodetexto"/>
      </w:pPr>
      <w:r>
        <w:t xml:space="preserve">The consolidated corpus underwent automated categorization using Natural Language Processing (NLP). A computational pipeline extracted, tokenized, and vectorized reference metadata and abstracts, using supervised models and semantic rules for pattern recognition</w:t>
      </w:r>
      <w:r>
        <w:t xml:space="preserve"> </w:t>
      </w:r>
      <w:r>
        <w:t xml:space="preserve">(Casey et al., 2021; Young et al., 2019)</w:t>
      </w:r>
      <w:r>
        <w:t xml:space="preserve">. References were classified into predefined methodological categories, including machine learning techniques and GI systems.</w:t>
      </w:r>
    </w:p>
    <w:p>
      <w:pPr>
        <w:pStyle w:val="Corpodetexto"/>
      </w:pPr>
      <w:r>
        <w:t xml:space="preserve">To quantify coverage and study adequacy, citation coverage metrics and corpus bibliographic usage rates were applied</w:t>
      </w:r>
      <w:r>
        <w:t xml:space="preserve"> </w:t>
      </w:r>
      <w:r>
        <w:t xml:space="preserve">(Tranfield et al., 2003; Webster &amp; Watson, 2002)</w:t>
      </w:r>
      <w:r>
        <w:t xml:space="preserve">. These metrics allow quantitative evaluation of reference base utilization, ensuring selected studies adequately reflect the review’s thematic scope.</w:t>
      </w:r>
    </w:p>
    <w:bookmarkEnd w:id="29"/>
    <w:bookmarkEnd w:id="30"/>
    <w:bookmarkStart w:id="33" w:name="X83856b48d81732a17e15263cd4def15bcd52a86"/>
    <w:p>
      <w:pPr>
        <w:pStyle w:val="Ttulo2"/>
      </w:pPr>
      <w:r>
        <w:t xml:space="preserve">2.5 Second Phase: Manual Methodological Quality Assessment</w:t>
      </w:r>
    </w:p>
    <w:p>
      <w:pPr>
        <w:pStyle w:val="FirstParagraph"/>
      </w:pPr>
      <w:r>
        <w:t xml:space="preserve">In the second phase, three independent reviewers assessed the methodological quality of selected studies, ensuring multidisciplinary analysis and reducing interpretive bias. The MMAT scale</w:t>
      </w:r>
      <w:r>
        <w:t xml:space="preserve"> </w:t>
      </w:r>
      <w:r>
        <w:t xml:space="preserve">(</w:t>
      </w:r>
      <w:r>
        <w:t xml:space="preserve">Hong et al.</w:t>
      </w:r>
      <w:r>
        <w:t xml:space="preserve">, 2018; Pluye et al., 2009)</w:t>
      </w:r>
      <w:r>
        <w:t xml:space="preserve"> </w:t>
      </w:r>
      <w:r>
        <w:t xml:space="preserve">was adapted for interdisciplinary studies involving ML and GI systems, structuring eight indicators on a 3-point Likert scale. Indicators included methodological rigor, algorithm validation, ethical protocol adherence, reproducibility, quantitative-qualitative integration, impact on GI systems, documentation completeness, and method generalizability (Table 2).</w:t>
      </w:r>
    </w:p>
    <w:p>
      <w:pPr>
        <w:pStyle w:val="Corpodetexto"/>
      </w:pPr>
      <w:r>
        <w:t xml:space="preserve">Each indicator received a score from 0 to 2: zero for unmet criteria or substantial deficiencies; one for partial fulfillment with limitations; and two for complete fulfillment with clear evidence. A 3-point scale was selected because dichotomous evaluations fail to capture interdisciplinary complexity, while larger scales generate inter-rater inconsistency</w:t>
      </w:r>
      <w:r>
        <w:t xml:space="preserve"> </w:t>
      </w:r>
      <w:r>
        <w:t xml:space="preserve">(Surname &amp; Surname, 2025)</w:t>
      </w:r>
      <w:r>
        <w:t xml:space="preserve">.</w:t>
      </w:r>
    </w:p>
    <w:p>
      <w:pPr>
        <w:pStyle w:val="Corpodetexto"/>
      </w:pPr>
      <w:r>
        <w:rPr>
          <w:b/>
          <w:bCs/>
        </w:rPr>
        <w:t xml:space="preserve">Table 2.</w:t>
      </w:r>
      <w:r>
        <w:t xml:space="preserve"> </w:t>
      </w:r>
      <w:r>
        <w:t xml:space="preserve">Indicators of methodological quality for ML-GI studies.</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Code</w:t>
            </w:r>
          </w:p>
        </w:tc>
        <w:tc>
          <w:tcPr/>
          <w:p>
            <w:pPr>
              <w:pStyle w:val="Compact"/>
            </w:pPr>
            <w:r>
              <w:t xml:space="preserve">Indicator</w:t>
            </w:r>
          </w:p>
        </w:tc>
        <w:tc>
          <w:tcPr/>
          <w:p>
            <w:pPr>
              <w:pStyle w:val="Compact"/>
            </w:pPr>
            <w:r>
              <w:t xml:space="preserve">Domain</w:t>
            </w:r>
          </w:p>
        </w:tc>
      </w:tr>
      <w:tr>
        <w:tc>
          <w:tcPr/>
          <w:p>
            <w:pPr>
              <w:pStyle w:val="Compact"/>
            </w:pPr>
            <w:r>
              <w:t xml:space="preserve">RIG</w:t>
            </w:r>
          </w:p>
        </w:tc>
        <w:tc>
          <w:tcPr/>
          <w:p>
            <w:pPr>
              <w:pStyle w:val="Compact"/>
            </w:pPr>
            <w:r>
              <w:t xml:space="preserve">Methodological rigor in territorial data collection and processing</w:t>
            </w:r>
          </w:p>
        </w:tc>
        <w:tc>
          <w:tcPr/>
          <w:p>
            <w:pPr>
              <w:pStyle w:val="Compact"/>
            </w:pPr>
            <w:r>
              <w:t xml:space="preserve">Territorial Quality</w:t>
            </w:r>
          </w:p>
        </w:tc>
      </w:tr>
      <w:tr>
        <w:tc>
          <w:tcPr/>
          <w:p>
            <w:pPr>
              <w:pStyle w:val="Compact"/>
            </w:pPr>
            <w:r>
              <w:t xml:space="preserve">VAL</w:t>
            </w:r>
          </w:p>
        </w:tc>
        <w:tc>
          <w:tcPr/>
          <w:p>
            <w:pPr>
              <w:pStyle w:val="Compact"/>
            </w:pPr>
            <w:r>
              <w:t xml:space="preserve">Technical validation of algorithms with appropriate metrics</w:t>
            </w:r>
          </w:p>
        </w:tc>
        <w:tc>
          <w:tcPr/>
          <w:p>
            <w:pPr>
              <w:pStyle w:val="Compact"/>
            </w:pPr>
            <w:r>
              <w:t xml:space="preserve">Computational Quality</w:t>
            </w:r>
          </w:p>
        </w:tc>
      </w:tr>
      <w:tr>
        <w:tc>
          <w:tcPr/>
          <w:p>
            <w:pPr>
              <w:pStyle w:val="Compact"/>
            </w:pPr>
            <w:r>
              <w:t xml:space="preserve">ETI</w:t>
            </w:r>
          </w:p>
        </w:tc>
        <w:tc>
          <w:tcPr/>
          <w:p>
            <w:pPr>
              <w:pStyle w:val="Compact"/>
            </w:pPr>
            <w:r>
              <w:t xml:space="preserve">Adherence to ethical protocols for research with producer communities</w:t>
            </w:r>
          </w:p>
        </w:tc>
        <w:tc>
          <w:tcPr/>
          <w:p>
            <w:pPr>
              <w:pStyle w:val="Compact"/>
            </w:pPr>
            <w:r>
              <w:t xml:space="preserve">Ethical Quality</w:t>
            </w:r>
          </w:p>
        </w:tc>
      </w:tr>
      <w:tr>
        <w:tc>
          <w:tcPr/>
          <w:p>
            <w:pPr>
              <w:pStyle w:val="Compact"/>
            </w:pPr>
            <w:r>
              <w:t xml:space="preserve">REP</w:t>
            </w:r>
          </w:p>
        </w:tc>
        <w:tc>
          <w:tcPr/>
          <w:p>
            <w:pPr>
              <w:pStyle w:val="Compact"/>
            </w:pPr>
            <w:r>
              <w:t xml:space="preserve">Reproducibility of computational experiments</w:t>
            </w:r>
          </w:p>
        </w:tc>
        <w:tc>
          <w:tcPr/>
          <w:p>
            <w:pPr>
              <w:pStyle w:val="Compact"/>
            </w:pPr>
            <w:r>
              <w:t xml:space="preserve">Technical Quality</w:t>
            </w:r>
          </w:p>
        </w:tc>
      </w:tr>
      <w:tr>
        <w:tc>
          <w:tcPr/>
          <w:p>
            <w:pPr>
              <w:pStyle w:val="Compact"/>
            </w:pPr>
            <w:r>
              <w:t xml:space="preserve">INT</w:t>
            </w:r>
          </w:p>
        </w:tc>
        <w:tc>
          <w:tcPr/>
          <w:p>
            <w:pPr>
              <w:pStyle w:val="Compact"/>
            </w:pPr>
            <w:r>
              <w:t xml:space="preserve">Effective integration between quantitative and qualitative territorial methods</w:t>
            </w:r>
          </w:p>
        </w:tc>
        <w:tc>
          <w:tcPr/>
          <w:p>
            <w:pPr>
              <w:pStyle w:val="Compact"/>
            </w:pPr>
            <w:r>
              <w:t xml:space="preserve">Methodological Quality</w:t>
            </w:r>
          </w:p>
        </w:tc>
      </w:tr>
      <w:tr>
        <w:tc>
          <w:tcPr/>
          <w:p>
            <w:pPr>
              <w:pStyle w:val="Compact"/>
            </w:pPr>
            <w:r>
              <w:t xml:space="preserve">IMP</w:t>
            </w:r>
          </w:p>
        </w:tc>
        <w:tc>
          <w:tcPr/>
          <w:p>
            <w:pPr>
              <w:pStyle w:val="Compact"/>
            </w:pPr>
            <w:r>
              <w:t xml:space="preserve">Impact and applicability of results for GI systems</w:t>
            </w:r>
          </w:p>
        </w:tc>
        <w:tc>
          <w:tcPr/>
          <w:p>
            <w:pPr>
              <w:pStyle w:val="Compact"/>
            </w:pPr>
            <w:r>
              <w:t xml:space="preserve">Social Quality</w:t>
            </w:r>
          </w:p>
        </w:tc>
      </w:tr>
      <w:tr>
        <w:tc>
          <w:tcPr/>
          <w:p>
            <w:pPr>
              <w:pStyle w:val="Compact"/>
            </w:pPr>
            <w:r>
              <w:t xml:space="preserve">DOC</w:t>
            </w:r>
          </w:p>
        </w:tc>
        <w:tc>
          <w:tcPr/>
          <w:p>
            <w:pPr>
              <w:pStyle w:val="Compact"/>
            </w:pPr>
            <w:r>
              <w:t xml:space="preserve">Complete documentation of algorithms and certification procedures</w:t>
            </w:r>
          </w:p>
        </w:tc>
        <w:tc>
          <w:tcPr/>
          <w:p>
            <w:pPr>
              <w:pStyle w:val="Compact"/>
            </w:pPr>
            <w:r>
              <w:t xml:space="preserve">Documentary Quality</w:t>
            </w:r>
          </w:p>
        </w:tc>
      </w:tr>
      <w:tr>
        <w:tc>
          <w:tcPr/>
          <w:p>
            <w:pPr>
              <w:pStyle w:val="Compact"/>
            </w:pPr>
            <w:r>
              <w:t xml:space="preserve">GEN</w:t>
            </w:r>
          </w:p>
        </w:tc>
        <w:tc>
          <w:tcPr/>
          <w:p>
            <w:pPr>
              <w:pStyle w:val="Compact"/>
            </w:pPr>
            <w:r>
              <w:t xml:space="preserve">Generalizability and transferability of proposed methods</w:t>
            </w:r>
          </w:p>
        </w:tc>
        <w:tc>
          <w:tcPr/>
          <w:p>
            <w:pPr>
              <w:pStyle w:val="Compact"/>
            </w:pPr>
            <w:r>
              <w:t xml:space="preserve">Scientific Quality</w:t>
            </w:r>
          </w:p>
        </w:tc>
      </w:tr>
    </w:tbl>
    <w:bookmarkStart w:id="31" w:name="X9a11c98267a64c1c606ffa67740526b4b4a478d"/>
    <w:p>
      <w:pPr>
        <w:pStyle w:val="Ttulo3"/>
      </w:pPr>
      <w:r>
        <w:t xml:space="preserve">2.5.1 Consensus Procedures and Inter-Rater Validation</w:t>
      </w:r>
    </w:p>
    <w:p>
      <w:pPr>
        <w:pStyle w:val="FirstParagraph"/>
      </w:pPr>
      <w:r>
        <w:t xml:space="preserve">The manual assessment included a consensus protocol. Initially, reviewers independently assessed a pilot sample of 30 studies (~11% of the corpus) to calibrate criteria. For the full corpus, discordance cases (difference ≥ 2 points) underwent blind reassessment and discussion to reach consensus. The intraclass correlation coefficient (ICC) was calculated according to</w:t>
      </w:r>
      <w:r>
        <w:t xml:space="preserve"> </w:t>
      </w:r>
      <w:r>
        <w:t xml:space="preserve">Shrout &amp; Fleiss (1979)</w:t>
      </w:r>
      <w:r>
        <w:t xml:space="preserve">, obtaining a value of 0.87 (95% CI: 0.84–0.91), indicating good concordance.</w:t>
      </w:r>
    </w:p>
    <w:bookmarkEnd w:id="31"/>
    <w:bookmarkStart w:id="32" w:name="X038e4647e408e5b51afeb797a9d021cc0ddde9a"/>
    <w:p>
      <w:pPr>
        <w:pStyle w:val="Ttulo3"/>
      </w:pPr>
      <w:r>
        <w:t xml:space="preserve">2.5.2 Specific Criteria for Interdisciplinary Studies</w:t>
      </w:r>
    </w:p>
    <w:p>
      <w:pPr>
        <w:pStyle w:val="FirstParagraph"/>
      </w:pPr>
      <w:r>
        <w:t xml:space="preserve">Given the interdisciplinary nature of the studies, quality criteria examined the coherence of quantitative-qualitative integration, validation across multiple geographical contexts, algorithmic transparency, ethical adherence, and practical applicability for certification.</w:t>
      </w:r>
    </w:p>
    <w:p>
      <w:pPr>
        <w:pStyle w:val="Corpodetexto"/>
      </w:pPr>
      <w:r>
        <w:t xml:space="preserve">This phase resulted in the selection of 25 studies with adequate methodological quality (score ≥ 20 points) from the initial 272 articles. These formed the basis for subsequent analyses. The distribution included 1 excellence article (≥40 pts), 2 high relevance (≥30 pts), and 22 adequate (≥20 pts).</w:t>
      </w:r>
    </w:p>
    <w:bookmarkEnd w:id="32"/>
    <w:bookmarkEnd w:id="33"/>
    <w:bookmarkStart w:id="34" w:name="third-phase-bibliometric-analysis"/>
    <w:p>
      <w:pPr>
        <w:pStyle w:val="Ttulo2"/>
      </w:pPr>
      <w:r>
        <w:t xml:space="preserve">2.6 Third Phase: Bibliometric Analysis</w:t>
      </w:r>
    </w:p>
    <w:p>
      <w:pPr>
        <w:pStyle w:val="FirstParagraph"/>
      </w:pPr>
      <w:r>
        <w:t xml:space="preserve">Lotka’s Law</w:t>
      </w:r>
      <w:r>
        <w:t xml:space="preserve"> </w:t>
      </w:r>
      <w:r>
        <w:t xml:space="preserve">(Lotka, 1926)</w:t>
      </w:r>
      <w:r>
        <w:t xml:space="preserve"> </w:t>
      </w:r>
      <w:r>
        <w:t xml:space="preserve">analyzed scientific productivity, describing the non-linear distribution of author productivity to identify concentration or dispersion patterns. Bibliographic coupling and co-citation analyses were not performed due to missing cited reference fields in the available bibliographic files.</w:t>
      </w:r>
    </w:p>
    <w:bookmarkEnd w:id="34"/>
    <w:bookmarkStart w:id="35" w:name="Xdc77d06ab5a57c1201f524951a51ab2fb15b341"/>
    <w:p>
      <w:pPr>
        <w:pStyle w:val="Ttulo2"/>
      </w:pPr>
      <w:r>
        <w:t xml:space="preserve">2.7 Fourth Phase: Qualitative Synthesis and Integration with Documentary Analysis</w:t>
      </w:r>
    </w:p>
    <w:p>
      <w:pPr>
        <w:pStyle w:val="FirstParagraph"/>
      </w:pPr>
      <w:r>
        <w:t xml:space="preserve">The fourth phase systematically integrated findings with documentary analysis of regulatory frameworks to ground methodological recommendations.</w:t>
      </w:r>
    </w:p>
    <w:p>
      <w:pPr>
        <w:pStyle w:val="Corpodetexto"/>
      </w:pPr>
      <w:r>
        <w:t xml:space="preserve">The final synthesis combined thematic qualitative analysis with selection based on the Pareto principle (80/20), prioritizing the top 20% of articles by combined score (40% methodological quality, 35% thematic relevance, 25% bibliometric impact).</w:t>
      </w:r>
    </w:p>
    <w:p>
      <w:pPr>
        <w:pStyle w:val="Corpodetexto"/>
      </w:pPr>
      <w:r>
        <w:t xml:space="preserve">The final combined score was calculated using Equation 2:</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Where:</w:t>
      </w:r>
    </w:p>
    <w:p>
      <w:pPr>
        <w:pStyle w:val="Compact"/>
        <w:numPr>
          <w:ilvl w:val="0"/>
          <w:numId w:val="1002"/>
        </w:numPr>
      </w:pPr>
      <m:oMath>
        <m:sSub>
          <m:e>
            <m:r>
              <m:t>P</m:t>
            </m:r>
          </m:e>
          <m:sub>
            <m:r>
              <m:t>f</m:t>
            </m:r>
            <m:r>
              <m:t>i</m:t>
            </m:r>
            <m:r>
              <m:t>n</m:t>
            </m:r>
            <m:r>
              <m:t>a</m:t>
            </m:r>
            <m:r>
              <m:t>l</m:t>
            </m:r>
          </m:sub>
        </m:sSub>
      </m:oMath>
      <w:r>
        <w:t xml:space="preserve"> </w:t>
      </w:r>
      <w:r>
        <w:t xml:space="preserve">= final selection score</w:t>
      </w:r>
    </w:p>
    <w:p>
      <w:pPr>
        <w:pStyle w:val="Compact"/>
        <w:numPr>
          <w:ilvl w:val="0"/>
          <w:numId w:val="1002"/>
        </w:numPr>
      </w:pPr>
      <m:oMath>
        <m:sSub>
          <m:e>
            <m:r>
              <m:t>Q</m:t>
            </m:r>
          </m:e>
          <m:sub>
            <m:r>
              <m:t>m</m:t>
            </m:r>
            <m:r>
              <m:t>e</m:t>
            </m:r>
            <m:r>
              <m:t>t</m:t>
            </m:r>
          </m:sub>
        </m:sSub>
      </m:oMath>
      <w:r>
        <w:t xml:space="preserve"> </w:t>
      </w:r>
      <w:r>
        <w:t xml:space="preserve">= normalized methodological quality (0-1)</w:t>
      </w:r>
    </w:p>
    <w:p>
      <w:pPr>
        <w:pStyle w:val="Compact"/>
        <w:numPr>
          <w:ilvl w:val="0"/>
          <w:numId w:val="1002"/>
        </w:numPr>
      </w:pPr>
      <m:oMath>
        <m:sSub>
          <m:e>
            <m:r>
              <m:t>Q</m:t>
            </m:r>
          </m:e>
          <m:sub>
            <m:r>
              <m:t>t</m:t>
            </m:r>
            <m:r>
              <m:t>e</m:t>
            </m:r>
            <m:r>
              <m:t>m</m:t>
            </m:r>
          </m:sub>
        </m:sSub>
      </m:oMath>
      <w:r>
        <w:t xml:space="preserve"> </w:t>
      </w:r>
      <w:r>
        <w:t xml:space="preserve">= normalized thematic relevance (0-1)</w:t>
      </w:r>
    </w:p>
    <w:p>
      <w:pPr>
        <w:pStyle w:val="Compact"/>
        <w:numPr>
          <w:ilvl w:val="0"/>
          <w:numId w:val="1002"/>
        </w:numPr>
      </w:pPr>
      <m:oMath>
        <m:sSub>
          <m:e>
            <m:r>
              <m:t>Q</m:t>
            </m:r>
          </m:e>
          <m:sub>
            <m:r>
              <m:t>b</m:t>
            </m:r>
            <m:r>
              <m:t>i</m:t>
            </m:r>
            <m:r>
              <m:t>b</m:t>
            </m:r>
            <m:r>
              <m:t>l</m:t>
            </m:r>
            <m:r>
              <m:t>i</m:t>
            </m:r>
            <m:r>
              <m:t>o</m:t>
            </m:r>
          </m:sub>
        </m:sSub>
      </m:oMath>
      <w:r>
        <w:t xml:space="preserve"> </w:t>
      </w:r>
      <w:r>
        <w:t xml:space="preserve">= normalized bibliometric impact (0-1)</w:t>
      </w:r>
    </w:p>
    <w:bookmarkEnd w:id="35"/>
    <w:bookmarkStart w:id="39" w:name="statistical-analyses"/>
    <w:p>
      <w:pPr>
        <w:pStyle w:val="Ttulo2"/>
      </w:pPr>
      <w:r>
        <w:t xml:space="preserve">2.8 Statistical Analyses</w:t>
      </w:r>
    </w:p>
    <w:p>
      <w:pPr>
        <w:pStyle w:val="FirstParagraph"/>
      </w:pPr>
      <w:r>
        <w:t xml:space="preserve">Statistical analyses in R</w:t>
      </w:r>
      <w:r>
        <w:t xml:space="preserve"> </w:t>
      </w:r>
      <w:r>
        <w:t xml:space="preserve">(R. C. Team, 2024)</w:t>
      </w:r>
      <w:r>
        <w:t xml:space="preserve"> </w:t>
      </w:r>
      <w:r>
        <w:t xml:space="preserve">using RStudio</w:t>
      </w:r>
      <w:r>
        <w:t xml:space="preserve"> </w:t>
      </w:r>
      <w:r>
        <w:t xml:space="preserve">(Rs. Team, 2023)</w:t>
      </w:r>
      <w:r>
        <w:t xml:space="preserve"> </w:t>
      </w:r>
      <w:r>
        <w:t xml:space="preserve">systematically characterized the corpus and identified emerging patterns. Multiple Correspondence Analysis (MCA) investigated associations between categorical variables (algorithms, products, regions, analytical techniques), following</w:t>
      </w:r>
      <w:r>
        <w:t xml:space="preserve"> </w:t>
      </w:r>
      <w:r>
        <w:t xml:space="preserve">Lê et al. (2008)</w:t>
      </w:r>
      <w:r>
        <w:t xml:space="preserve"> </w:t>
      </w:r>
      <w:r>
        <w:t xml:space="preserve">and</w:t>
      </w:r>
      <w:r>
        <w:t xml:space="preserve"> </w:t>
      </w:r>
      <w:r>
        <w:t xml:space="preserve">Greenacre (2017)</w:t>
      </w:r>
      <w:r>
        <w:t xml:space="preserve">, using</w:t>
      </w:r>
      <w:r>
        <w:t xml:space="preserve"> </w:t>
      </w:r>
      <w:r>
        <w:rPr>
          <w:rStyle w:val="VerbatimChar"/>
        </w:rPr>
        <w:t xml:space="preserve">FactoMineR</w:t>
      </w:r>
      <w:r>
        <w:t xml:space="preserve"> </w:t>
      </w:r>
      <w:r>
        <w:t xml:space="preserve">to extract main dimensions. Subsequently, Cluster Analysis (k-means and hierarchical) using</w:t>
      </w:r>
      <w:r>
        <w:t xml:space="preserve"> </w:t>
      </w:r>
      <w:r>
        <w:rPr>
          <w:rStyle w:val="VerbatimChar"/>
        </w:rPr>
        <w:t xml:space="preserve">FactoMineR</w:t>
      </w:r>
      <w:r>
        <w:t xml:space="preserve"> </w:t>
      </w:r>
      <w:r>
        <w:t xml:space="preserve">and</w:t>
      </w:r>
      <w:r>
        <w:t xml:space="preserve"> </w:t>
      </w:r>
      <w:r>
        <w:rPr>
          <w:rStyle w:val="VerbatimChar"/>
        </w:rPr>
        <w:t xml:space="preserve">factoextra</w:t>
      </w:r>
      <w:r>
        <w:t xml:space="preserve"> </w:t>
      </w:r>
      <w:r>
        <w:t xml:space="preserve">identified recurring product-instrument-algorithm groupings, synthesizing the</w:t>
      </w:r>
      <w:r>
        <w:t xml:space="preserve"> </w:t>
      </w:r>
      <w:r>
        <w:t xml:space="preserve">“technological families”</w:t>
      </w:r>
      <w:r>
        <w:t xml:space="preserve"> </w:t>
      </w:r>
      <w:r>
        <w:t xml:space="preserve">discussed in Section 3.8.</w:t>
      </w:r>
    </w:p>
    <w:p>
      <w:pPr>
        <w:pStyle w:val="Corpodetexto"/>
      </w:pPr>
      <w:r>
        <w:t xml:space="preserve">Network analysis mapped co-occurrences between algorithms, products, and regions</w:t>
      </w:r>
      <w:r>
        <w:t xml:space="preserve"> </w:t>
      </w:r>
      <w:r>
        <w:t xml:space="preserve">(Csárdi &amp; Nepusz, 2006; Schoch, 2020)</w:t>
      </w:r>
      <w:r>
        <w:t xml:space="preserve">. Using</w:t>
      </w:r>
      <w:r>
        <w:t xml:space="preserve"> </w:t>
      </w:r>
      <w:r>
        <w:rPr>
          <w:rStyle w:val="VerbatimChar"/>
        </w:rPr>
        <w:t xml:space="preserve">igraph</w:t>
      </w:r>
      <w:r>
        <w:t xml:space="preserve"> </w:t>
      </w:r>
      <w:r>
        <w:t xml:space="preserve">and</w:t>
      </w:r>
      <w:r>
        <w:t xml:space="preserve"> </w:t>
      </w:r>
      <w:r>
        <w:rPr>
          <w:rStyle w:val="VerbatimChar"/>
        </w:rPr>
        <w:t xml:space="preserve">ggraph</w:t>
      </w:r>
      <w:r>
        <w:t xml:space="preserve">, an undirected graph was constructed, calculating centrality metrics (degree, eigenvector, betweenness), and community detection was performed with the Louvain algorithm</w:t>
      </w:r>
      <w:r>
        <w:t xml:space="preserve"> </w:t>
      </w:r>
      <w:r>
        <w:t xml:space="preserve">(Blondel et al., 2008)</w:t>
      </w:r>
      <w:r>
        <w:t xml:space="preserve"> </w:t>
      </w:r>
      <w:r>
        <w:t xml:space="preserve">to identify thematic modules (Section 3.9).</w:t>
      </w:r>
    </w:p>
    <w:p>
      <w:pPr>
        <w:pStyle w:val="Corpodetexto"/>
      </w:pPr>
      <w:r>
        <w:t xml:space="preserve">Time series and Spearman’s correlation test</w:t>
      </w:r>
      <w:r>
        <w:t xml:space="preserve"> </w:t>
      </w:r>
      <w:r>
        <w:t xml:space="preserve">(Spearman, 1904)</w:t>
      </w:r>
      <w:r>
        <w:t xml:space="preserve"> </w:t>
      </w:r>
      <w:r>
        <w:t xml:space="preserve">analyzed the temporal evolution of publications (2010–2025) to detect trends in study volume and algorithm adoption. Visualizations generated with</w:t>
      </w:r>
      <w:r>
        <w:t xml:space="preserve"> </w:t>
      </w:r>
      <w:r>
        <w:rPr>
          <w:rStyle w:val="VerbatimChar"/>
        </w:rPr>
        <w:t xml:space="preserve">ggplot2</w:t>
      </w:r>
      <w:r>
        <w:t xml:space="preserve"> </w:t>
      </w:r>
      <w:r>
        <w:t xml:space="preserve">used LOESS smoothing</w:t>
      </w:r>
      <w:r>
        <w:t xml:space="preserve"> </w:t>
      </w:r>
      <w:r>
        <w:t xml:space="preserve">(Cleveland, 1979)</w:t>
      </w:r>
      <w:r>
        <w:t xml:space="preserve"> </w:t>
      </w:r>
      <w:r>
        <w:t xml:space="preserve">to illustrate growth dynamics.</w:t>
      </w:r>
    </w:p>
    <w:p>
      <w:pPr>
        <w:pStyle w:val="Corpodetexto"/>
      </w:pPr>
      <w:r>
        <w:t xml:space="preserve">Finally, global predictive models evaluated whether bibliometric and methodological variables could anticipate study scores. Regression models (OLS, Ridge, Lasso, Random Forest) and classification models (Logistic Regression, Random Forest) were estimated using</w:t>
      </w:r>
      <w:r>
        <w:t xml:space="preserve"> </w:t>
      </w:r>
      <w:r>
        <w:rPr>
          <w:rStyle w:val="VerbatimChar"/>
        </w:rPr>
        <w:t xml:space="preserve">caret</w:t>
      </w:r>
      <w:r>
        <w:t xml:space="preserve"> </w:t>
      </w:r>
      <w:r>
        <w:t xml:space="preserve">and</w:t>
      </w:r>
      <w:r>
        <w:t xml:space="preserve"> </w:t>
      </w:r>
      <w:r>
        <w:rPr>
          <w:rStyle w:val="VerbatimChar"/>
        </w:rPr>
        <w:t xml:space="preserve">randomForest</w:t>
      </w:r>
      <w:r>
        <w:t xml:space="preserve"> </w:t>
      </w:r>
      <w:r>
        <w:t xml:space="preserve">with stratified k-fold cross-validation. Performance was evaluated via RMSE and</w:t>
      </w:r>
      <w:r>
        <w:t xml:space="preserve"> </w:t>
      </w:r>
      <m:oMath>
        <m:sSup>
          <m:e>
            <m:r>
              <m:t>R</m:t>
            </m:r>
          </m:e>
          <m:sup>
            <m:r>
              <m:t>2</m:t>
            </m:r>
          </m:sup>
        </m:sSup>
      </m:oMath>
      <w:r>
        <w:t xml:space="preserve"> </w:t>
      </w:r>
      <w:r>
        <w:t xml:space="preserve">for regression, and accuracy, precision, sensitivity, and F1-score for classification (Section 3.7).</w:t>
      </w:r>
    </w:p>
    <w:bookmarkStart w:id="36" w:name="multiple-correspondence-analysis-mca"/>
    <w:p>
      <w:pPr>
        <w:pStyle w:val="Ttulo3"/>
      </w:pPr>
      <w:r>
        <w:t xml:space="preserve">2.8.1 Multiple Correspondence Analysis (MCA)</w:t>
      </w:r>
    </w:p>
    <w:p>
      <w:pPr>
        <w:pStyle w:val="FirstParagraph"/>
      </w:pPr>
      <w:r>
        <w:t xml:space="preserve">MCA investigated associations between categorical variables, employing</w:t>
      </w:r>
      <w:r>
        <w:t xml:space="preserve"> </w:t>
      </w:r>
      <w:r>
        <w:rPr>
          <w:rStyle w:val="VerbatimChar"/>
        </w:rPr>
        <w:t xml:space="preserve">FactoMineR</w:t>
      </w:r>
      <w:r>
        <w:t xml:space="preserve"> </w:t>
      </w:r>
      <w:r>
        <w:t xml:space="preserve">to interpret conceptual relationships.</w:t>
      </w:r>
    </w:p>
    <w:bookmarkEnd w:id="36"/>
    <w:bookmarkStart w:id="37" w:name="network-analysis"/>
    <w:p>
      <w:pPr>
        <w:pStyle w:val="Ttulo3"/>
      </w:pPr>
      <w:r>
        <w:t xml:space="preserve">2.8.2 Network Analysis</w:t>
      </w:r>
    </w:p>
    <w:p>
      <w:pPr>
        <w:pStyle w:val="FirstParagraph"/>
      </w:pPr>
      <w:r>
        <w:t xml:space="preserve">Network analysis mapped co-occurrences, constructing a weighted undirected graph where nodes represent entities and edges indicate co-occurrence. Centrality metrics identified structurally central elements.</w:t>
      </w:r>
    </w:p>
    <w:p>
      <w:pPr>
        <w:pStyle w:val="Corpodetexto"/>
      </w:pPr>
      <w:r>
        <w:t xml:space="preserve">Community detection using the Louvain algorithm</w:t>
      </w:r>
      <w:r>
        <w:t xml:space="preserve"> </w:t>
      </w:r>
      <w:r>
        <w:t xml:space="preserve">(Blondel et al., 2008)</w:t>
      </w:r>
      <w:r>
        <w:t xml:space="preserve"> </w:t>
      </w:r>
      <w:r>
        <w:t xml:space="preserve">interpreted the resulting modular structure as thematic technological modules (Section 3.9).</w:t>
      </w:r>
    </w:p>
    <w:bookmarkEnd w:id="37"/>
    <w:bookmarkStart w:id="38" w:name="temporal-analysis"/>
    <w:p>
      <w:pPr>
        <w:pStyle w:val="Ttulo3"/>
      </w:pPr>
      <w:r>
        <w:t xml:space="preserve">2.8.3 Temporal Analysis</w:t>
      </w:r>
    </w:p>
    <w:p>
      <w:pPr>
        <w:pStyle w:val="FirstParagraph"/>
      </w:pPr>
      <w:r>
        <w:t xml:space="preserve">Temporal evolution (2010–2025) was analyzed using Spearman’s correlation test</w:t>
      </w:r>
      <w:r>
        <w:t xml:space="preserve"> </w:t>
      </w:r>
      <w:r>
        <w:t xml:space="preserve">(Spearman, 1904)</w:t>
      </w:r>
      <w:r>
        <w:t xml:space="preserve"> </w:t>
      </w:r>
      <w:r>
        <w:t xml:space="preserve">and</w:t>
      </w:r>
      <w:r>
        <w:t xml:space="preserve"> </w:t>
      </w:r>
      <w:r>
        <w:rPr>
          <w:rStyle w:val="VerbatimChar"/>
        </w:rPr>
        <w:t xml:space="preserve">ggplot2</w:t>
      </w:r>
      <w:r>
        <w:t xml:space="preserve"> </w:t>
      </w:r>
      <w:r>
        <w:t xml:space="preserve">visualizations with LOESS smoothing</w:t>
      </w:r>
      <w:r>
        <w:t xml:space="preserve"> </w:t>
      </w:r>
      <w:r>
        <w:t xml:space="preserve">(Cleveland, 1979)</w:t>
      </w:r>
      <w:r>
        <w:t xml:space="preserve"> </w:t>
      </w:r>
      <w:r>
        <w:t xml:space="preserve">to illustrate field growth and technology adoption.</w:t>
      </w:r>
    </w:p>
    <w:bookmarkEnd w:id="38"/>
    <w:bookmarkEnd w:id="39"/>
    <w:bookmarkEnd w:id="40"/>
    <w:bookmarkStart w:id="78" w:name="results-and-discussion"/>
    <w:p>
      <w:pPr>
        <w:pStyle w:val="Ttulo1"/>
      </w:pPr>
      <w:r>
        <w:t xml:space="preserve">3. Results and Discussion</w:t>
      </w:r>
    </w:p>
    <w:bookmarkStart w:id="45" w:name="Xaf448ddd569c75966bd4814eaa0e9dd7788cae3"/>
    <w:p>
      <w:pPr>
        <w:pStyle w:val="Ttulo2"/>
      </w:pPr>
      <w:r>
        <w:t xml:space="preserve">3.1 Executive Synthesis of the Scoping Review</w:t>
      </w:r>
    </w:p>
    <w:p>
      <w:pPr>
        <w:pStyle w:val="FirstParagraph"/>
      </w:pPr>
      <w:r>
        <w:t xml:space="preserve">This scoping review, structured according to PRISMA-ScR guidelines (Figure 2), identified and analyzed 272 studies (140 from Scopus, 132 from Web of Science) published between 2010 and 2025. Following automated filtering and manual methodological quality assessment, 148 relevant articles were selected. This systematic selection process established a representative corpus of Machine Learning (ML) applications in Geographical Indications (GIs). The data reveals significant recent growth, with 68% of publications concentrated in the 2021–2025 period. This trend indicates a convergence between territorial certification and digital transformation, aligning with global innovation patterns in agri-food systems</w:t>
      </w:r>
      <w:r>
        <w:t xml:space="preserve"> </w:t>
      </w:r>
      <w:r>
        <w:t xml:space="preserve">(Hu et al., 2024)</w:t>
      </w:r>
      <w:r>
        <w:t xml:space="preserve">.</w:t>
      </w:r>
    </w:p>
    <w:p>
      <w:pPr>
        <w:pStyle w:val="Corpodetexto"/>
      </w:pPr>
      <w:r>
        <w:rPr>
          <w:b/>
          <w:bCs/>
        </w:rPr>
        <w:t xml:space="preserve">Figure 2.</w:t>
      </w:r>
      <w:r>
        <w:t xml:space="preserve"> </w:t>
      </w:r>
      <w:r>
        <w:t xml:space="preserve">Scoping Review Flowchart on Machine Learning Applications in Geographical Indications.</w:t>
      </w:r>
    </w:p>
    <w:p>
      <w:pPr>
        <w:pStyle w:val="Corpodetexto"/>
      </w:pPr>
      <w:bookmarkStart w:id="44" w:name="fig:prisma2020"/>
      <w:r>
        <w:drawing>
          <wp:inline>
            <wp:extent cx="4480560" cy="2473085"/>
            <wp:effectExtent b="0" l="0" r="0" t="0"/>
            <wp:docPr descr="" title="" id="42" name="Picture"/>
            <a:graphic>
              <a:graphicData uri="http://schemas.openxmlformats.org/drawingml/2006/picture">
                <pic:pic>
                  <pic:nvPicPr>
                    <pic:cNvPr descr="2-FIGURAS/2-EN/prisma_flowdiagram.png" id="43" name="Picture"/>
                    <pic:cNvPicPr>
                      <a:picLocks noChangeArrowheads="1" noChangeAspect="1"/>
                    </pic:cNvPicPr>
                  </pic:nvPicPr>
                  <pic:blipFill>
                    <a:blip r:embed="rId41"/>
                    <a:stretch>
                      <a:fillRect/>
                    </a:stretch>
                  </pic:blipFill>
                  <pic:spPr bwMode="auto">
                    <a:xfrm>
                      <a:off x="0" y="0"/>
                      <a:ext cx="4480560" cy="2473085"/>
                    </a:xfrm>
                    <a:prstGeom prst="rect">
                      <a:avLst/>
                    </a:prstGeom>
                    <a:noFill/>
                    <a:ln w="9525">
                      <a:noFill/>
                      <a:headEnd/>
                      <a:tailEnd/>
                    </a:ln>
                  </pic:spPr>
                </pic:pic>
              </a:graphicData>
            </a:graphic>
          </wp:inline>
        </w:drawing>
      </w:r>
      <w:bookmarkEnd w:id="44"/>
    </w:p>
    <w:p>
      <w:pPr>
        <w:pStyle w:val="Corpodetexto"/>
      </w:pPr>
      <w:r>
        <w:t xml:space="preserve">Automated filtering via semantic analysis and scoring achieved a thematic precision of 94.2%, surpassing the established 85% threshold. This computational screening approach proved effective for reviews involving large bibliographic volumes, suggesting that calibrated automated systems reduce selection bias and enhance reproducibility</w:t>
      </w:r>
      <w:r>
        <w:t xml:space="preserve"> </w:t>
      </w:r>
      <w:r>
        <w:t xml:space="preserve">(Ofori-Boateng et al., 2024)</w:t>
      </w:r>
      <w:r>
        <w:t xml:space="preserve">. The 100% reproducibility across multiple algorithm executions, combined with an inter-rater concordance of κ = 0.89, ensures that these findings reliably reflect the current state of scientific literature in this domain.</w:t>
      </w:r>
    </w:p>
    <w:p>
      <w:pPr>
        <w:pStyle w:val="Corpodetexto"/>
      </w:pPr>
      <w:r>
        <w:t xml:space="preserve">Manual methodological quality assessment yielded an intraclass correlation coefficient (ICC) of 0.87 (95% CI: 0.84–0.91), confirming robust inter-rater reliability and validating the inclusion criteria</w:t>
      </w:r>
      <w:r>
        <w:t xml:space="preserve"> </w:t>
      </w:r>
      <w:r>
        <w:t xml:space="preserve">(Streiner &amp; Norman, 2008)</w:t>
      </w:r>
      <w:r>
        <w:t xml:space="preserve">. This validation confirms that the studies selected for synthesis meet rigorous methodological standards.</w:t>
      </w:r>
    </w:p>
    <w:bookmarkEnd w:id="45"/>
    <w:bookmarkStart w:id="58" w:name="X61449c66ad28168486612fd710970072835901a"/>
    <w:p>
      <w:pPr>
        <w:pStyle w:val="Ttulo2"/>
      </w:pPr>
      <w:r>
        <w:t xml:space="preserve">3.2 Structural and Temporal Analysis of the Scientific Corpus</w:t>
      </w:r>
    </w:p>
    <w:p>
      <w:pPr>
        <w:pStyle w:val="FirstParagraph"/>
      </w:pPr>
      <w:r>
        <w:t xml:space="preserve">Multiple Correspondence Analysis (MCA) mapped the temporal evolution of ML applications in GIs, examining relationships between methodological approaches (algorithms, instruments, applications), investigated products, and publication periods. The first two MCA dimensions explained 9.59% of total inertia (Dim1: 4.82%, Dim2: 4.77%). This value is consistent with the high dimensionality of the corpus (148 studies, 33 categorical binary variables) and indicates a diversified conceptual structure (Figure 3).</w:t>
      </w:r>
    </w:p>
    <w:p>
      <w:pPr>
        <w:pStyle w:val="Corpodetexto"/>
      </w:pPr>
      <w:r>
        <w:rPr>
          <w:b/>
          <w:bCs/>
        </w:rPr>
        <w:t xml:space="preserve">Figure 3.</w:t>
      </w:r>
      <w:r>
        <w:t xml:space="preserve"> </w:t>
      </w:r>
      <w:r>
        <w:t xml:space="preserve">Biplot of Multiple Correspondence Analysis (MCA) on the temporal evolution of ML applications for Geographical Indications authentication (2010-2025).</w:t>
      </w:r>
    </w:p>
    <w:p>
      <w:pPr>
        <w:pStyle w:val="Corpodetexto"/>
      </w:pPr>
      <w:bookmarkStart w:id="49" w:name="fig:mca_temporal"/>
      <w:r>
        <w:drawing>
          <wp:inline>
            <wp:extent cx="4480560" cy="3200206"/>
            <wp:effectExtent b="0" l="0" r="0" t="0"/>
            <wp:docPr descr="" title="" id="47" name="Picture"/>
            <a:graphic>
              <a:graphicData uri="http://schemas.openxmlformats.org/drawingml/2006/picture">
                <pic:pic>
                  <pic:nvPicPr>
                    <pic:cNvPr descr="2-FIGURAS/2-EN/mca_biplot_temporal_completo.png" id="48" name="Picture"/>
                    <pic:cNvPicPr>
                      <a:picLocks noChangeArrowheads="1" noChangeAspect="1"/>
                    </pic:cNvPicPr>
                  </pic:nvPicPr>
                  <pic:blipFill>
                    <a:blip r:embed="rId46"/>
                    <a:stretch>
                      <a:fillRect/>
                    </a:stretch>
                  </pic:blipFill>
                  <pic:spPr bwMode="auto">
                    <a:xfrm>
                      <a:off x="0" y="0"/>
                      <a:ext cx="4480560" cy="3200206"/>
                    </a:xfrm>
                    <a:prstGeom prst="rect">
                      <a:avLst/>
                    </a:prstGeom>
                    <a:noFill/>
                    <a:ln w="9525">
                      <a:noFill/>
                      <a:headEnd/>
                      <a:tailEnd/>
                    </a:ln>
                  </pic:spPr>
                </pic:pic>
              </a:graphicData>
            </a:graphic>
          </wp:inline>
        </w:drawing>
      </w:r>
      <w:bookmarkEnd w:id="49"/>
    </w:p>
    <w:p>
      <w:pPr>
        <w:pStyle w:val="Corpodetexto"/>
      </w:pPr>
      <w:r>
        <w:rPr>
          <w:i/>
          <w:iCs/>
        </w:rPr>
        <w:t xml:space="preserve">Note: Colored ellipses (95% confidence intervals) represent three time periods: 2010–2018 (green, n=26), 2019–2021 (orange, n=27), and 2022–2025 (purple, n=95). Points represent individual studies, with shapes indicating the primary methodological approach: circles for algorithm-focused studies, squares for instrument/technique-focused studies, and triangles for application-focused studies. Product labels (Wine, Honey, Olive, Coffee) are displayed above corresponding points.</w:t>
      </w:r>
    </w:p>
    <w:p>
      <w:pPr>
        <w:pStyle w:val="Corpodetexto"/>
      </w:pPr>
      <w:r>
        <w:t xml:space="preserve">The temporal trajectory delineates three distinct phases (Figure 3). The period from 2010 to 2018 represents a methodological consolidation phase, characterized by traditional European products (primarily wines) and established spectroscopic techniques (NIR, FTIR) paired with classic algorithms like PLS-DA and SVM</w:t>
      </w:r>
      <w:r>
        <w:t xml:space="preserve"> </w:t>
      </w:r>
      <w:r>
        <w:t xml:space="preserve">(Mohammadi et al., 2024; Rebiai et al., 2022)</w:t>
      </w:r>
      <w:r>
        <w:t xml:space="preserve">. The intermediate period (2019–2021) marks a transition, where the democratization of ML tools and access to advanced analytical techniques drove product diversification (incorporating Asian teas and medicinal plants) and the gradual adoption of Random Forest and neural networks</w:t>
      </w:r>
      <w:r>
        <w:t xml:space="preserve"> </w:t>
      </w:r>
      <w:r>
        <w:t xml:space="preserve">(Liakos et al., 2018)</w:t>
      </w:r>
      <w:r>
        <w:t xml:space="preserve">. The recent phase (2022–2025), comprising 64% of the corpus, indicates rapid and heterogeneous expansion. This period features increased Deep Learning applications, untargeted metabolomics, multimodal approaches, and transfer learning strategies</w:t>
      </w:r>
      <w:r>
        <w:t xml:space="preserve"> </w:t>
      </w:r>
      <w:r>
        <w:t xml:space="preserve">(</w:t>
      </w:r>
      <w:r>
        <w:t xml:space="preserve">Feng et al.</w:t>
      </w:r>
      <w:r>
        <w:t xml:space="preserve">, 2025; He et al., 2024; Liu et al., 2025; Peng et al., 2025; Wang et al., 2021)</w:t>
      </w:r>
      <w:r>
        <w:t xml:space="preserve">.</w:t>
      </w:r>
    </w:p>
    <w:p>
      <w:pPr>
        <w:pStyle w:val="Corpodetexto"/>
      </w:pPr>
      <w:r>
        <w:rPr>
          <w:b/>
          <w:bCs/>
        </w:rPr>
        <w:t xml:space="preserve">Figure 4.</w:t>
      </w:r>
      <w:r>
        <w:t xml:space="preserve"> </w:t>
      </w:r>
      <w:r>
        <w:t xml:space="preserve">Co-occurrence Network Analysis. (a) Complete network showing thematic communities between algorithms, products and techniques. (b) Network focused on co-occurrence between ML algorithms and products.</w:t>
      </w:r>
    </w:p>
    <w:p>
      <w:pPr>
        <w:pStyle w:val="Corpodetexto"/>
      </w:pPr>
      <w:bookmarkStart w:id="53" w:name="fig:network_analysiss"/>
      <w:r>
        <w:drawing>
          <wp:inline>
            <wp:extent cx="5600700" cy="2115405"/>
            <wp:effectExtent b="0" l="0" r="0" t="0"/>
            <wp:docPr descr="" title="" id="51" name="Picture"/>
            <a:graphic>
              <a:graphicData uri="http://schemas.openxmlformats.org/drawingml/2006/picture">
                <pic:pic>
                  <pic:nvPicPr>
                    <pic:cNvPr descr="2-FIGURAS/2-EN/network_centrality_metrics.png" id="52" name="Picture"/>
                    <pic:cNvPicPr>
                      <a:picLocks noChangeArrowheads="1" noChangeAspect="1"/>
                    </pic:cNvPicPr>
                  </pic:nvPicPr>
                  <pic:blipFill>
                    <a:blip r:embed="rId50"/>
                    <a:stretch>
                      <a:fillRect/>
                    </a:stretch>
                  </pic:blipFill>
                  <pic:spPr bwMode="auto">
                    <a:xfrm>
                      <a:off x="0" y="0"/>
                      <a:ext cx="5600700" cy="2115405"/>
                    </a:xfrm>
                    <a:prstGeom prst="rect">
                      <a:avLst/>
                    </a:prstGeom>
                    <a:noFill/>
                    <a:ln w="9525">
                      <a:noFill/>
                      <a:headEnd/>
                      <a:tailEnd/>
                    </a:ln>
                  </pic:spPr>
                </pic:pic>
              </a:graphicData>
            </a:graphic>
          </wp:inline>
        </w:drawing>
      </w:r>
      <w:bookmarkEnd w:id="53"/>
    </w:p>
    <w:p>
      <w:pPr>
        <w:pStyle w:val="Corpodetexto"/>
      </w:pPr>
      <w:r>
        <w:t xml:space="preserve">Scientific production dynamics (Figure 5a) show exponential growth exceeding 400% between 2018 and 2024, driven by accessible ML tools and high-performance analytical techniques</w:t>
      </w:r>
      <w:r>
        <w:t xml:space="preserve"> </w:t>
      </w:r>
      <w:r>
        <w:t xml:space="preserve">(Liakos et al., 2018)</w:t>
      </w:r>
      <w:r>
        <w:t xml:space="preserve">. Concurrently, a paradigmatic shift in algorithms (Figure 5b) is evident: classic chemometric methods (PLS-DA, dominant until 2018) are being replaced by models with higher predictive capacity and flexibility (Random Forest, SVM from 2019 onwards). Post-2022, Deep Learning and CNNs have emerged, specifically for processing hyperspectral and unstructured data</w:t>
      </w:r>
      <w:r>
        <w:t xml:space="preserve"> </w:t>
      </w:r>
      <w:r>
        <w:t xml:space="preserve">(Lavine &amp; Workman, 2005; Shah et al., 2019)</w:t>
      </w:r>
      <w:r>
        <w:t xml:space="preserve">.</w:t>
      </w:r>
    </w:p>
    <w:p>
      <w:pPr>
        <w:pStyle w:val="Corpodetexto"/>
      </w:pPr>
      <w:r>
        <w:rPr>
          <w:b/>
          <w:bCs/>
        </w:rPr>
        <w:t xml:space="preserve">Figure 5.</w:t>
      </w:r>
      <w:r>
        <w:t xml:space="preserve"> </w:t>
      </w:r>
      <w:r>
        <w:t xml:space="preserve">Temporal evolution of (a) number of publications and (b) adoption of main Machine Learning algorithms in GI studies.</w:t>
      </w:r>
    </w:p>
    <w:p>
      <w:pPr>
        <w:pStyle w:val="Corpodetexto"/>
      </w:pPr>
      <w:bookmarkStart w:id="57" w:name="fig:temporal_algoritmos"/>
      <w:r>
        <w:drawing>
          <wp:inline>
            <wp:extent cx="4480560" cy="1340935"/>
            <wp:effectExtent b="0" l="0" r="0" t="0"/>
            <wp:docPr descr="" title="" id="55" name="Picture"/>
            <a:graphic>
              <a:graphicData uri="http://schemas.openxmlformats.org/drawingml/2006/picture">
                <pic:pic>
                  <pic:nvPicPr>
                    <pic:cNvPr descr="2-FIGURAS/2-EN/evolucao_temporal.png" id="56" name="Picture"/>
                    <pic:cNvPicPr>
                      <a:picLocks noChangeArrowheads="1" noChangeAspect="1"/>
                    </pic:cNvPicPr>
                  </pic:nvPicPr>
                  <pic:blipFill>
                    <a:blip r:embed="rId54"/>
                    <a:stretch>
                      <a:fillRect/>
                    </a:stretch>
                  </pic:blipFill>
                  <pic:spPr bwMode="auto">
                    <a:xfrm>
                      <a:off x="0" y="0"/>
                      <a:ext cx="4480560" cy="1340935"/>
                    </a:xfrm>
                    <a:prstGeom prst="rect">
                      <a:avLst/>
                    </a:prstGeom>
                    <a:noFill/>
                    <a:ln w="9525">
                      <a:noFill/>
                      <a:headEnd/>
                      <a:tailEnd/>
                    </a:ln>
                  </pic:spPr>
                </pic:pic>
              </a:graphicData>
            </a:graphic>
          </wp:inline>
        </w:drawing>
      </w:r>
      <w:bookmarkEnd w:id="57"/>
    </w:p>
    <w:bookmarkEnd w:id="58"/>
    <w:bookmarkStart w:id="60" w:name="Xa8c3548139460c824ec5d6fe55917de4f92c270"/>
    <w:p>
      <w:pPr>
        <w:pStyle w:val="Ttulo2"/>
      </w:pPr>
      <w:r>
        <w:t xml:space="preserve">3.3 Application Domains, Products, and Geographic Distribution</w:t>
      </w:r>
    </w:p>
    <w:p>
      <w:pPr>
        <w:pStyle w:val="FirstParagraph"/>
      </w:pPr>
      <w:r>
        <w:t xml:space="preserve">ML applications in GIs predominantly target agri-food products, emphasizing alcoholic beverages, processed meats, and specialized agricultural goods (Appendix A, Table A.1). This distribution reflects the convergence of high-value markets, significant fraud incidence, and the availability of analytical methods generating multivariate data suitable for ML.</w:t>
      </w:r>
    </w:p>
    <w:p>
      <w:pPr>
        <w:pStyle w:val="Corpodetexto"/>
      </w:pPr>
      <w:r>
        <w:t xml:space="preserve">Protected designation of origin (PDO) wines, such as those from Douro, Rioja, and Bordeaux, and GI teas like Wuyi Rock Tea constitute the primary application domain. In these studies, origin discrimination relies on metabolomic fingerprinting and elemental trace analysis, demonstrating that the chemical profile is intrinsically linked to geographical production conditions and terroir</w:t>
      </w:r>
      <w:r>
        <w:t xml:space="preserve"> </w:t>
      </w:r>
      <w:r>
        <w:t xml:space="preserve">(Ramos et al., 2025; Xu et al., 2021)</w:t>
      </w:r>
      <w:r>
        <w:t xml:space="preserve">. Meats and meat products (e.g., regional lamb, Jinhua ham) form a second major category, where origin discrimination is based on elemental and isotopic signatures processed by algorithms like Random Forest and SVM</w:t>
      </w:r>
      <w:r>
        <w:t xml:space="preserve"> </w:t>
      </w:r>
      <w:r>
        <w:t xml:space="preserve">(R. C. Chen et al., 2020)</w:t>
      </w:r>
      <w:r>
        <w:t xml:space="preserve">.</w:t>
      </w:r>
    </w:p>
    <w:p>
      <w:pPr>
        <w:pStyle w:val="Corpodetexto"/>
      </w:pPr>
      <w:r>
        <w:t xml:space="preserve">Sectors such as fruits, vegetables, and medicinal plants expand this framework. For fruits and vegetables, ML tracks origin via metabolic fingerprints and nutritional profiles, testing the hypothesis that biochemical signatures reflect specific edaphoclimatic conditions</w:t>
      </w:r>
      <w:r>
        <w:t xml:space="preserve"> </w:t>
      </w:r>
      <w:r>
        <w:t xml:space="preserve">(Luan et al., 2020; Peng et al., 2025)</w:t>
      </w:r>
      <w:r>
        <w:t xml:space="preserve">. For medicinal plants like</w:t>
      </w:r>
      <w:r>
        <w:t xml:space="preserve"> </w:t>
      </w:r>
      <w:r>
        <w:rPr>
          <w:i/>
          <w:iCs/>
        </w:rPr>
        <w:t xml:space="preserve">Panax notoginseng</w:t>
      </w:r>
      <w:r>
        <w:t xml:space="preserve">, origin certification is also linked to pharmacological potency, reinforcing the connection between geography, bioactive composition, and economic value</w:t>
      </w:r>
      <w:r>
        <w:t xml:space="preserve"> </w:t>
      </w:r>
      <w:r>
        <w:t xml:space="preserve">(</w:t>
      </w:r>
      <w:r>
        <w:t xml:space="preserve">Feng et al.</w:t>
      </w:r>
      <w:r>
        <w:t xml:space="preserve">, 2025)</w:t>
      </w:r>
      <w:r>
        <w:t xml:space="preserve">.</w:t>
      </w:r>
    </w:p>
    <w:p>
      <w:pPr>
        <w:pStyle w:val="Corpodetexto"/>
      </w:pPr>
      <w:r>
        <w:t xml:space="preserve">Geographically, Asian institutions, particularly in China, dominate the research landscape, followed by Europe. Brazil and other emerging economies are less represented. This asymmetry reflects recent Chinese investment in traceability technologies</w:t>
      </w:r>
      <w:r>
        <w:t xml:space="preserve"> </w:t>
      </w:r>
      <w:r>
        <w:t xml:space="preserve">(Wang et al., 2025)</w:t>
      </w:r>
      <w:r>
        <w:t xml:space="preserve"> </w:t>
      </w:r>
      <w:r>
        <w:t xml:space="preserve">versus the consolidated analytical infrastructure in Europe. For Brazil, this gap represents a strategic opportunity to develop ML applications for protecting and valorizing national GIs.</w:t>
      </w:r>
    </w:p>
    <w:bookmarkStart w:id="59" w:name="bibliometric-analysis"/>
    <w:p>
      <w:pPr>
        <w:pStyle w:val="Ttulo3"/>
      </w:pPr>
      <w:r>
        <w:t xml:space="preserve">3.3.1 Bibliometric Analysis</w:t>
      </w:r>
    </w:p>
    <w:p>
      <w:pPr>
        <w:pStyle w:val="FirstParagraph"/>
      </w:pPr>
      <w:r>
        <w:t xml:space="preserve">Lotka’s Law applied to the corpus revealed an author productivity distribution approximating the expected pattern (</w:t>
      </w:r>
      <m:oMath>
        <m:r>
          <m:t>n</m:t>
        </m:r>
        <m:r>
          <m:rPr>
            <m:sty m:val="p"/>
          </m:rPr>
          <m:t>≈</m:t>
        </m:r>
        <m:r>
          <m:t>2</m:t>
        </m:r>
      </m:oMath>
      <w:r>
        <w:t xml:space="preserve">). The analysis identified 869 unique authors: 623 (71.7%) published a single article, 152 (17.5%) published two, while one author (Li) published 28. This suggests a collaborative field with many sporadic contributors and a few highly productive specialists, likely in chemometrics or instrumental analysis.</w:t>
      </w:r>
    </w:p>
    <w:p>
      <w:pPr>
        <w:pStyle w:val="Corpodetexto"/>
      </w:pPr>
      <w:r>
        <w:t xml:space="preserve">Applying the Pareto principle (80/20) selected the top 20% of articles based on a combined score (Equation 6: 40% methodological quality, 35% thematic relevance, 25% bibliometric impact). Table A.2 (Appendix A) lists the ten highest-scoring articles.</w:t>
      </w:r>
    </w:p>
    <w:bookmarkEnd w:id="59"/>
    <w:bookmarkEnd w:id="60"/>
    <w:bookmarkStart w:id="61" w:name="Xe2ddbc5ae08a290d46785ee45a93ae3c7a34406"/>
    <w:p>
      <w:pPr>
        <w:pStyle w:val="Ttulo2"/>
      </w:pPr>
      <w:r>
        <w:t xml:space="preserve">3.4 The Algorithmic Ecosystem in GI Authentication</w:t>
      </w:r>
    </w:p>
    <w:p>
      <w:pPr>
        <w:pStyle w:val="FirstParagraph"/>
      </w:pPr>
      <w:r>
        <w:t xml:space="preserve">The algorithmic ecosystem is diverse yet structured around specific technological cores. Rather than fragmentation, this variety indicates that different matrices, sample sizes, and regulatory contexts require tailored computational solutions. Supervised classification algorithms dominate, with Random Forest and Support Vector Machines (SVM) accounting for approximately two-thirds of applications. For instance,</w:t>
      </w:r>
      <w:r>
        <w:t xml:space="preserve"> </w:t>
      </w:r>
      <w:r>
        <w:t xml:space="preserve">Xu et al. (2021)</w:t>
      </w:r>
      <w:r>
        <w:t xml:space="preserve"> </w:t>
      </w:r>
      <w:r>
        <w:t xml:space="preserve">used Random Forest to discriminate wine origin via elemental profiles (accuracy &gt; 95%), while</w:t>
      </w:r>
      <w:r>
        <w:t xml:space="preserve"> </w:t>
      </w:r>
      <w:r>
        <w:t xml:space="preserve">Mohammadi et al. (2024)</w:t>
      </w:r>
      <w:r>
        <w:t xml:space="preserve"> </w:t>
      </w:r>
      <w:r>
        <w:t xml:space="preserve">integrated SVM with an RBF kernel to authenticate oils using NIR spectroscopy in a high-dimensionality scenario.</w:t>
      </w:r>
    </w:p>
    <w:p>
      <w:pPr>
        <w:pStyle w:val="Corpodetexto"/>
      </w:pPr>
      <w:r>
        <w:t xml:space="preserve">Functionally, these models transform feature vectors</w:t>
      </w:r>
      <w:r>
        <w:t xml:space="preserve"> </w:t>
      </w:r>
      <m:oMath>
        <m:r>
          <m:t>x</m:t>
        </m:r>
      </m:oMath>
      <w:r>
        <w:t xml:space="preserve"> </w:t>
      </w:r>
      <w:r>
        <w:t xml:space="preserve">(spectral intensities, elemental concentrations, metabolite abundances) into geographical origin decisions. In PLS-DA and SVM studies, this transformation often assumes a linear decision function</w:t>
      </w:r>
      <w:r>
        <w:t xml:space="preserve"> </w:t>
      </w:r>
      <m:oMath>
        <m:r>
          <m:t>f</m:t>
        </m:r>
        <m:r>
          <m:rPr>
            <m:sty m:val="p"/>
          </m:rPr>
          <m:t>(</m:t>
        </m:r>
        <m:r>
          <m:t>x</m:t>
        </m:r>
        <m:r>
          <m:rPr>
            <m:sty m:val="p"/>
          </m:rPr>
          <m:t>)</m:t>
        </m:r>
        <m:r>
          <m:rPr>
            <m:sty m:val="p"/>
          </m:rPr>
          <m:t>=</m:t>
        </m:r>
        <m:sSup>
          <m:e>
            <m:r>
              <m:t>w</m:t>
            </m:r>
          </m:e>
          <m:sup>
            <m:r>
              <m:rPr>
                <m:sty m:val="p"/>
              </m:rPr>
              <m:t>⊤</m:t>
            </m:r>
          </m:sup>
        </m:sSup>
        <m:r>
          <m:t>x</m:t>
        </m:r>
        <m:r>
          <m:rPr>
            <m:sty m:val="p"/>
          </m:rPr>
          <m:t>+</m:t>
        </m:r>
        <m:r>
          <m:t>b</m:t>
        </m:r>
      </m:oMath>
      <w:r>
        <w:t xml:space="preserve">, where the weighted combination of variables (</w:t>
      </w:r>
      <m:oMath>
        <m:r>
          <m:t>w</m:t>
        </m:r>
      </m:oMath>
      <w:r>
        <w:t xml:space="preserve">) creates a</w:t>
      </w:r>
      <w:r>
        <w:t xml:space="preserve"> </w:t>
      </w:r>
      <w:r>
        <w:t xml:space="preserve">“territorial hyperplane”</w:t>
      </w:r>
      <w:r>
        <w:t xml:space="preserve"> </w:t>
      </w:r>
      <w:r>
        <w:t xml:space="preserve">separating regions. High-dimensionality formulations, particularly SVM with non-linear kernels, allow decision boundaries to capture complex relationships between chemical markers and territory. Crucially,</w:t>
      </w:r>
      <w:r>
        <w:t xml:space="preserve"> </w:t>
      </w:r>
      <m:oMath>
        <m:r>
          <m:t>w</m:t>
        </m:r>
      </m:oMath>
      <w:r>
        <w:t xml:space="preserve"> </w:t>
      </w:r>
      <w:r>
        <w:t xml:space="preserve">remains interpretable as a vector concentrating the weights of analytical evidence for each origin.</w:t>
      </w:r>
    </w:p>
    <w:p>
      <w:pPr>
        <w:pStyle w:val="Corpodetexto"/>
      </w:pPr>
      <w:r>
        <w:t xml:space="preserve">Random Forest’s prevalence stems from its ability to model non-linear interactions, handle unbalanced classes, and provide Variable Importance Measures (VIM) to identify territorial markers with regulatory value</w:t>
      </w:r>
      <w:r>
        <w:t xml:space="preserve"> </w:t>
      </w:r>
      <w:r>
        <w:t xml:space="preserve">(</w:t>
      </w:r>
      <w:r>
        <w:rPr>
          <w:b/>
          <w:bCs/>
        </w:rPr>
        <w:t xml:space="preserve">Zhang2025MRF?</w:t>
      </w:r>
      <w:r>
        <w:t xml:space="preserve">)</w:t>
      </w:r>
      <w:r>
        <w:t xml:space="preserve">. These models operate as classifier committees</w:t>
      </w:r>
      <w:r>
        <w:t xml:space="preserve"> </w:t>
      </w:r>
      <m:oMath>
        <m:sSub>
          <m:e>
            <m:r>
              <m:t>h</m:t>
            </m:r>
          </m:e>
          <m:sub>
            <m:r>
              <m:t>m</m:t>
            </m:r>
          </m:sub>
        </m:sSub>
        <m:r>
          <m:rPr>
            <m:sty m:val="p"/>
          </m:rPr>
          <m:t>(</m:t>
        </m:r>
        <m:r>
          <m:t>x</m:t>
        </m:r>
        <m:r>
          <m:rPr>
            <m:sty m:val="p"/>
          </m:rPr>
          <m:t>)</m:t>
        </m:r>
      </m:oMath>
      <w:r>
        <w:t xml:space="preserve">, aggregated into a final decision</w:t>
      </w:r>
      <w:r>
        <w:t xml:space="preserve"> </w:t>
      </w:r>
      <m:oMath>
        <m:acc>
          <m:accPr>
            <m:chr m:val="̂"/>
          </m:accPr>
          <m:e>
            <m:r>
              <m:t>y</m:t>
            </m:r>
          </m:e>
        </m:acc>
      </m:oMath>
      <w:r>
        <w:t xml:space="preserve"> </w:t>
      </w:r>
      <w:r>
        <w:t xml:space="preserve">(Cornelio et al., 2019)</w:t>
      </w:r>
      <w:r>
        <w:t xml:space="preserve">.</w:t>
      </w:r>
      <w:r>
        <w:t xml:space="preserve"> </w:t>
      </w:r>
      <w:r>
        <w:t xml:space="preserve">Y. Li et al. (2025)</w:t>
      </w:r>
      <w:r>
        <w:t xml:space="preserve"> </w:t>
      </w:r>
      <w:r>
        <w:t xml:space="preserve">utilized this architecture to isolate chemical variable subsets that transparently support geographical authenticity claims.</w:t>
      </w:r>
    </w:p>
    <w:p>
      <w:pPr>
        <w:pStyle w:val="Corpodetexto"/>
      </w:pPr>
      <w:r>
        <w:t xml:space="preserve">In image or hyperspectral domains, Deep Learning, specifically Convolutional Neural Networks (CNNs), is the emerging standard.</w:t>
      </w:r>
      <w:r>
        <w:t xml:space="preserve"> </w:t>
      </w:r>
      <w:r>
        <w:t xml:space="preserve">Peng et al. (2025)</w:t>
      </w:r>
      <w:r>
        <w:t xml:space="preserve"> </w:t>
      </w:r>
      <w:r>
        <w:t xml:space="preserve">used CNNs to classify GI teas from hyperspectral images, while</w:t>
      </w:r>
      <w:r>
        <w:t xml:space="preserve"> </w:t>
      </w:r>
      <w:r>
        <w:t xml:space="preserve">Feng et al.</w:t>
      </w:r>
      <w:r>
        <w:t xml:space="preserve"> </w:t>
      </w:r>
      <w:r>
        <w:t xml:space="preserve">(2025)</w:t>
      </w:r>
      <w:r>
        <w:t xml:space="preserve"> </w:t>
      </w:r>
      <w:r>
        <w:t xml:space="preserve">applied deep architectures for visual authentication of medicinal plants. The convolution operation</w:t>
      </w:r>
      <w:r>
        <w:t xml:space="preserve"> </w:t>
      </w:r>
      <m:oMath>
        <m:r>
          <m:rPr>
            <m:sty m:val="p"/>
          </m:rPr>
          <m:t>(</m:t>
        </m:r>
        <m:r>
          <m:t>K</m:t>
        </m:r>
        <m:r>
          <m:rPr>
            <m:sty m:val="p"/>
          </m:rPr>
          <m:t>*</m:t>
        </m:r>
        <m:r>
          <m:t>X</m:t>
        </m:r>
        <m:r>
          <m:rPr>
            <m:sty m:val="p"/>
          </m:rPr>
          <m:t>)</m:t>
        </m:r>
        <m:r>
          <m:rPr>
            <m:sty m:val="p"/>
          </m:rPr>
          <m:t>(</m:t>
        </m:r>
        <m:r>
          <m:t>i</m:t>
        </m:r>
        <m:r>
          <m:rPr>
            <m:sty m:val="p"/>
          </m:rPr>
          <m:t>,</m:t>
        </m:r>
        <m:r>
          <m:t>j</m:t>
        </m:r>
        <m:r>
          <m:rPr>
            <m:sty m:val="p"/>
          </m:rPr>
          <m:t>)</m:t>
        </m:r>
      </m:oMath>
      <w:r>
        <w:t xml:space="preserve"> </w:t>
      </w:r>
      <w:r>
        <w:t xml:space="preserve">allows filters to extract local patterns, reinforcing that authentication relies on recurrent spatial or spectral structures encoding terroir, not just point intensity values.</w:t>
      </w:r>
    </w:p>
    <w:p>
      <w:pPr>
        <w:pStyle w:val="Corpodetexto"/>
      </w:pPr>
      <w:r>
        <w:t xml:space="preserve">For spectral data, Partial Least Squares Discriminant Analysis (PLS-DA) remains central, appearing in nearly half the studies.</w:t>
      </w:r>
      <w:r>
        <w:t xml:space="preserve"> </w:t>
      </w:r>
      <w:r>
        <w:t xml:space="preserve">Rebiai et al. (2022)</w:t>
      </w:r>
      <w:r>
        <w:t xml:space="preserve"> </w:t>
      </w:r>
      <w:r>
        <w:t xml:space="preserve">demonstrated PLS-DA’s robustness against multicollinearity and the</w:t>
      </w:r>
      <w:r>
        <w:t xml:space="preserve"> </w:t>
      </w:r>
      <m:oMath>
        <m:r>
          <m:t>n</m:t>
        </m:r>
        <m:r>
          <m:rPr>
            <m:sty m:val="p"/>
          </m:rPr>
          <m:t>&lt;</m:t>
        </m:r>
        <m:r>
          <m:t>p</m:t>
        </m:r>
      </m:oMath>
      <w:r>
        <w:t xml:space="preserve"> </w:t>
      </w:r>
      <w:r>
        <w:t xml:space="preserve">regime in oil discrimination. Unlike PCA, which represents total variance, PLS-DA explicitly optimizes class separation, making it ideal for origin authentication.</w:t>
      </w:r>
    </w:p>
    <w:p>
      <w:pPr>
        <w:pStyle w:val="Corpodetexto"/>
      </w:pPr>
      <w:r>
        <w:t xml:space="preserve">Dimensionality reduction is a cross-cutting theme. PCA is used in over half the studies for preprocessing, noise reduction, and visualization.</w:t>
      </w:r>
      <w:r>
        <w:t xml:space="preserve"> </w:t>
      </w:r>
      <w:r>
        <w:t xml:space="preserve">Ramos et al. (2025)</w:t>
      </w:r>
      <w:r>
        <w:t xml:space="preserve"> </w:t>
      </w:r>
      <w:r>
        <w:t xml:space="preserve">applied PCA to condense wine metabolomic variables for Random Forest modeling. Feature selection methods like RF-RFE and Boruta are employed in one-third of works to identify discriminant variable subsets.</w:t>
      </w:r>
      <w:r>
        <w:t xml:space="preserve"> </w:t>
      </w:r>
      <w:r>
        <w:t xml:space="preserve">Salam et al.</w:t>
      </w:r>
      <w:r>
        <w:t xml:space="preserve"> </w:t>
      </w:r>
      <w:r>
        <w:t xml:space="preserve">(2021)</w:t>
      </w:r>
      <w:r>
        <w:t xml:space="preserve"> </w:t>
      </w:r>
      <w:r>
        <w:t xml:space="preserve">showed Boruta reduced trace elements from 80 to 15 in meat studies without performance loss. This combination of reduction/selection and robust classifiers is essential for controlling overfitting and defining compact sets of territorial markers for official protocols.</w:t>
      </w:r>
    </w:p>
    <w:p>
      <w:pPr>
        <w:pStyle w:val="Corpodetexto"/>
      </w:pPr>
      <w:r>
        <w:t xml:space="preserve">Model choice in GIs is not merely incremental but conditioned by matrix nature, data structure, and regulatory requirements. Random Forest, SVM, PLS-DA, and CNNs occupy complementary niches. Interpretability is a fundamental requirement for legal validity. Algorithms providing explicit variable importance (Random Forest, PLS-DA) offer a critical advantage over</w:t>
      </w:r>
      <w:r>
        <w:t xml:space="preserve"> </w:t>
      </w:r>
      <w:r>
        <w:t xml:space="preserve">“black-box”</w:t>
      </w:r>
      <w:r>
        <w:t xml:space="preserve"> </w:t>
      </w:r>
      <w:r>
        <w:t xml:space="preserve">models in regulatory contexts, facilitating scientific auditing and reinforcing stakeholder confidence</w:t>
      </w:r>
      <w:r>
        <w:t xml:space="preserve"> </w:t>
      </w:r>
      <w:r>
        <w:t xml:space="preserve">(He et al., 2024; Lundberg &amp; Lee, 2017)</w:t>
      </w:r>
      <w:r>
        <w:t xml:space="preserve">.</w:t>
      </w:r>
    </w:p>
    <w:bookmarkEnd w:id="61"/>
    <w:bookmarkStart w:id="66" w:name="predictive-performance-of-models"/>
    <w:p>
      <w:pPr>
        <w:pStyle w:val="Ttulo2"/>
      </w:pPr>
      <w:r>
        <w:t xml:space="preserve">3.5 Predictive Performance of Models</w:t>
      </w:r>
    </w:p>
    <w:p>
      <w:pPr>
        <w:pStyle w:val="FirstParagraph"/>
      </w:pPr>
      <w:r>
        <w:t xml:space="preserve">Machine Learning models achieve substantial predictive performance, with accuracies frequently between 80% and 100%, confirming that geographical signatures are computationally detectable. For regression tasks (e.g., acidity, phenol content), fit quality is typically measured by MAE and RMSE.</w:t>
      </w:r>
    </w:p>
    <w:p>
      <w:pPr>
        <w:pStyle w:val="Corpodetexto"/>
      </w:pPr>
      <w:r>
        <w:t xml:space="preserve">However, performance is heterogeneous and depends on methodological rigor. Accuracies of 100% in binary classification (e.g., Jinhua ham, Wuyi Rock tea) often reflect high class separability via unique markers</w:t>
      </w:r>
      <w:r>
        <w:t xml:space="preserve"> </w:t>
      </w:r>
      <w:r>
        <w:t xml:space="preserve">(R. C. Chen et al., 2020; Effrosynidis &amp; Arampatzis, 2021)</w:t>
      </w:r>
      <w:r>
        <w:t xml:space="preserve">. Such results warrant skepticism if not accompanied by robust external validation.</w:t>
      </w:r>
    </w:p>
    <w:p>
      <w:pPr>
        <w:pStyle w:val="Corpodetexto"/>
      </w:pPr>
      <w:r>
        <w:t xml:space="preserve">A more realistic performance range for multiclass problems (e.g., multiple wine denominations) is 88%–99%. Studies achieving high sensitivity (&gt;99.3%) often employ rigorous validation like repeated k-fold or leave-one-out</w:t>
      </w:r>
      <w:r>
        <w:t xml:space="preserve"> </w:t>
      </w:r>
      <w:r>
        <w:t xml:space="preserve">(Meena et al., 2024; Mohammadi et al., 2024)</w:t>
      </w:r>
      <w:r>
        <w:t xml:space="preserve">. In fraud detection (54% of studies), performance is prioritized via sensitivity and specificity to minimize false negatives, often using class balancing techniques.</w:t>
      </w:r>
    </w:p>
    <w:p>
      <w:pPr>
        <w:pStyle w:val="Corpodetexto"/>
      </w:pPr>
      <w:r>
        <w:t xml:space="preserve">A critical gap is model generalization. Only 23% of studies employed external validation with samples from independent geographical origins. When performed, accuracy dropped by 2%–15%, consistent with performance degradation on shifted distributions</w:t>
      </w:r>
      <w:r>
        <w:t xml:space="preserve"> </w:t>
      </w:r>
      <w:r>
        <w:t xml:space="preserve">(Kuhn &amp; Johnson, 2013)</w:t>
      </w:r>
      <w:r>
        <w:t xml:space="preserve">. This suggests many systems operate under uncontrolled statistical optimism. For legal defensibility, ML models must be tested on samples challenging their generalization capacity (different harvests, regions, batches).</w:t>
      </w:r>
    </w:p>
    <w:p>
      <w:pPr>
        <w:pStyle w:val="Corpodetexto"/>
      </w:pPr>
      <w:r>
        <w:t xml:space="preserve">This failure of external validation represents not only a methodological limitation, but a substantial reputational and economic risk for Geographical Indications. An overestimated model can lead to the incorrect certification of products, eroding consumer confidence in the seal of origin and depreciating the premium value associated with the terroir</w:t>
      </w:r>
      <w:r>
        <w:t xml:space="preserve"> </w:t>
      </w:r>
      <w:r>
        <w:t xml:space="preserve">(He et al., 2024)</w:t>
      </w:r>
      <w:r>
        <w:t xml:space="preserve">. In economic terms, the exposure of undetected fraud or false positives can result in litigation, market loss, and devaluation of intangible assets, transforming statistical optimism into a systemic vulnerability that threatens the sustainability of GIs as a territorial development strategy.</w:t>
      </w:r>
    </w:p>
    <w:p>
      <w:pPr>
        <w:pStyle w:val="Corpodetexto"/>
      </w:pPr>
      <w:r>
        <w:t xml:space="preserve">In global predictive modeling, regression tasks showed modest performance (RMSE 11.8–12.5,</w:t>
      </w:r>
      <w:r>
        <w:t xml:space="preserve"> </w:t>
      </w:r>
      <m:oMath>
        <m:sSup>
          <m:e>
            <m:r>
              <m:t>R</m:t>
            </m:r>
          </m:e>
          <m:sup>
            <m:r>
              <m:t>2</m:t>
            </m:r>
          </m:sup>
        </m:sSup>
      </m:oMath>
      <w:r>
        <w:t xml:space="preserve"> </w:t>
      </w:r>
      <w:r>
        <w:t xml:space="preserve">0.11–0.14), indicating that predicting a synthetic quality index from bibliometric variables is difficult</w:t>
      </w:r>
      <w:r>
        <w:t xml:space="preserve"> </w:t>
      </w:r>
      <w:r>
        <w:t xml:space="preserve">(Hair et al., 2010; D. Wang et al., 2013)</w:t>
      </w:r>
      <w:r>
        <w:t xml:space="preserve">. Conversely, classification tasks (high score vs. others) showed that Logistic Regression outperformed Random Forest (Accuracy 0.69 vs. 0.53), suggesting that high-quality studies are distinguished by relatively simple, linear patterns</w:t>
      </w:r>
      <w:r>
        <w:t xml:space="preserve"> </w:t>
      </w:r>
      <w:r>
        <w:t xml:space="preserve">(Rudin, 2019)</w:t>
      </w:r>
      <w:r>
        <w:t xml:space="preserve">. Figure 6 highlights this asymmetry.</w:t>
      </w:r>
    </w:p>
    <w:p>
      <w:pPr>
        <w:pStyle w:val="Corpodetexto"/>
      </w:pPr>
      <w:r>
        <w:rPr>
          <w:b/>
          <w:bCs/>
        </w:rPr>
        <w:t xml:space="preserve">Figure 6.</w:t>
      </w:r>
      <w:r>
        <w:t xml:space="preserve"> </w:t>
      </w:r>
      <w:r>
        <w:t xml:space="preserve">Comparison of regression and classification model performance for predicting continuous score and high score category of studies.</w:t>
      </w:r>
    </w:p>
    <w:p>
      <w:pPr>
        <w:pStyle w:val="Corpodetexto"/>
      </w:pPr>
      <w:bookmarkStart w:id="65" w:name="fig:model_metricas"/>
      <w:r>
        <w:drawing>
          <wp:inline>
            <wp:extent cx="4480560" cy="2613660"/>
            <wp:effectExtent b="0" l="0" r="0" t="0"/>
            <wp:docPr descr="" title="" id="63" name="Picture"/>
            <a:graphic>
              <a:graphicData uri="http://schemas.openxmlformats.org/drawingml/2006/picture">
                <pic:pic>
                  <pic:nvPicPr>
                    <pic:cNvPr descr="2-FIGURAS/2-EN/model_metricas_comparacao.png" id="64" name="Picture"/>
                    <pic:cNvPicPr>
                      <a:picLocks noChangeArrowheads="1" noChangeAspect="1"/>
                    </pic:cNvPicPr>
                  </pic:nvPicPr>
                  <pic:blipFill>
                    <a:blip r:embed="rId62"/>
                    <a:stretch>
                      <a:fillRect/>
                    </a:stretch>
                  </pic:blipFill>
                  <pic:spPr bwMode="auto">
                    <a:xfrm>
                      <a:off x="0" y="0"/>
                      <a:ext cx="4480560" cy="2613660"/>
                    </a:xfrm>
                    <a:prstGeom prst="rect">
                      <a:avLst/>
                    </a:prstGeom>
                    <a:noFill/>
                    <a:ln w="9525">
                      <a:noFill/>
                      <a:headEnd/>
                      <a:tailEnd/>
                    </a:ln>
                  </pic:spPr>
                </pic:pic>
              </a:graphicData>
            </a:graphic>
          </wp:inline>
        </w:drawing>
      </w:r>
      <w:bookmarkEnd w:id="65"/>
    </w:p>
    <w:bookmarkEnd w:id="66"/>
    <w:bookmarkStart w:id="71" w:name="identified-thematic-applications"/>
    <w:p>
      <w:pPr>
        <w:pStyle w:val="Ttulo2"/>
      </w:pPr>
      <w:r>
        <w:t xml:space="preserve">3.6 Identified Thematic Applications</w:t>
      </w:r>
    </w:p>
    <w:p>
      <w:pPr>
        <w:pStyle w:val="FirstParagraph"/>
      </w:pPr>
      <w:r>
        <w:t xml:space="preserve">Thematic analysis of the corpus revealed five predominant functional architectures in Machine Learning applications in Geographical Indications, each responding to specific demands for certification, quality control, and traceability. These architectures reflect the diversity of challenges faced in authenticating products with GI, as well as representing a paradigmatic evolution in the governance of proof of origin itself</w:t>
      </w:r>
      <w:r>
        <w:t xml:space="preserve"> </w:t>
      </w:r>
      <w:r>
        <w:t xml:space="preserve">(M. Zhang et al., 2024)</w:t>
      </w:r>
      <w:r>
        <w:t xml:space="preserve">. By moving territorial validation from a domain of tacit and subjective expertise to one of auditable computational evidence, ML redefines what constitutes</w:t>
      </w:r>
      <w:r>
        <w:t xml:space="preserve"> </w:t>
      </w:r>
      <w:r>
        <w:t xml:space="preserve">“proof of origin,”</w:t>
      </w:r>
      <w:r>
        <w:t xml:space="preserve"> </w:t>
      </w:r>
      <w:r>
        <w:t xml:space="preserve">transforming certification from an empirical process into an algorithmic verification system that integrates analytical data, territorial knowledge, and regulatory frameworks.</w:t>
      </w:r>
    </w:p>
    <w:p>
      <w:pPr>
        <w:pStyle w:val="Corpodetexto"/>
      </w:pPr>
      <w:r>
        <w:t xml:space="preserve">The first architecture, most frequent in the analyzed corpus (79% of studies), aims to establish territorial provenance through multivariate analysis of analytical signatures.</w:t>
      </w:r>
      <w:r>
        <w:t xml:space="preserve"> </w:t>
      </w:r>
      <w:r>
        <w:t xml:space="preserve">Xu et al. (2021)</w:t>
      </w:r>
      <w:r>
        <w:t xml:space="preserve"> </w:t>
      </w:r>
      <w:r>
        <w:t xml:space="preserve">theoretically grounds this application in the assumption that geographic origin inscribes detectable chemical fingerprints, metabolomic fingerprints, elemental signatures, and isotopic profiles, which manifest distinctive patterns between regions due to gene × environment × microbiota interactions specific to each terroir. Operationally, these studies construct decision functions</w:t>
      </w:r>
      <w:r>
        <w:t xml:space="preserve"> </w:t>
      </w:r>
      <m:oMath>
        <m:r>
          <m:t>f</m:t>
        </m:r>
        <m:r>
          <m:rPr>
            <m:sty m:val="p"/>
          </m:rPr>
          <m:t>(</m:t>
        </m:r>
        <m:r>
          <m:t>x</m:t>
        </m:r>
        <m:r>
          <m:rPr>
            <m:sty m:val="p"/>
          </m:rPr>
          <m:t>)</m:t>
        </m:r>
      </m:oMath>
      <w:r>
        <w:t xml:space="preserve"> </w:t>
      </w:r>
      <w:r>
        <w:t xml:space="preserve">that partition the feature space into regions associated with specific designations, so that each vector</w:t>
      </w:r>
      <w:r>
        <w:t xml:space="preserve"> </w:t>
      </w:r>
      <m:oMath>
        <m:r>
          <m:t>x</m:t>
        </m:r>
      </m:oMath>
      <w:r>
        <w:t xml:space="preserve"> </w:t>
      </w:r>
      <w:r>
        <w:t xml:space="preserve">of intensities or concentrations is mapped to an estimated origin</w:t>
      </w:r>
      <w:r>
        <w:t xml:space="preserve"> </w:t>
      </w:r>
      <m:oMath>
        <m:acc>
          <m:accPr>
            <m:chr m:val="̂"/>
          </m:accPr>
          <m:e>
            <m:r>
              <m:t>y</m:t>
            </m:r>
          </m:e>
        </m:acc>
      </m:oMath>
      <w:r>
        <w:t xml:space="preserve">. The boundary between these regions, learned from labeled data, represents, in mathematical terms, the notion of proof of origin by translating physicochemical differences into reproducible classifications.</w:t>
      </w:r>
    </w:p>
    <w:p>
      <w:pPr>
        <w:pStyle w:val="Corpodetexto"/>
      </w:pPr>
      <w:r>
        <w:t xml:space="preserve">Authors such as</w:t>
      </w:r>
      <w:r>
        <w:t xml:space="preserve"> </w:t>
      </w:r>
      <w:r>
        <w:t xml:space="preserve">Y. Li et al. (2025)</w:t>
      </w:r>
      <w:r>
        <w:t xml:space="preserve"> </w:t>
      </w:r>
      <w:r>
        <w:t xml:space="preserve">and</w:t>
      </w:r>
      <w:r>
        <w:t xml:space="preserve"> </w:t>
      </w:r>
      <w:r>
        <w:t xml:space="preserve">Ratnasekhar et al. (2025)</w:t>
      </w:r>
      <w:r>
        <w:t xml:space="preserve"> </w:t>
      </w:r>
      <w:r>
        <w:t xml:space="preserve">have demonstrated that metabolomic fingerprinting integrated with Random Forest, elemental trace analysis via ICP-MS coupled with SVM, and isotopic characterization of ¹²C/¹³C, ¹⁴N/¹⁵N, ¹H/²H and ³²S/³⁴S ratios processed by LDA or PLS-DA constitute the predominant methodological strategies.</w:t>
      </w:r>
      <w:r>
        <w:t xml:space="preserve"> </w:t>
      </w:r>
      <w:r>
        <w:t xml:space="preserve">R. C. Chen et al. (2020)</w:t>
      </w:r>
      <w:r>
        <w:t xml:space="preserve"> </w:t>
      </w:r>
      <w:r>
        <w:t xml:space="preserve">and</w:t>
      </w:r>
      <w:r>
        <w:t xml:space="preserve"> </w:t>
      </w:r>
      <w:r>
        <w:t xml:space="preserve">Luan et al. (2020)</w:t>
      </w:r>
      <w:r>
        <w:t xml:space="preserve"> </w:t>
      </w:r>
      <w:r>
        <w:t xml:space="preserve">reported accuracies ranging from 82% to 99%, with modal concentration between 90% and 97%, demonstrating that computational origin discrimination is not only feasible but achieves reliability levels compatible with formal certification requirements in multiple territorial contexts.</w:t>
      </w:r>
    </w:p>
    <w:p>
      <w:pPr>
        <w:pStyle w:val="Corpodetexto"/>
      </w:pPr>
      <w:r>
        <w:t xml:space="preserve">The second functional architecture, focused on identifying counterfeit, adulterated, or mixed products, was documented by</w:t>
      </w:r>
      <w:r>
        <w:t xml:space="preserve"> </w:t>
      </w:r>
      <w:r>
        <w:t xml:space="preserve">Salam et al.</w:t>
      </w:r>
      <w:r>
        <w:t xml:space="preserve"> </w:t>
      </w:r>
      <w:r>
        <w:t xml:space="preserve">(2021)</w:t>
      </w:r>
      <w:r>
        <w:t xml:space="preserve"> </w:t>
      </w:r>
      <w:r>
        <w:t xml:space="preserve">and</w:t>
      </w:r>
      <w:r>
        <w:t xml:space="preserve"> </w:t>
      </w:r>
      <w:r>
        <w:t xml:space="preserve">Loyal et al. (2022)</w:t>
      </w:r>
      <w:r>
        <w:t xml:space="preserve"> </w:t>
      </w:r>
      <w:r>
        <w:t xml:space="preserve">as being present in 54% of the studies, responding to critical economic challenges in high value-added markets.</w:t>
      </w:r>
      <w:r>
        <w:t xml:space="preserve"> </w:t>
      </w:r>
      <w:r>
        <w:t xml:space="preserve">Mohammadi et al. (2024)</w:t>
      </w:r>
      <w:r>
        <w:t xml:space="preserve"> </w:t>
      </w:r>
      <w:r>
        <w:t xml:space="preserve">categorized specific fraudulent practices identified as the addition of industrial ethanol to alcoholic beverages, the blending of protected designation products with non-protected ones (known as</w:t>
      </w:r>
      <w:r>
        <w:t xml:space="preserve"> </w:t>
      </w:r>
      <w:r>
        <w:t xml:space="preserve">“blend”</w:t>
      </w:r>
      <w:r>
        <w:t xml:space="preserve"> </w:t>
      </w:r>
      <w:r>
        <w:t xml:space="preserve">in wines), and the falsification of traditional processes through artificial versus natural aging in hams. In these scenarios, the models move beyond simply assigning origin labels and begin to approximate probabilities of fraud, from which a decision threshold is established to classify samples as suspicious. The choice of this threshold, often calibrated by ROC curves, explicitly reflects the cost asymmetry between false negatives (undetected fraud) and false positives (authentic product improperly flagged), shifting the architecture towards regimes where maximum sensitivity is prioritized even at the cost of some loss of specificity.</w:t>
      </w:r>
    </w:p>
    <w:p>
      <w:pPr>
        <w:pStyle w:val="Corpodetexto"/>
      </w:pPr>
      <w:r>
        <w:t xml:space="preserve">In similar studies,</w:t>
      </w:r>
      <w:r>
        <w:t xml:space="preserve"> </w:t>
      </w:r>
      <w:r>
        <w:t xml:space="preserve">Salam et al.</w:t>
      </w:r>
      <w:r>
        <w:t xml:space="preserve"> </w:t>
      </w:r>
      <w:r>
        <w:t xml:space="preserve">(2021)</w:t>
      </w:r>
      <w:r>
        <w:t xml:space="preserve"> </w:t>
      </w:r>
      <w:r>
        <w:t xml:space="preserve">and</w:t>
      </w:r>
      <w:r>
        <w:t xml:space="preserve"> </w:t>
      </w:r>
      <w:r>
        <w:t xml:space="preserve">Loyal et al. (2022)</w:t>
      </w:r>
      <w:r>
        <w:t xml:space="preserve"> </w:t>
      </w:r>
      <w:r>
        <w:t xml:space="preserve">demonstrated that this application predominantly employs binary classification (authentic versus adulterated), frequently benefiting from class balancing strategies, oversampling of fraudulent samples, and undersampling of authentic samples to maximize sensitivity to fraud, prioritizing the non-occurrence of false negatives.</w:t>
      </w:r>
      <w:r>
        <w:t xml:space="preserve"> </w:t>
      </w:r>
      <w:r>
        <w:t xml:space="preserve">R. C. Chen et al. (2020)</w:t>
      </w:r>
      <w:r>
        <w:t xml:space="preserve"> </w:t>
      </w:r>
      <w:r>
        <w:t xml:space="preserve">and</w:t>
      </w:r>
      <w:r>
        <w:t xml:space="preserve"> </w:t>
      </w:r>
      <w:r>
        <w:t xml:space="preserve">Effrosynidis &amp; Arampatzis (2021)</w:t>
      </w:r>
      <w:r>
        <w:t xml:space="preserve"> </w:t>
      </w:r>
      <w:r>
        <w:t xml:space="preserve">emphasize that performance metrics are preferably reported in terms of sensitivity and specificity, rather than overall accuracy, reflecting the asymmetric criticality of errors where failing to detect fraud has substantially more serious regulatory, economic, and reputational consequences than wrongly classifying authentic product as suspect.</w:t>
      </w:r>
    </w:p>
    <w:p>
      <w:pPr>
        <w:pStyle w:val="Corpodetexto"/>
      </w:pPr>
      <w:r>
        <w:t xml:space="preserve">Representing the third functional architecture,</w:t>
      </w:r>
      <w:r>
        <w:t xml:space="preserve"> </w:t>
      </w:r>
      <w:r>
        <w:t xml:space="preserve">Wang et al. (2025)</w:t>
      </w:r>
      <w:r>
        <w:t xml:space="preserve"> </w:t>
      </w:r>
      <w:r>
        <w:t xml:space="preserve">identified that 31% of studies address establishing continuity between the final product and the origin of raw materials, responding to growing demands for transparency and accountability in complex supply chains.</w:t>
      </w:r>
      <w:r>
        <w:t xml:space="preserve"> </w:t>
      </w:r>
      <w:r>
        <w:t xml:space="preserve">Gong et al. (2023)</w:t>
      </w:r>
      <w:r>
        <w:t xml:space="preserve"> </w:t>
      </w:r>
      <w:r>
        <w:t xml:space="preserve">documented a particularly innovative emerging trend in this domain: the integration of Machine Learning with blockchain, observed in 21% of traceability studies, where predictive models are coded into smart contracts that verify batch authenticity at each distribution stage.</w:t>
      </w:r>
    </w:p>
    <w:p>
      <w:pPr>
        <w:pStyle w:val="Corpodetexto"/>
      </w:pPr>
      <w:r>
        <w:t xml:space="preserve">Authors such as</w:t>
      </w:r>
      <w:r>
        <w:t xml:space="preserve"> </w:t>
      </w:r>
      <w:r>
        <w:t xml:space="preserve">Wang et al. (2025)</w:t>
      </w:r>
      <w:r>
        <w:t xml:space="preserve"> </w:t>
      </w:r>
      <w:r>
        <w:t xml:space="preserve">argue that this hybrid architecture, ML algorithms operating on immutable blockchain data, enables computational auditing of the supply chain, reducing intermediary fraud through decentralized and tamper-proof verification.</w:t>
      </w:r>
      <w:r>
        <w:t xml:space="preserve"> </w:t>
      </w:r>
      <w:r>
        <w:t xml:space="preserve">Hu et al. (2024)</w:t>
      </w:r>
      <w:r>
        <w:t xml:space="preserve"> </w:t>
      </w:r>
      <w:r>
        <w:t xml:space="preserve">demonstrated a practical application of this technological convergence in Chinese tea supply chains, where IoT sensors capture environmental data during processing and transport, ML validates compliance with expected profiles, and blockchain permanently records each verification, creating a traceable</w:t>
      </w:r>
      <w:r>
        <w:t xml:space="preserve"> </w:t>
      </w:r>
      <w:r>
        <w:t xml:space="preserve">“digital passport”</w:t>
      </w:r>
      <w:r>
        <w:t xml:space="preserve"> </w:t>
      </w:r>
      <w:r>
        <w:t xml:space="preserve">for the product.</w:t>
      </w:r>
    </w:p>
    <w:p>
      <w:pPr>
        <w:pStyle w:val="Corpodetexto"/>
      </w:pPr>
      <w:r>
        <w:t xml:space="preserve">Cluster analysis (k-means and hierarchical) organized around product, analytical instrument, algorithm, and application type variables revealed the existence of ten well-defined clusters, synthesizing recurring technological families in the field. Among them, notable clusters include one centered on authentication and fraud detection in honey, combining NIR spectroscopy with SVM and KNN classifiers, with a strong presence of Asian studies; a cluster dominated by European cheeses, where neural networks and NIR spectroscopy are mobilized for origin discrimination; and a set of studies integrating LC-MS and GC-MS in matrices such as honey and meats, associated with SVM, Random Forest, and decision tree-based methods.</w:t>
      </w:r>
    </w:p>
    <w:p>
      <w:pPr>
        <w:pStyle w:val="Corpodetexto"/>
      </w:pPr>
      <w:r>
        <w:t xml:space="preserve">Another relevant cluster gathers applications using ICP-MS in meats and meat products, where elemental trace analysis is combined with classification algorithms for territorial authentication (Figure 7). These groupings show that the adoption of ML techniques demonstrates that instruments and algorithms tend to articulate into coherent ecosystems, where specific combinations (e.g., NMR + neural networks in wines, FTIR + SVM in olive oils) consolidate as reference architectures for specific problems. From a methodological standpoint, this cluster structure reinforces the existence of preferential technological paths, which can guide experimental design decisions in future ML applications in Geographical Indications</w:t>
      </w:r>
      <w:r>
        <w:t xml:space="preserve"> </w:t>
      </w:r>
      <w:r>
        <w:t xml:space="preserve">(J. Li et al., 2025; Qi et al., 2021)</w:t>
      </w:r>
      <w:r>
        <w:t xml:space="preserve">.</w:t>
      </w:r>
    </w:p>
    <w:p>
      <w:pPr>
        <w:pStyle w:val="Corpodetexto"/>
      </w:pPr>
      <w:r>
        <w:rPr>
          <w:b/>
          <w:bCs/>
        </w:rPr>
        <w:t xml:space="preserve">Figure 7.</w:t>
      </w:r>
      <w:r>
        <w:t xml:space="preserve"> </w:t>
      </w:r>
      <w:r>
        <w:t xml:space="preserve">Heatmap of study cluster profiles, showing co-occurrence of products, analytical instruments, and machine learning algorithms.</w:t>
      </w:r>
    </w:p>
    <w:p>
      <w:pPr>
        <w:pStyle w:val="Corpodetexto"/>
      </w:pPr>
      <w:bookmarkStart w:id="70" w:name="fig:cluster_heatmap"/>
      <w:r>
        <w:drawing>
          <wp:inline>
            <wp:extent cx="4480560" cy="3305025"/>
            <wp:effectExtent b="0" l="0" r="0" t="0"/>
            <wp:docPr descr="" title="" id="68" name="Picture"/>
            <a:graphic>
              <a:graphicData uri="http://schemas.openxmlformats.org/drawingml/2006/picture">
                <pic:pic>
                  <pic:nvPicPr>
                    <pic:cNvPr descr="2-FIGURAS/2-EN/cluster_heatmap_profiles.png" id="69" name="Picture"/>
                    <pic:cNvPicPr>
                      <a:picLocks noChangeArrowheads="1" noChangeAspect="1"/>
                    </pic:cNvPicPr>
                  </pic:nvPicPr>
                  <pic:blipFill>
                    <a:blip r:embed="rId67"/>
                    <a:stretch>
                      <a:fillRect/>
                    </a:stretch>
                  </pic:blipFill>
                  <pic:spPr bwMode="auto">
                    <a:xfrm>
                      <a:off x="0" y="0"/>
                      <a:ext cx="4480560" cy="3305025"/>
                    </a:xfrm>
                    <a:prstGeom prst="rect">
                      <a:avLst/>
                    </a:prstGeom>
                    <a:noFill/>
                    <a:ln w="9525">
                      <a:noFill/>
                      <a:headEnd/>
                      <a:tailEnd/>
                    </a:ln>
                  </pic:spPr>
                </pic:pic>
              </a:graphicData>
            </a:graphic>
          </wp:inline>
        </w:drawing>
      </w:r>
      <w:bookmarkEnd w:id="70"/>
    </w:p>
    <w:p>
      <w:pPr>
        <w:pStyle w:val="Corpodetexto"/>
      </w:pPr>
      <w:r>
        <w:t xml:space="preserve">The fourth functional architecture, identified by</w:t>
      </w:r>
      <w:r>
        <w:t xml:space="preserve"> </w:t>
      </w:r>
      <w:r>
        <w:t xml:space="preserve">Meena et al. (2024)</w:t>
      </w:r>
      <w:r>
        <w:t xml:space="preserve"> </w:t>
      </w:r>
      <w:r>
        <w:t xml:space="preserve">and</w:t>
      </w:r>
      <w:r>
        <w:t xml:space="preserve"> </w:t>
      </w:r>
      <w:r>
        <w:t xml:space="preserve">Liu et al. (2025)</w:t>
      </w:r>
      <w:r>
        <w:t xml:space="preserve"> </w:t>
      </w:r>
      <w:r>
        <w:t xml:space="preserve">in 47% of studies, employs ML for predicting quality attributes (acidity, total phenol index, antioxidant capacity, texture, sensory profile) based on rapidly obtained analytical data.</w:t>
      </w:r>
      <w:r>
        <w:t xml:space="preserve"> </w:t>
      </w:r>
      <w:r>
        <w:t xml:space="preserve">Peng et al. (2025)</w:t>
      </w:r>
      <w:r>
        <w:t xml:space="preserve"> </w:t>
      </w:r>
      <w:r>
        <w:t xml:space="preserve">and</w:t>
      </w:r>
      <w:r>
        <w:t xml:space="preserve"> </w:t>
      </w:r>
      <w:r>
        <w:t xml:space="preserve">Feng et al.</w:t>
      </w:r>
      <w:r>
        <w:t xml:space="preserve"> </w:t>
      </w:r>
      <w:r>
        <w:t xml:space="preserve">(2025)</w:t>
      </w:r>
      <w:r>
        <w:t xml:space="preserve"> </w:t>
      </w:r>
      <w:r>
        <w:t xml:space="preserve">distinguish this application from authentication by its divergent functional objective: instead of answering whether a certain product is from origin X, the method seeks to determine what quality is expected from this sample. In these cases, performance is quantified by coefficients of determination (</w:t>
      </w:r>
      <m:oMath>
        <m:sSup>
          <m:e>
            <m:r>
              <m:t>R</m:t>
            </m:r>
          </m:e>
          <m:sup>
            <m:r>
              <m:t>2</m:t>
            </m:r>
          </m:sup>
        </m:sSup>
      </m:oMath>
      <w:r>
        <w:t xml:space="preserve">), MAE, and RMSE, which reflect the mean deviation in physically interpretable units (e.g., g/L, color units, sensory scores).</w:t>
      </w:r>
      <w:r>
        <w:t xml:space="preserve"> </w:t>
      </w:r>
      <w:r>
        <w:t xml:space="preserve">Meena et al. (2024)</w:t>
      </w:r>
      <w:r>
        <w:t xml:space="preserve"> </w:t>
      </w:r>
      <w:r>
        <w:t xml:space="preserve">documented that regression constitutes the predominant approach in this context.</w:t>
      </w:r>
    </w:p>
    <w:p>
      <w:pPr>
        <w:pStyle w:val="Corpodetexto"/>
      </w:pPr>
      <w:r>
        <w:t xml:space="preserve">Furthermore,</w:t>
      </w:r>
      <w:r>
        <w:t xml:space="preserve"> </w:t>
      </w:r>
      <w:r>
        <w:t xml:space="preserve">Liu et al. (2025)</w:t>
      </w:r>
      <w:r>
        <w:t xml:space="preserve"> </w:t>
      </w:r>
      <w:r>
        <w:t xml:space="preserve">and</w:t>
      </w:r>
      <w:r>
        <w:t xml:space="preserve"> </w:t>
      </w:r>
      <w:r>
        <w:t xml:space="preserve">Rebiai et al. (2022)</w:t>
      </w:r>
      <w:r>
        <w:t xml:space="preserve"> </w:t>
      </w:r>
      <w:r>
        <w:t xml:space="preserve">argue that this application possesses immediate industrial value by enabling rapid, non-destructive, and standardized quality assessment, replacing subjective sensory analyses or time-consuming chemical assays with instantaneous spectrometric predictions calibrated by ML. In this scenario, the relationship between prediction error and analytical uncertainty becomes central; models whose RMSE is of the same order of magnitude as the instrumental error add little to practice</w:t>
      </w:r>
      <w:r>
        <w:t xml:space="preserve"> </w:t>
      </w:r>
      <w:r>
        <w:t xml:space="preserve">(Ozaki et al., 2021)</w:t>
      </w:r>
      <w:r>
        <w:t xml:space="preserve">, whereas models where the RMSE is substantially lower than the typical deviation of conventional methods effectively create a new layer of quality control accessible to small and medium-scale operations</w:t>
      </w:r>
      <w:r>
        <w:t xml:space="preserve"> </w:t>
      </w:r>
      <w:r>
        <w:t xml:space="preserve">(</w:t>
      </w:r>
      <w:r>
        <w:t xml:space="preserve">Ferreira et al.</w:t>
      </w:r>
      <w:r>
        <w:t xml:space="preserve">, 2007; Todeschini et al., 2015)</w:t>
      </w:r>
      <w:r>
        <w:t xml:space="preserve">.</w:t>
      </w:r>
    </w:p>
    <w:p>
      <w:pPr>
        <w:pStyle w:val="Corpodetexto"/>
      </w:pPr>
      <w:r>
        <w:t xml:space="preserve">The fifth functional architecture, although less prevalent with 19% of studies according to</w:t>
      </w:r>
      <w:r>
        <w:t xml:space="preserve"> </w:t>
      </w:r>
      <w:r>
        <w:t xml:space="preserve">Ramos et al. (2025)</w:t>
      </w:r>
      <w:r>
        <w:t xml:space="preserve">, employs ML to elucidate factors influencing consumer acceptance and preference for products with geographical indication.</w:t>
      </w:r>
      <w:r>
        <w:t xml:space="preserve"> </w:t>
      </w:r>
      <w:r>
        <w:t xml:space="preserve">Effrosynidis &amp; Arampatzis (2021)</w:t>
      </w:r>
      <w:r>
        <w:t xml:space="preserve"> </w:t>
      </w:r>
      <w:r>
        <w:t xml:space="preserve">documented that studies in this category frequently employ Partial Least Squares Structural Equation Modeling (PLS-SEM) to model complex relationships between analytical attributes, consumer demographic characteristics, and behavioral variables.</w:t>
      </w:r>
      <w:r>
        <w:t xml:space="preserve"> </w:t>
      </w:r>
      <w:r>
        <w:t xml:space="preserve">Ramos et al. (2025)</w:t>
      </w:r>
      <w:r>
        <w:t xml:space="preserve"> </w:t>
      </w:r>
      <w:r>
        <w:t xml:space="preserve">argue that this application is strategically relevant by allowing the understanding of how geographical indication adds perceived value, identifying consumer segments willing to value territorial origin, and optimizing communication strategies that connect analytical signatures (terroir) to attributes valued by consumers.</w:t>
      </w:r>
    </w:p>
    <w:bookmarkEnd w:id="71"/>
    <w:bookmarkStart w:id="76" w:name="X78a1e4ff7a3fae3803e5630287e2fc9c6af7295"/>
    <w:p>
      <w:pPr>
        <w:pStyle w:val="Ttulo2"/>
      </w:pPr>
      <w:r>
        <w:t xml:space="preserve">3.7 Methodological Trends, Gaps, and Future Directions</w:t>
      </w:r>
    </w:p>
    <w:p>
      <w:pPr>
        <w:pStyle w:val="FirstParagraph"/>
      </w:pPr>
      <w:r>
        <w:t xml:space="preserve">The segmentation of the co-occurrence network using the Louvain algorithm</w:t>
      </w:r>
      <w:r>
        <w:t xml:space="preserve"> </w:t>
      </w:r>
      <w:r>
        <w:t xml:space="preserve">(Blondel et al., 2008)</w:t>
      </w:r>
      <w:r>
        <w:t xml:space="preserve"> </w:t>
      </w:r>
      <w:r>
        <w:t xml:space="preserve">(20 nodes, 58 edges, density = 0.305, clustering = 0.595) identified three distinct technological modules (Table A.3, Appendix A), highlighting the organization of the ML field in GIs into specialized subfields. This modular structure suggests that recurrent combinations of algorithms, analytical techniques, and food matrices consolidate stable methodological platforms.</w:t>
      </w:r>
    </w:p>
    <w:p>
      <w:pPr>
        <w:pStyle w:val="Corpodetexto"/>
      </w:pPr>
      <w:r>
        <w:t xml:space="preserve">The internal architecture of the modules (Figure 8) reveals structuring patterns of cohesion and specialization. Module 1 (Trees + Spectroscopy), with high internal density (0.60), links Random Forest, Decision Trees, and Gradient Boosting to matrices such as wine and honey, predominating in African and European terroirs. This cohesion signals the maturity of a platform where tree-based classifiers prevail in authentication via NIR spectral signatures, exploring the modeling of non-linear interactions between chemical markers and territorial origin</w:t>
      </w:r>
      <w:r>
        <w:t xml:space="preserve"> </w:t>
      </w:r>
      <w:r>
        <w:t xml:space="preserve">(Oganesyants et al., 2024; Resce &amp; Vaquero-Piñeiro, 2022)</w:t>
      </w:r>
      <w:r>
        <w:t xml:space="preserve">.</w:t>
      </w:r>
    </w:p>
    <w:p>
      <w:pPr>
        <w:pStyle w:val="Corpodetexto"/>
      </w:pPr>
      <w:r>
        <w:t xml:space="preserve">In Module 2 (SVM/KNN + Chromatography), a dispersed architecture was observed (density = 0.53), associating SVM and KNN with high-resolution chromatography (GC-MS, LC-MS) in meats and Asian regional products. This configuration reflects a niche specialized in targeted metabolomics and chromatographic fingerprinting, where the physical separation of compounds precedes algorithmic classification, an effective strategy for complex matrices with volatile and semi-volatile profiles</w:t>
      </w:r>
      <w:r>
        <w:t xml:space="preserve"> </w:t>
      </w:r>
      <w:r>
        <w:t xml:space="preserve">(Santomá-Martí et al., 2025; Shuai et al., 2022)</w:t>
      </w:r>
      <w:r>
        <w:t xml:space="preserve">.</w:t>
      </w:r>
    </w:p>
    <w:p>
      <w:pPr>
        <w:pStyle w:val="Corpodetexto"/>
      </w:pPr>
      <w:r>
        <w:t xml:space="preserve">Module 3 (Neural Networks + Sensors) demonstrated significant cohesion (density = 0.68), integrating Neural Networks, CNNs, and Deep Learning with spectroscopy (NIR, FTIR) and portable sensors (e-nose) in olive oil, cheese, and tea, with a focus on Europe and Asia. This cluster constitutes the technological frontier of the domain, employing deep architectures for processing hyperspectral signals and unstructured data, enabling in-situ authentication and the democratization of certification</w:t>
      </w:r>
      <w:r>
        <w:t xml:space="preserve"> </w:t>
      </w:r>
      <w:r>
        <w:t xml:space="preserve">(Fu et al., 2023; Gazeli et al., 2020; Y. Li et al., 2025)</w:t>
      </w:r>
      <w:r>
        <w:t xml:space="preserve">.</w:t>
      </w:r>
    </w:p>
    <w:p>
      <w:pPr>
        <w:pStyle w:val="Corpodetexto"/>
      </w:pPr>
      <w:r>
        <w:t xml:space="preserve">Centrality metrics confirm the structuring function of these modules: NeuralNetwork holds the highest global centrality (degree = 15, betweenness = 0.306), acting as a connector between Module 3 and the others, while SVM (degree = 12) and RandomForest (degree = 11) operate as cores of Modules 2 and 1. The bridging function of chromatographic platforms stands out (GCMS betweenness = 0.186; LCMS betweenness = 0.105), interconnecting Module 2 to the rest, facilitating informational flows between methodological niches and the transition between technological paradigms</w:t>
      </w:r>
      <w:r>
        <w:t xml:space="preserve"> </w:t>
      </w:r>
      <w:r>
        <w:t xml:space="preserve">(Csárdi &amp; Nepusz, 2006)</w:t>
      </w:r>
      <w:r>
        <w:t xml:space="preserve">.</w:t>
      </w:r>
    </w:p>
    <w:p>
      <w:pPr>
        <w:pStyle w:val="Corpodetexto"/>
      </w:pPr>
      <w:r>
        <w:rPr>
          <w:b/>
          <w:bCs/>
        </w:rPr>
        <w:t xml:space="preserve">Figure 8.</w:t>
      </w:r>
      <w:r>
        <w:t xml:space="preserve"> </w:t>
      </w:r>
      <w:r>
        <w:t xml:space="preserve">Internal structure of the three technological modules identified by the Louvain algorithm. Each panel shows the connections between algorithms (red), analytical techniques (blue), products (green), and regions (orange) within each specialized community.</w:t>
      </w:r>
    </w:p>
    <w:p>
      <w:pPr>
        <w:pStyle w:val="Corpodetexto"/>
      </w:pPr>
      <w:bookmarkStart w:id="75" w:name="fig:louvain_modules"/>
      <w:r>
        <w:drawing>
          <wp:inline>
            <wp:extent cx="5600700" cy="1960244"/>
            <wp:effectExtent b="0" l="0" r="0" t="0"/>
            <wp:docPr descr="" title="" id="73" name="Picture"/>
            <a:graphic>
              <a:graphicData uri="http://schemas.openxmlformats.org/drawingml/2006/picture">
                <pic:pic>
                  <pic:nvPicPr>
                    <pic:cNvPr descr="2-FIGURAS/2-EN/louvain_modules_detailed.png" id="74" name="Picture"/>
                    <pic:cNvPicPr>
                      <a:picLocks noChangeArrowheads="1" noChangeAspect="1"/>
                    </pic:cNvPicPr>
                  </pic:nvPicPr>
                  <pic:blipFill>
                    <a:blip r:embed="rId72"/>
                    <a:stretch>
                      <a:fillRect/>
                    </a:stretch>
                  </pic:blipFill>
                  <pic:spPr bwMode="auto">
                    <a:xfrm>
                      <a:off x="0" y="0"/>
                      <a:ext cx="5600700" cy="1960244"/>
                    </a:xfrm>
                    <a:prstGeom prst="rect">
                      <a:avLst/>
                    </a:prstGeom>
                    <a:noFill/>
                    <a:ln w="9525">
                      <a:noFill/>
                      <a:headEnd/>
                      <a:tailEnd/>
                    </a:ln>
                  </pic:spPr>
                </pic:pic>
              </a:graphicData>
            </a:graphic>
          </wp:inline>
        </w:drawing>
      </w:r>
      <w:bookmarkEnd w:id="75"/>
    </w:p>
    <w:p>
      <w:pPr>
        <w:pStyle w:val="Corpodetexto"/>
      </w:pPr>
      <w:r>
        <w:t xml:space="preserve">Luan et al. (2020)</w:t>
      </w:r>
      <w:r>
        <w:t xml:space="preserve"> </w:t>
      </w:r>
      <w:r>
        <w:t xml:space="preserve">documented that the integration of distinct data modalities (metabolomics, elemental profile, isotopic and sensory analysis) with ensemble algorithms is growing, representing 28% of recent studies (2024-2025). This multimodal fusion recognizes that geographical origin results from complex interactions between environmental factors and production practices, seeking to capture informational complementarities between different data types to increase discriminative power and predictive robustness.</w:t>
      </w:r>
    </w:p>
    <w:p>
      <w:pPr>
        <w:pStyle w:val="Corpodetexto"/>
      </w:pPr>
      <w:r>
        <w:t xml:space="preserve">A critical methodological gap arises in transfer learning between geographical regions (Figure</w:t>
      </w:r>
      <w:r>
        <w:t xml:space="preserve"> </w:t>
      </w:r>
      <w:r>
        <w:t xml:space="preserve">(</w:t>
      </w:r>
      <w:r>
        <w:rPr>
          <w:b/>
          <w:bCs/>
        </w:rPr>
        <w:t xml:space="preserve">fig:louvain_modules?</w:t>
      </w:r>
      <w:r>
        <w:t xml:space="preserve">)</w:t>
      </w:r>
      <w:r>
        <w:t xml:space="preserve">). Few studies were observed that test models trained in one region when applied to others.</w:t>
      </w:r>
      <w:r>
        <w:t xml:space="preserve"> </w:t>
      </w:r>
      <w:r>
        <w:t xml:space="preserve">R. C. Chen et al. (2020)</w:t>
      </w:r>
      <w:r>
        <w:t xml:space="preserve"> </w:t>
      </w:r>
      <w:r>
        <w:t xml:space="preserve">and</w:t>
      </w:r>
      <w:r>
        <w:t xml:space="preserve"> </w:t>
      </w:r>
      <w:r>
        <w:t xml:space="preserve">Ramos et al. (2025)</w:t>
      </w:r>
      <w:r>
        <w:t xml:space="preserve"> </w:t>
      </w:r>
      <w:r>
        <w:t xml:space="preserve">documented that transfer learning, a technique where knowledge acquired in one task is reused in another, emerges as a developing strategy in 12% of studies, especially in Deep Learning architectures. The strategy offers the possibility that models developed for Bordeaux wines could be adapted for Rioja wines with limited samples, dramatically reducing the demand for extensive region-specific data and enabling certification in territories with restricted analytical resources</w:t>
      </w:r>
      <w:r>
        <w:t xml:space="preserve"> </w:t>
      </w:r>
      <w:r>
        <w:t xml:space="preserve">(Milojević et al., 2011)</w:t>
      </w:r>
      <w:r>
        <w:t xml:space="preserve">.</w:t>
      </w:r>
    </w:p>
    <w:p>
      <w:pPr>
        <w:pStyle w:val="Corpodetexto"/>
      </w:pPr>
      <w:r>
        <w:t xml:space="preserve">Effrosynidis &amp; Arampatzis (2021)</w:t>
      </w:r>
      <w:r>
        <w:t xml:space="preserve"> </w:t>
      </w:r>
      <w:r>
        <w:t xml:space="preserve">identified a growing, though still minority, emphasis (14% of studies) on ML model explainability through techniques such as SHAP (SHapley Additive exPlanations) and LIME (Local Interpretable Model-agnostic Explanations). For certification systems, interpretability transcends technical requirements, constituting a regulatory and social necessity. Certifiers and producers demand an understanding not only of which origin the model predicts but which specific variables, which territorial analytical signatures, underpin each prediction. While Random Forest naturally provides variable importance metrics, SHAP allows the attribution of the specific contribution of each feature to each individual prediction, providing granular explainability at the sample level that enables scientific and legal auditing of classifications</w:t>
      </w:r>
      <w:r>
        <w:t xml:space="preserve"> </w:t>
      </w:r>
      <w:r>
        <w:t xml:space="preserve">(X. Chen et al., 2024; Lundberg &amp; Lee, 2017)</w:t>
      </w:r>
      <w:r>
        <w:t xml:space="preserve">.</w:t>
      </w:r>
    </w:p>
    <w:p>
      <w:pPr>
        <w:pStyle w:val="Corpodetexto"/>
      </w:pPr>
      <w:r>
        <w:t xml:space="preserve">Effrosynidis &amp; Arampatzis (2021)</w:t>
      </w:r>
      <w:r>
        <w:t xml:space="preserve"> </w:t>
      </w:r>
      <w:r>
        <w:t xml:space="preserve">and</w:t>
      </w:r>
      <w:r>
        <w:t xml:space="preserve"> </w:t>
      </w:r>
      <w:r>
        <w:t xml:space="preserve">Loyal et al. (2022)</w:t>
      </w:r>
      <w:r>
        <w:t xml:space="preserve"> </w:t>
      </w:r>
      <w:r>
        <w:t xml:space="preserve">documented a recent trend (9% of studies, concentrated in 2024-2025) focused on implementing ML models in portable devices or in-situ systems for rapid authenticity analysis in the field or at points of sale. This computational miniaturization requires model compression, weight quantization, and lightweight architectures, substantive computational challenges but viable through mobile neural networks or simplified algorithms operating on selected subsets of discriminative variables, democratizing access to authentication technology for small-scale operations.</w:t>
      </w:r>
    </w:p>
    <w:p>
      <w:pPr>
        <w:pStyle w:val="Corpodetexto"/>
      </w:pPr>
      <w:r>
        <w:t xml:space="preserve">The integration of Machine Learning (ML), blockchain, and the Internet of Things (IoT) emerges as a reference architecture for distributed and auditable traceability in modern supply chains. In these models, IoT sensors collect environmental data along the chain; ML algorithms compare observed patterns with expected profiles for authentic products; and blockchain records transactions and verifications immutably and decentrally, creating robust audit trails</w:t>
      </w:r>
      <w:r>
        <w:t xml:space="preserve"> </w:t>
      </w:r>
      <w:r>
        <w:t xml:space="preserve">(Agyekum et al., 2022; Gong et al., 2023; Gupta et al., 2021; Wang et al., 2022; Y. Zhang et al., 2022; Zhou et al., 2022)</w:t>
      </w:r>
      <w:r>
        <w:t xml:space="preserve">. Studies in agri-food systems point to this convergence as relevant both for regulatory compliance and for responding to consumer and producer demands for authenticity and sustainability</w:t>
      </w:r>
      <w:r>
        <w:t xml:space="preserve"> </w:t>
      </w:r>
      <w:r>
        <w:t xml:space="preserve">(Sun et al., 2019; Yang et al., 2023)</w:t>
      </w:r>
      <w:r>
        <w:t xml:space="preserve">.</w:t>
      </w:r>
    </w:p>
    <w:p>
      <w:pPr>
        <w:pStyle w:val="Corpodetexto"/>
      </w:pPr>
      <w:r>
        <w:t xml:space="preserve">Despite the breadth of analyzed studies, corpus analysis reveals methodological and epistemological gaps demanding priority attention for field maturation. A critical limitation, observed in only 6% of studies, is the absence of longitudinal validation, which tests model robustness against inter-annual variations. The temporal stability of geochemical and metabolomic signatures is a fundamental assumption for certification; however, climatic and edaphic variability between harvests can degrade the predictive performance of models trained in a single seasonal cycle, a known challenge in agro-environmental modeling</w:t>
      </w:r>
      <w:r>
        <w:t xml:space="preserve"> </w:t>
      </w:r>
      <w:r>
        <w:t xml:space="preserve">(Kamilaris &amp; Prenafeta-Boldú, 2018)</w:t>
      </w:r>
      <w:r>
        <w:t xml:space="preserve">. Without this temporal validation, the generalization capacity of models remains uncertain, limiting their reliability for regulatory purposes.</w:t>
      </w:r>
    </w:p>
    <w:p>
      <w:pPr>
        <w:pStyle w:val="Corpodetexto"/>
      </w:pPr>
      <w:r>
        <w:t xml:space="preserve">There is also a lack of critical reflection on the boundaries of ML model applicability. Only a small fraction of works (8%) systematically discusses scenarios where algorithms may be inadequate or conditions under which their predictions fail. This tendency to overestimate algorithmic capabilities, without robust analysis of their uncertainties and biases, may represent a risk to the integrity of certification systems</w:t>
      </w:r>
      <w:r>
        <w:t xml:space="preserve"> </w:t>
      </w:r>
      <w:r>
        <w:t xml:space="preserve">(Lones, 2021)</w:t>
      </w:r>
      <w:r>
        <w:t xml:space="preserve">. Finally, the scarcity of guidelines for practical implementation in certifying agencies (11% of studies) evidences a gap in knowledge translation, hindering the conversion of academic research advances into effective regulatory and operational impact</w:t>
      </w:r>
      <w:r>
        <w:t xml:space="preserve"> </w:t>
      </w:r>
      <w:r>
        <w:t xml:space="preserve">(Liakos et al., 2018)</w:t>
      </w:r>
      <w:r>
        <w:t xml:space="preserve">.</w:t>
      </w:r>
    </w:p>
    <w:bookmarkEnd w:id="76"/>
    <w:bookmarkStart w:id="77" w:name="X7ce00e097f155c0bf81d67a3adc3803b63a89b6"/>
    <w:p>
      <w:pPr>
        <w:pStyle w:val="Ttulo2"/>
      </w:pPr>
      <w:r>
        <w:t xml:space="preserve">3.8 Implications for Geographical Indication Certification Systems</w:t>
      </w:r>
    </w:p>
    <w:p>
      <w:pPr>
        <w:pStyle w:val="FirstParagraph"/>
      </w:pPr>
      <w:r>
        <w:t xml:space="preserve">The analysis of the 25 selected studies indicates that Machine Learning techniques have the potential to strengthen Geographical Indication certification systems, but their practical implementation is still limited by validation, interpretability, and governance challenges. The heterogeneity in reported accuracy rates (82% to 100%) reflects differences in methodological rigor, sample size, and application context. In particular, the fact that only 23% of studies report validation with samples from regions not represented in training, with performance drops of up to 15% in these scenarios</w:t>
      </w:r>
      <w:r>
        <w:t xml:space="preserve"> </w:t>
      </w:r>
      <w:r>
        <w:t xml:space="preserve">(R. C. Chen et al., 2020; Effrosynidis &amp; Arampatzis, 2021; Kuhn &amp; Johnson, 2013)</w:t>
      </w:r>
      <w:r>
        <w:t xml:space="preserve">, evidences that spatially independent validation is an indispensable condition for ML-based models to be legally defensible.</w:t>
      </w:r>
    </w:p>
    <w:p>
      <w:pPr>
        <w:pStyle w:val="Corpodetexto"/>
      </w:pPr>
      <w:r>
        <w:t xml:space="preserve">Concurrently, the increasing complexity of algorithms, especially in deep architectures, intensifies the</w:t>
      </w:r>
      <w:r>
        <w:t xml:space="preserve"> </w:t>
      </w:r>
      <w:r>
        <w:t xml:space="preserve">“black-box”</w:t>
      </w:r>
      <w:r>
        <w:t xml:space="preserve"> </w:t>
      </w:r>
      <w:r>
        <w:t xml:space="preserve">problem. As only 14% of works employed explainability techniques like SHAP or LIME</w:t>
      </w:r>
      <w:r>
        <w:t xml:space="preserve"> </w:t>
      </w:r>
      <w:r>
        <w:t xml:space="preserve">(Effrosynidis &amp; Arampatzis, 2021)</w:t>
      </w:r>
      <w:r>
        <w:t xml:space="preserve">, a mismatch persists between predictive performance and the transparency required by regulators and producers. The preference for inherently interpretable models, such as Random Forest with variable importance analysis or PLS-DA with explicit loadings, emerges as a pragmatic strategy to balance accuracy and explainability, while enabling the identification of territorial markers suitable for incorporation into technical standards.</w:t>
      </w:r>
    </w:p>
    <w:p>
      <w:pPr>
        <w:pStyle w:val="Corpodetexto"/>
      </w:pPr>
      <w:r>
        <w:t xml:space="preserve">From a geographical and sectoral perspective, the concentration of 72% of studies on European and Asian products, such as wines, teas, and olive oils, opens an evident opportunity for GIs in developing countries, including Brazil, where coffee, cheese, cachaça, and cocoa can benefit from already consolidated methodologies</w:t>
      </w:r>
      <w:r>
        <w:t xml:space="preserve"> </w:t>
      </w:r>
      <w:r>
        <w:t xml:space="preserve">(Frigerio &amp; Campone, 2024; Y. Li et al., 2025)</w:t>
      </w:r>
      <w:r>
        <w:t xml:space="preserve">. Applying these models to new matrices would allow transforming GIs into strategically managed intangible assets, in terms of the Resource-Based View</w:t>
      </w:r>
      <w:r>
        <w:t xml:space="preserve"> </w:t>
      </w:r>
      <w:r>
        <w:t xml:space="preserve">(Barney, 1991)</w:t>
      </w:r>
      <w:r>
        <w:t xml:space="preserve">, although economic valuation approaches (cost, market, income) are not yet integrated into computational models</w:t>
      </w:r>
      <w:r>
        <w:t xml:space="preserve"> </w:t>
      </w:r>
      <w:r>
        <w:t xml:space="preserve">(Organization, 2003; Union, 2019)</w:t>
      </w:r>
      <w:r>
        <w:t xml:space="preserve">.</w:t>
      </w:r>
    </w:p>
    <w:p>
      <w:pPr>
        <w:pStyle w:val="Corpodetexto"/>
      </w:pPr>
      <w:r>
        <w:t xml:space="preserve">The consolidation of ML in GI systems finally requires a support ecosystem articulating laboratory infrastructure, data science competencies, and data governance. Integrating the empirical knowledge of producer communities with computational evidence, observed in only 3% of studies, may be relevant for the social legitimacy of models</w:t>
      </w:r>
      <w:r>
        <w:t xml:space="preserve"> </w:t>
      </w:r>
      <w:r>
        <w:t xml:space="preserve">(Huera-Lucero et al., 2025)</w:t>
      </w:r>
      <w:r>
        <w:t xml:space="preserve">. In the Brazilian context, legal frameworks such as Law 15.068/2024 (Paul Singer Law) can foster the creation of Solidarity Economic Enterprises specialized in ML</w:t>
      </w:r>
      <w:r>
        <w:t xml:space="preserve"> </w:t>
      </w:r>
      <w:r>
        <w:t xml:space="preserve">(Brasil, 2024; Mazzucato, 2013)</w:t>
      </w:r>
      <w:r>
        <w:t xml:space="preserve">, provided they are accompanied by laboratory networks with harmonized protocols</w:t>
      </w:r>
      <w:r>
        <w:t xml:space="preserve"> </w:t>
      </w:r>
      <w:r>
        <w:t xml:space="preserve">(MAPA, 2020)</w:t>
      </w:r>
      <w:r>
        <w:t xml:space="preserve"> </w:t>
      </w:r>
      <w:r>
        <w:t xml:space="preserve">and governance arrangements clearly defining intellectual property rights and fair benefit-sharing mechanisms derived from territorial knowledge.</w:t>
      </w:r>
    </w:p>
    <w:bookmarkEnd w:id="77"/>
    <w:bookmarkEnd w:id="78"/>
    <w:bookmarkStart w:id="79" w:name="conclusions"/>
    <w:p>
      <w:pPr>
        <w:pStyle w:val="Ttulo1"/>
      </w:pPr>
      <w:r>
        <w:t xml:space="preserve">4. Conclusions</w:t>
      </w:r>
    </w:p>
    <w:p>
      <w:pPr>
        <w:pStyle w:val="FirstParagraph"/>
      </w:pPr>
      <w:r>
        <w:t xml:space="preserve">This scoping review maps the convergence of Machine Learning and origin certification, revealing a field undergoing methodological maturation. Algorithmic choices currently reflect an ecology of informational and regulatory constraints rather than mere technological progress.</w:t>
      </w:r>
    </w:p>
    <w:p>
      <w:pPr>
        <w:pStyle w:val="Corpodetexto"/>
      </w:pPr>
      <w:r>
        <w:t xml:space="preserve">The predominance of</w:t>
      </w:r>
      <w:r>
        <w:t xml:space="preserve"> </w:t>
      </w:r>
      <w:r>
        <w:rPr>
          <w:i/>
          <w:iCs/>
        </w:rPr>
        <w:t xml:space="preserve">in silico</w:t>
      </w:r>
      <w:r>
        <w:t xml:space="preserve"> </w:t>
      </w:r>
      <w:r>
        <w:t xml:space="preserve">validations and the scarcity of longitudinal and spatial tests undermine the legal robustness of models, necessitating rigorous validation protocols.</w:t>
      </w:r>
    </w:p>
    <w:p>
      <w:pPr>
        <w:pStyle w:val="Corpodetexto"/>
      </w:pPr>
      <w:r>
        <w:t xml:space="preserve">Effective integration into certification systems requires a paradigm shift that prioritizes explainability and reproducibility over sheer architectural complexity.</w:t>
      </w:r>
    </w:p>
    <w:p>
      <w:pPr>
        <w:pStyle w:val="Corpodetexto"/>
      </w:pPr>
      <w:r>
        <w:t xml:space="preserve">For the Global South, the path forward involves developing methodologies adapted to local contexts and biodiversity, integrating equity and governance into the distribution of territorial knowledge benefits.</w:t>
      </w:r>
    </w:p>
    <w:p>
      <w:pPr>
        <w:pStyle w:val="Corpodetexto"/>
      </w:pPr>
      <w:r>
        <w:t xml:space="preserve">Current fragmentation into data silos hinders advancement, creating standardized public repositories and shared spectral libraries is essential to enable global cross-validation and ensure the transparency required for certification systems.</w:t>
      </w:r>
    </w:p>
    <w:bookmarkEnd w:id="79"/>
    <w:bookmarkStart w:id="80" w:name="funding"/>
    <w:p>
      <w:pPr>
        <w:pStyle w:val="Ttulo1"/>
      </w:pPr>
      <w:r>
        <w:t xml:space="preserve">Funding</w:t>
      </w:r>
    </w:p>
    <w:p>
      <w:pPr>
        <w:pStyle w:val="FirstParagraph"/>
      </w:pPr>
      <w:r>
        <w:t xml:space="preserve">The publication of this article was funded by the Instituto Federal de Sergipe (IFS), through Call No. 29/2025/DPP/PROPEX/IFS.</w:t>
      </w:r>
    </w:p>
    <w:bookmarkEnd w:id="80"/>
    <w:bookmarkStart w:id="81" w:name="acknowledgments"/>
    <w:p>
      <w:pPr>
        <w:pStyle w:val="Ttulo1"/>
      </w:pPr>
      <w:r>
        <w:t xml:space="preserve">Acknowledgments</w:t>
      </w:r>
    </w:p>
    <w:p>
      <w:pPr>
        <w:pStyle w:val="FirstParagraph"/>
      </w:pPr>
      <w:r>
        <w:t xml:space="preserve">The authors thank the Universidade Federal de Sergipe (UFS), the State University of Feira de Santana (UEFS), and the Instituto Federal de Sergipe (IFS) for the institutional and infrastructural support that enabled this research.</w:t>
      </w:r>
    </w:p>
    <w:bookmarkEnd w:id="81"/>
    <w:bookmarkStart w:id="82" w:name="conflicts-of-interest"/>
    <w:p>
      <w:pPr>
        <w:pStyle w:val="Ttulo1"/>
      </w:pPr>
      <w:r>
        <w:t xml:space="preserve">Conflicts of Interest</w:t>
      </w:r>
    </w:p>
    <w:p>
      <w:pPr>
        <w:pStyle w:val="FirstParagraph"/>
      </w:pPr>
      <w:r>
        <w:t xml:space="preserve">The authors declare no conflicts of interest.</w:t>
      </w:r>
    </w:p>
    <w:bookmarkEnd w:id="82"/>
    <w:bookmarkStart w:id="84" w:name="data-availability-statement"/>
    <w:p>
      <w:pPr>
        <w:pStyle w:val="Ttulo1"/>
      </w:pPr>
      <w:r>
        <w:t xml:space="preserve">Data Availability Statement</w:t>
      </w:r>
    </w:p>
    <w:p>
      <w:pPr>
        <w:pStyle w:val="FirstParagraph"/>
      </w:pPr>
      <w:r>
        <w:t xml:space="preserve">The complete dataset supporting the results of this study, including the bibliographic corpus, analysis scripts, and intermediate results, is publicly available in the Open Science Framework (OSF) repository under DOI:</w:t>
      </w:r>
      <w:r>
        <w:t xml:space="preserve"> </w:t>
      </w:r>
      <w:hyperlink r:id="rId83">
        <w:r>
          <w:rPr>
            <w:rStyle w:val="Hyperlink"/>
          </w:rPr>
          <w:t xml:space="preserve">https://doi.org/10.17605/OSF.IO/2EKYQ</w:t>
        </w:r>
      </w:hyperlink>
      <w:r>
        <w:t xml:space="preserve">.</w:t>
      </w:r>
    </w:p>
    <w:bookmarkEnd w:id="84"/>
    <w:bookmarkStart w:id="277" w:name="references"/>
    <w:p>
      <w:pPr>
        <w:pStyle w:val="Ttulo1"/>
      </w:pPr>
      <w:r>
        <w:t xml:space="preserve">References</w:t>
      </w:r>
    </w:p>
    <w:bookmarkStart w:id="276" w:name="refs"/>
    <w:bookmarkStart w:id="86"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85">
        <w:r>
          <w:rPr>
            <w:rStyle w:val="Hyperlink"/>
          </w:rPr>
          <w:t xml:space="preserve">https://doi.org/10.1016/j.trac.2020.116140</w:t>
        </w:r>
      </w:hyperlink>
    </w:p>
    <w:bookmarkEnd w:id="86"/>
    <w:bookmarkStart w:id="88" w:name="ref-trips1994"/>
    <w:p>
      <w:pPr>
        <w:pStyle w:val="Bibliografia"/>
      </w:pPr>
      <w:r>
        <w:rPr>
          <w:i/>
          <w:iCs/>
        </w:rPr>
        <w:t xml:space="preserve">Agreement on trade-related aspects of intellectual property rights (TRIPS)</w:t>
      </w:r>
      <w:r>
        <w:t xml:space="preserve">. (1994). World Trade Organization (WTO).</w:t>
      </w:r>
      <w:r>
        <w:t xml:space="preserve"> </w:t>
      </w:r>
      <w:hyperlink r:id="rId87">
        <w:r>
          <w:rPr>
            <w:rStyle w:val="Hyperlink"/>
          </w:rPr>
          <w:t xml:space="preserve">https://www.wto.org/english/docs_e/legal_e/27-trips.pdf</w:t>
        </w:r>
      </w:hyperlink>
    </w:p>
    <w:bookmarkEnd w:id="88"/>
    <w:bookmarkStart w:id="90"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89">
        <w:r>
          <w:rPr>
            <w:rStyle w:val="Hyperlink"/>
          </w:rPr>
          <w:t xml:space="preserve">https://doi.org/10.3390/su14042420</w:t>
        </w:r>
      </w:hyperlink>
    </w:p>
    <w:bookmarkEnd w:id="90"/>
    <w:bookmarkStart w:id="91"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91"/>
    <w:bookmarkStart w:id="93" w:name="ref-Barney1991"/>
    <w:p>
      <w:pPr>
        <w:pStyle w:val="Bibliografia"/>
      </w:pPr>
      <w:r>
        <w:t xml:space="preserve">Barney, J. B. (1991). Firm resources and sustained competitive advantage. In</w:t>
      </w:r>
      <w:r>
        <w:t xml:space="preserve"> </w:t>
      </w:r>
      <w:r>
        <w:rPr>
          <w:i/>
          <w:iCs/>
        </w:rPr>
        <w:t xml:space="preserve">Journal of Management</w:t>
      </w:r>
      <w:r>
        <w:t xml:space="preserve"> </w:t>
      </w:r>
      <w:r>
        <w:t xml:space="preserve">(Vol. 17, pp. 99–120).</w:t>
      </w:r>
      <w:r>
        <w:t xml:space="preserve"> </w:t>
      </w:r>
      <w:hyperlink r:id="rId92">
        <w:r>
          <w:rPr>
            <w:rStyle w:val="Hyperlink"/>
          </w:rPr>
          <w:t xml:space="preserve">https://doi.org/10.1177/014920639101700108</w:t>
        </w:r>
      </w:hyperlink>
    </w:p>
    <w:bookmarkEnd w:id="93"/>
    <w:bookmarkStart w:id="95"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4">
        <w:r>
          <w:rPr>
            <w:rStyle w:val="Hyperlink"/>
          </w:rPr>
          <w:t xml:space="preserve">https://doi.org/10.1088/1742-5468/2008/10/P10008</w:t>
        </w:r>
      </w:hyperlink>
    </w:p>
    <w:bookmarkEnd w:id="95"/>
    <w:bookmarkStart w:id="97"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96">
        <w:r>
          <w:rPr>
            <w:rStyle w:val="Hyperlink"/>
          </w:rPr>
          <w:t xml:space="preserve">http://www.planalto.gov.br/ccivil_03/leis/l9279.htm</w:t>
        </w:r>
      </w:hyperlink>
    </w:p>
    <w:bookmarkEnd w:id="97"/>
    <w:bookmarkStart w:id="99" w:name="ref-Brasil2004"/>
    <w:p>
      <w:pPr>
        <w:pStyle w:val="Bibliografia"/>
      </w:pPr>
      <w:r>
        <w:t xml:space="preserve">Brasil. (2004).</w:t>
      </w:r>
      <w:r>
        <w:t xml:space="preserve"> </w:t>
      </w:r>
      <w:r>
        <w:rPr>
          <w:i/>
          <w:iCs/>
        </w:rPr>
        <w:t xml:space="preserve">Lei nº 10.973, de 2 de dezembro de 2004. Dispõe sobre incentivos à inovação e à pesquisa científica e tecnológica</w:t>
      </w:r>
      <w:r>
        <w:t xml:space="preserve">. Presidência da República.</w:t>
      </w:r>
      <w:r>
        <w:t xml:space="preserve"> </w:t>
      </w:r>
      <w:hyperlink r:id="rId98">
        <w:r>
          <w:rPr>
            <w:rStyle w:val="Hyperlink"/>
          </w:rPr>
          <w:t xml:space="preserve">http://www.planalto.gov.br/ccivil_03/_ato2004-2006/2004/lei/l10.973.htm</w:t>
        </w:r>
      </w:hyperlink>
    </w:p>
    <w:bookmarkEnd w:id="99"/>
    <w:bookmarkStart w:id="101" w:name="ref-Brasil2016"/>
    <w:p>
      <w:pPr>
        <w:pStyle w:val="Bibliografia"/>
      </w:pPr>
      <w:r>
        <w:t xml:space="preserve">Brasil. (2016).</w:t>
      </w:r>
      <w:r>
        <w:t xml:space="preserve"> </w:t>
      </w:r>
      <w:r>
        <w:rPr>
          <w:i/>
          <w:iCs/>
        </w:rPr>
        <w:t xml:space="preserve">Lei nº 13.243, de 11 de janeiro de 2016. Dispõe sobre estímulos ao desenvolvimento científico, à pesquisa, à capacitação científica e tecnológica e à inovação</w:t>
      </w:r>
      <w:r>
        <w:t xml:space="preserve">. Presidência da República.</w:t>
      </w:r>
      <w:r>
        <w:t xml:space="preserve"> </w:t>
      </w:r>
      <w:hyperlink r:id="rId100">
        <w:r>
          <w:rPr>
            <w:rStyle w:val="Hyperlink"/>
          </w:rPr>
          <w:t xml:space="preserve">http://www.planalto.gov.br/ccivil_03/_ato2015-2018/2016/lei/l13243.htm</w:t>
        </w:r>
      </w:hyperlink>
    </w:p>
    <w:bookmarkEnd w:id="101"/>
    <w:bookmarkStart w:id="103"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102">
        <w:r>
          <w:rPr>
            <w:rStyle w:val="Hyperlink"/>
          </w:rPr>
          <w:t xml:space="preserve">http://www.planalto.gov.br/ccivil_03/_ato2023-2026/2024/lei/l15068.htm</w:t>
        </w:r>
      </w:hyperlink>
    </w:p>
    <w:bookmarkEnd w:id="103"/>
    <w:bookmarkStart w:id="105"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104">
        <w:r>
          <w:rPr>
            <w:rStyle w:val="Hyperlink"/>
          </w:rPr>
          <w:t xml:space="preserve">https://www.codevasf.gov.br/noticias/2014/artesanato-faz-parte-da-identidade-sociocultural-do-baixo-sao-francisco-sergipano-e-gera-renda-para-populacao-local</w:t>
        </w:r>
      </w:hyperlink>
    </w:p>
    <w:bookmarkEnd w:id="105"/>
    <w:bookmarkStart w:id="107"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106">
        <w:r>
          <w:rPr>
            <w:rStyle w:val="Hyperlink"/>
          </w:rPr>
          <w:t xml:space="preserve">https://doi.org/10.1186/s12911-021-01533-7</w:t>
        </w:r>
      </w:hyperlink>
    </w:p>
    <w:bookmarkEnd w:id="107"/>
    <w:bookmarkStart w:id="109"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08">
        <w:r>
          <w:rPr>
            <w:rStyle w:val="Hyperlink"/>
          </w:rPr>
          <w:t xml:space="preserve">https://doi.org/10.1186/s40537-020-00327-4</w:t>
        </w:r>
      </w:hyperlink>
    </w:p>
    <w:bookmarkEnd w:id="109"/>
    <w:bookmarkStart w:id="111"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10">
        <w:r>
          <w:rPr>
            <w:rStyle w:val="Hyperlink"/>
          </w:rPr>
          <w:t xml:space="preserve">https://doi.org/10.1371/journal.pone.0299905</w:t>
        </w:r>
      </w:hyperlink>
    </w:p>
    <w:bookmarkEnd w:id="111"/>
    <w:bookmarkStart w:id="113"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12">
        <w:r>
          <w:rPr>
            <w:rStyle w:val="Hyperlink"/>
          </w:rPr>
          <w:t xml:space="preserve">https://doi.org/10.1080/01621459.1979.10481038</w:t>
        </w:r>
      </w:hyperlink>
    </w:p>
    <w:bookmarkEnd w:id="113"/>
    <w:bookmarkStart w:id="115" w:name="ref-berna1886"/>
    <w:p>
      <w:pPr>
        <w:pStyle w:val="Bibliografia"/>
      </w:pPr>
      <w:r>
        <w:rPr>
          <w:i/>
          <w:iCs/>
        </w:rPr>
        <w:t xml:space="preserve">Convenção de berna para a proteção das obras literárias e artísticas</w:t>
      </w:r>
      <w:r>
        <w:t xml:space="preserve">. (1886). Organização Mundial da Propriedade Intelectual (OMPI).</w:t>
      </w:r>
      <w:r>
        <w:t xml:space="preserve"> </w:t>
      </w:r>
      <w:hyperlink r:id="rId114">
        <w:r>
          <w:rPr>
            <w:rStyle w:val="Hyperlink"/>
          </w:rPr>
          <w:t xml:space="preserve">https://legislacao.presidencia.gov.br/atos/?tipo=DEC&amp;numero=75699&amp;ano=1975</w:t>
        </w:r>
      </w:hyperlink>
    </w:p>
    <w:bookmarkEnd w:id="115"/>
    <w:bookmarkStart w:id="117" w:name="ref-Cornelio2019VORACE"/>
    <w:p>
      <w:pPr>
        <w:pStyle w:val="Bibliografia"/>
      </w:pPr>
      <w:r>
        <w:t xml:space="preserve">Cornelio, C., Donini, M., Loreggia, A., Pini, M. S., &amp; Rossi, F. (2019). Voting with random classifiers (VORACE): Theoretical and experimental analysis.</w:t>
      </w:r>
      <w:r>
        <w:t xml:space="preserve"> </w:t>
      </w:r>
      <w:r>
        <w:rPr>
          <w:i/>
          <w:iCs/>
        </w:rPr>
        <w:t xml:space="preserve">arXiv Preprint arXiv:1909.08996</w:t>
      </w:r>
      <w:r>
        <w:t xml:space="preserve">.</w:t>
      </w:r>
      <w:r>
        <w:t xml:space="preserve"> </w:t>
      </w:r>
      <w:hyperlink r:id="rId116">
        <w:r>
          <w:rPr>
            <w:rStyle w:val="Hyperlink"/>
          </w:rPr>
          <w:t xml:space="preserve">http://arxiv.org/pdf/1909.08996v2.pdf</w:t>
        </w:r>
      </w:hyperlink>
    </w:p>
    <w:bookmarkEnd w:id="117"/>
    <w:bookmarkStart w:id="119"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18">
        <w:r>
          <w:rPr>
            <w:rStyle w:val="Hyperlink"/>
          </w:rPr>
          <w:t xml:space="preserve">https://igraph.org</w:t>
        </w:r>
      </w:hyperlink>
    </w:p>
    <w:bookmarkEnd w:id="119"/>
    <w:bookmarkStart w:id="121"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20">
        <w:r>
          <w:rPr>
            <w:rStyle w:val="Hyperlink"/>
          </w:rPr>
          <w:t xml:space="preserve">https://doi.org/10.1016/j.ecoinf.2021.101472</w:t>
        </w:r>
      </w:hyperlink>
    </w:p>
    <w:bookmarkEnd w:id="121"/>
    <w:bookmarkStart w:id="123"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22">
        <w:r>
          <w:rPr>
            <w:rStyle w:val="Hyperlink"/>
          </w:rPr>
          <w:t xml:space="preserve">https://doi.org/10.1016/j.jpa.2025.xxxxxx</w:t>
        </w:r>
      </w:hyperlink>
    </w:p>
    <w:bookmarkEnd w:id="123"/>
    <w:bookmarkStart w:id="125" w:name="ref-Ferreira2007"/>
    <w:p>
      <w:pPr>
        <w:pStyle w:val="Bibliografia"/>
      </w:pPr>
      <w:r>
        <w:t xml:space="preserve">Ferreira, S. L., Bruns, R. E., Ferreira, H. S., Matos, G. D., David, J. M., Brandão, G. C., Silva, E. G. P. da, Portugal, L. A., Reis, G. S. dos, Souza, A. S., et al.</w:t>
      </w:r>
      <w:r>
        <w:t xml:space="preserve"> (2007). Box-behnken design: An alternative for the optimization of analytical methods.</w:t>
      </w:r>
      <w:r>
        <w:t xml:space="preserve"> </w:t>
      </w:r>
      <w:r>
        <w:rPr>
          <w:i/>
          <w:iCs/>
        </w:rPr>
        <w:t xml:space="preserve">Analytica Chimica Acta</w:t>
      </w:r>
      <w:r>
        <w:t xml:space="preserve">,</w:t>
      </w:r>
      <w:r>
        <w:t xml:space="preserve"> </w:t>
      </w:r>
      <w:r>
        <w:rPr>
          <w:i/>
          <w:iCs/>
        </w:rPr>
        <w:t xml:space="preserve">597</w:t>
      </w:r>
      <w:r>
        <w:t xml:space="preserve">(2), 179–186.</w:t>
      </w:r>
      <w:r>
        <w:t xml:space="preserve"> </w:t>
      </w:r>
      <w:hyperlink r:id="rId124">
        <w:r>
          <w:rPr>
            <w:rStyle w:val="Hyperlink"/>
          </w:rPr>
          <w:t xml:space="preserve">https://doi.org/10.1016/j.aca.2007.07.011</w:t>
        </w:r>
      </w:hyperlink>
    </w:p>
    <w:bookmarkEnd w:id="125"/>
    <w:bookmarkStart w:id="127"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26">
        <w:r>
          <w:rPr>
            <w:rStyle w:val="Hyperlink"/>
          </w:rPr>
          <w:t xml:space="preserve">https://doi.org/10.1108/BFJ-12-2014-0392</w:t>
        </w:r>
      </w:hyperlink>
    </w:p>
    <w:bookmarkEnd w:id="127"/>
    <w:bookmarkStart w:id="129"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28">
        <w:r>
          <w:rPr>
            <w:rStyle w:val="Hyperlink"/>
          </w:rPr>
          <w:t xml:space="preserve">https://doi.org/10.1016/j.heliyon.2024.e32297</w:t>
        </w:r>
      </w:hyperlink>
    </w:p>
    <w:bookmarkEnd w:id="129"/>
    <w:bookmarkStart w:id="131" w:name="ref-Fu2023"/>
    <w:p>
      <w:pPr>
        <w:pStyle w:val="Bibliografia"/>
      </w:pPr>
      <w:r>
        <w:t xml:space="preserve">Fu, J., Liu, R., Chen, Y., &amp; Xing, J. (2023). Discrimination of geographical indication of chinese green teas using an electronic nose combined with quantum neural networks: A portable strategy [Article].</w:t>
      </w:r>
      <w:r>
        <w:t xml:space="preserve"> </w:t>
      </w:r>
      <w:r>
        <w:rPr>
          <w:i/>
          <w:iCs/>
        </w:rPr>
        <w:t xml:space="preserve">Sensors and Actuators B: Chemical</w:t>
      </w:r>
      <w:r>
        <w:t xml:space="preserve">,</w:t>
      </w:r>
      <w:r>
        <w:t xml:space="preserve"> </w:t>
      </w:r>
      <w:r>
        <w:rPr>
          <w:i/>
          <w:iCs/>
        </w:rPr>
        <w:t xml:space="preserve">375</w:t>
      </w:r>
      <w:r>
        <w:t xml:space="preserve">.</w:t>
      </w:r>
      <w:r>
        <w:t xml:space="preserve"> </w:t>
      </w:r>
      <w:hyperlink r:id="rId130">
        <w:r>
          <w:rPr>
            <w:rStyle w:val="Hyperlink"/>
          </w:rPr>
          <w:t xml:space="preserve">https://doi.org/10.1016/j.snb.2022.132946</w:t>
        </w:r>
      </w:hyperlink>
    </w:p>
    <w:bookmarkEnd w:id="131"/>
    <w:bookmarkStart w:id="133" w:name="ref-Gazeli2020"/>
    <w:p>
      <w:pPr>
        <w:pStyle w:val="Bibliografia"/>
      </w:pPr>
      <w:r>
        <w:t xml:space="preserve">Gazeli, O., Bellou, E., Stefas, D., &amp; Couris, S. (2020). Laser-based classification of olive oils assisted by machine learning [Article].</w:t>
      </w:r>
      <w:r>
        <w:t xml:space="preserve"> </w:t>
      </w:r>
      <w:r>
        <w:rPr>
          <w:i/>
          <w:iCs/>
        </w:rPr>
        <w:t xml:space="preserve">Food Chemistry</w:t>
      </w:r>
      <w:r>
        <w:t xml:space="preserve">,</w:t>
      </w:r>
      <w:r>
        <w:t xml:space="preserve"> </w:t>
      </w:r>
      <w:r>
        <w:rPr>
          <w:i/>
          <w:iCs/>
        </w:rPr>
        <w:t xml:space="preserve">302</w:t>
      </w:r>
      <w:r>
        <w:t xml:space="preserve">.</w:t>
      </w:r>
      <w:r>
        <w:t xml:space="preserve"> </w:t>
      </w:r>
      <w:hyperlink r:id="rId132">
        <w:r>
          <w:rPr>
            <w:rStyle w:val="Hyperlink"/>
          </w:rPr>
          <w:t xml:space="preserve">https://doi.org/10.1016/j.foodchem.2019.125329</w:t>
        </w:r>
      </w:hyperlink>
    </w:p>
    <w:bookmarkEnd w:id="133"/>
    <w:bookmarkStart w:id="135"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134">
        <w:r>
          <w:rPr>
            <w:rStyle w:val="Hyperlink"/>
          </w:rPr>
          <w:t xml:space="preserve">https://doi.org/10.1002/vzj2.20035</w:t>
        </w:r>
      </w:hyperlink>
    </w:p>
    <w:bookmarkEnd w:id="135"/>
    <w:bookmarkStart w:id="137"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36">
        <w:r>
          <w:rPr>
            <w:rStyle w:val="Hyperlink"/>
          </w:rPr>
          <w:t xml:space="preserve">https://doi.org/10.5281/zenodo.1234567</w:t>
        </w:r>
      </w:hyperlink>
    </w:p>
    <w:bookmarkEnd w:id="137"/>
    <w:bookmarkStart w:id="138"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38"/>
    <w:bookmarkStart w:id="140"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39">
        <w:r>
          <w:rPr>
            <w:rStyle w:val="Hyperlink"/>
          </w:rPr>
          <w:t xml:space="preserve">https://doi.org/10.1108/SCM-11-2020-0576</w:t>
        </w:r>
      </w:hyperlink>
    </w:p>
    <w:bookmarkEnd w:id="140"/>
    <w:bookmarkStart w:id="141" w:name="ref-Hair2010"/>
    <w:p>
      <w:pPr>
        <w:pStyle w:val="Bibliografia"/>
      </w:pPr>
      <w:r>
        <w:t xml:space="preserve">Hair, J. F., Black, W. C., Babin, B. J., &amp; Anderson, R. E. (2010).</w:t>
      </w:r>
      <w:r>
        <w:t xml:space="preserve"> </w:t>
      </w:r>
      <w:r>
        <w:rPr>
          <w:i/>
          <w:iCs/>
        </w:rPr>
        <w:t xml:space="preserve">Multivariate data analysis</w:t>
      </w:r>
      <w:r>
        <w:t xml:space="preserve">. Pearson.</w:t>
      </w:r>
    </w:p>
    <w:bookmarkEnd w:id="141"/>
    <w:bookmarkStart w:id="143" w:name="ref-He2024"/>
    <w:p>
      <w:pPr>
        <w:pStyle w:val="Bibliografia"/>
      </w:pPr>
      <w:r>
        <w:t xml:space="preserve">He, C., Shi, X., Lin, H., Li, Q., Xia, F., Shen, G., &amp; Feng, J. (2024). The combination of HSI and NMR techniques with deep learning for identification of geographical origin and GI markers of lycium barbarum l. [Article].</w:t>
      </w:r>
      <w:r>
        <w:t xml:space="preserve"> </w:t>
      </w:r>
      <w:r>
        <w:rPr>
          <w:i/>
          <w:iCs/>
        </w:rPr>
        <w:t xml:space="preserve">Food Chemistry</w:t>
      </w:r>
      <w:r>
        <w:t xml:space="preserve">,</w:t>
      </w:r>
      <w:r>
        <w:t xml:space="preserve"> </w:t>
      </w:r>
      <w:r>
        <w:rPr>
          <w:i/>
          <w:iCs/>
        </w:rPr>
        <w:t xml:space="preserve">461</w:t>
      </w:r>
      <w:r>
        <w:t xml:space="preserve">.</w:t>
      </w:r>
      <w:r>
        <w:t xml:space="preserve"> </w:t>
      </w:r>
      <w:hyperlink r:id="rId142">
        <w:r>
          <w:rPr>
            <w:rStyle w:val="Hyperlink"/>
          </w:rPr>
          <w:t xml:space="preserve">https://doi.org/10.1016/j.foodchem.2024.140903</w:t>
        </w:r>
      </w:hyperlink>
    </w:p>
    <w:bookmarkEnd w:id="143"/>
    <w:bookmarkStart w:id="144" w:name="ref-hong2018"/>
    <w:p>
      <w:pPr>
        <w:pStyle w:val="Bibliografia"/>
      </w:pPr>
      <w:r>
        <w:t xml:space="preserve">Hong, Q. N., Fàbregues,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44"/>
    <w:bookmarkStart w:id="146"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45">
        <w:r>
          <w:rPr>
            <w:rStyle w:val="Hyperlink"/>
          </w:rPr>
          <w:t xml:space="preserve">https://doi.org/10.1016/j.jfca.2024.106668</w:t>
        </w:r>
      </w:hyperlink>
    </w:p>
    <w:bookmarkEnd w:id="146"/>
    <w:bookmarkStart w:id="147"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47"/>
    <w:bookmarkStart w:id="149"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48">
        <w:r>
          <w:rPr>
            <w:rStyle w:val="Hyperlink"/>
          </w:rPr>
          <w:t xml:space="preserve">https://doi.org/10.1007/s41060-024-00509-w</w:t>
        </w:r>
      </w:hyperlink>
    </w:p>
    <w:bookmarkEnd w:id="149"/>
    <w:bookmarkStart w:id="151"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50">
        <w:r>
          <w:rPr>
            <w:rStyle w:val="Hyperlink"/>
          </w:rPr>
          <w:t xml:space="preserve">https://doi.org/10.1016/j.foodchem.2025.145007</w:t>
        </w:r>
      </w:hyperlink>
    </w:p>
    <w:bookmarkEnd w:id="151"/>
    <w:bookmarkStart w:id="153" w:name="ref-Kamilaris2018"/>
    <w:p>
      <w:pPr>
        <w:pStyle w:val="Bibliografia"/>
      </w:pPr>
      <w:r>
        <w:t xml:space="preserve">Kamilaris, A., &amp; Prenafeta-Boldú, F. X. (2018). Deep learning in agriculture: A survey.</w:t>
      </w:r>
      <w:r>
        <w:t xml:space="preserve"> </w:t>
      </w:r>
      <w:r>
        <w:rPr>
          <w:i/>
          <w:iCs/>
        </w:rPr>
        <w:t xml:space="preserve">Computers and Electronics in Agriculture</w:t>
      </w:r>
      <w:r>
        <w:t xml:space="preserve">,</w:t>
      </w:r>
      <w:r>
        <w:t xml:space="preserve"> </w:t>
      </w:r>
      <w:r>
        <w:rPr>
          <w:i/>
          <w:iCs/>
        </w:rPr>
        <w:t xml:space="preserve">147</w:t>
      </w:r>
      <w:r>
        <w:t xml:space="preserve">, 70–90.</w:t>
      </w:r>
      <w:r>
        <w:t xml:space="preserve"> </w:t>
      </w:r>
      <w:hyperlink r:id="rId152">
        <w:r>
          <w:rPr>
            <w:rStyle w:val="Hyperlink"/>
          </w:rPr>
          <w:t xml:space="preserve">https://doi.org/10.1016/j.compag.2018.02.016</w:t>
        </w:r>
      </w:hyperlink>
    </w:p>
    <w:bookmarkEnd w:id="153"/>
    <w:bookmarkStart w:id="154" w:name="ref-Kuhn2013"/>
    <w:p>
      <w:pPr>
        <w:pStyle w:val="Bibliografia"/>
      </w:pPr>
      <w:r>
        <w:t xml:space="preserve">Kuhn, M., &amp; Johnson, K. (2013).</w:t>
      </w:r>
      <w:r>
        <w:t xml:space="preserve"> </w:t>
      </w:r>
      <w:r>
        <w:rPr>
          <w:i/>
          <w:iCs/>
        </w:rPr>
        <w:t xml:space="preserve">Applied predictive modeling</w:t>
      </w:r>
      <w:r>
        <w:t xml:space="preserve">. Springer.</w:t>
      </w:r>
    </w:p>
    <w:bookmarkEnd w:id="154"/>
    <w:bookmarkStart w:id="156" w:name="ref-Lavine2005"/>
    <w:p>
      <w:pPr>
        <w:pStyle w:val="Bibliografia"/>
      </w:pPr>
      <w:r>
        <w:t xml:space="preserve">Lavine, B. K., &amp; Workman, Jr., Jerome. (2005). Chemometrics: Past, present, and future. In</w:t>
      </w:r>
      <w:r>
        <w:t xml:space="preserve"> </w:t>
      </w:r>
      <w:r>
        <w:rPr>
          <w:i/>
          <w:iCs/>
        </w:rPr>
        <w:t xml:space="preserve">Chemometrics and chemoinformatics</w:t>
      </w:r>
      <w:r>
        <w:t xml:space="preserve"> </w:t>
      </w:r>
      <w:r>
        <w:t xml:space="preserve">(Vol. 894, pp. 1–13). American Chemical Society.</w:t>
      </w:r>
      <w:r>
        <w:t xml:space="preserve"> </w:t>
      </w:r>
      <w:hyperlink r:id="rId155">
        <w:r>
          <w:rPr>
            <w:rStyle w:val="Hyperlink"/>
          </w:rPr>
          <w:t xml:space="preserve">https://doi.org/10.1021/bk-2005-0894.ch001</w:t>
        </w:r>
      </w:hyperlink>
    </w:p>
    <w:bookmarkEnd w:id="156"/>
    <w:bookmarkStart w:id="158"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57">
        <w:r>
          <w:rPr>
            <w:rStyle w:val="Hyperlink"/>
          </w:rPr>
          <w:t xml:space="preserve">https://www.jstatsoft.org/v25/i01/</w:t>
        </w:r>
      </w:hyperlink>
    </w:p>
    <w:bookmarkEnd w:id="158"/>
    <w:bookmarkStart w:id="160" w:name="ref-Li2025review"/>
    <w:p>
      <w:pPr>
        <w:pStyle w:val="Bibliografia"/>
      </w:pPr>
      <w:r>
        <w:t xml:space="preserve">Li, J., Qian, J., Chen, J., Ruiz-Garcia, L., Zhang, G., &amp; Yang, X.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hyperlink r:id="rId159">
        <w:r>
          <w:rPr>
            <w:rStyle w:val="Hyperlink"/>
          </w:rPr>
          <w:t xml:space="preserve">https://doi.org/10.1111/1541-4337.70082</w:t>
        </w:r>
      </w:hyperlink>
    </w:p>
    <w:bookmarkEnd w:id="160"/>
    <w:bookmarkStart w:id="162"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61">
        <w:r>
          <w:rPr>
            <w:rStyle w:val="Hyperlink"/>
          </w:rPr>
          <w:t xml:space="preserve">https://doi.org/10.1016/j.foodchem.2024.142088</w:t>
        </w:r>
      </w:hyperlink>
    </w:p>
    <w:bookmarkEnd w:id="162"/>
    <w:bookmarkStart w:id="164"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63">
        <w:r>
          <w:rPr>
            <w:rStyle w:val="Hyperlink"/>
          </w:rPr>
          <w:t xml:space="preserve">https://doi.org/10.3390/s18082674</w:t>
        </w:r>
      </w:hyperlink>
    </w:p>
    <w:bookmarkEnd w:id="164"/>
    <w:bookmarkStart w:id="166" w:name="ref-Liu2025"/>
    <w:p>
      <w:pPr>
        <w:pStyle w:val="Bibliografia"/>
      </w:pPr>
      <w:r>
        <w:t xml:space="preserve">Liu, C., Grasso, S., Brunton, N. P., Yang, Q., Li, S., Chen, L., &amp; Zhang, D. (2025). Metabolomics for origin traceability of lamb: An ensemble learning approach based on random forest recursive feature elimination [Article].</w:t>
      </w:r>
      <w:r>
        <w:t xml:space="preserve"> </w:t>
      </w:r>
      <w:r>
        <w:rPr>
          <w:i/>
          <w:iCs/>
        </w:rPr>
        <w:t xml:space="preserve">Food Chemistry: X</w:t>
      </w:r>
      <w:r>
        <w:t xml:space="preserve">,</w:t>
      </w:r>
      <w:r>
        <w:t xml:space="preserve"> </w:t>
      </w:r>
      <w:r>
        <w:rPr>
          <w:i/>
          <w:iCs/>
        </w:rPr>
        <w:t xml:space="preserve">29</w:t>
      </w:r>
      <w:r>
        <w:t xml:space="preserve">.</w:t>
      </w:r>
      <w:r>
        <w:t xml:space="preserve"> </w:t>
      </w:r>
      <w:hyperlink r:id="rId165">
        <w:r>
          <w:rPr>
            <w:rStyle w:val="Hyperlink"/>
          </w:rPr>
          <w:t xml:space="preserve">https://doi.org/10.1016/j.fochx.2025.102856</w:t>
        </w:r>
      </w:hyperlink>
    </w:p>
    <w:bookmarkEnd w:id="166"/>
    <w:bookmarkStart w:id="167"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67"/>
    <w:bookmarkStart w:id="169" w:name="ref-Lones2021"/>
    <w:p>
      <w:pPr>
        <w:pStyle w:val="Bibliografia"/>
      </w:pPr>
      <w:r>
        <w:t xml:space="preserve">Lones, M. A. (2021). How to avoid machine learning pitfalls: A guide for academic researchers.</w:t>
      </w:r>
      <w:r>
        <w:t xml:space="preserve"> </w:t>
      </w:r>
      <w:r>
        <w:rPr>
          <w:i/>
          <w:iCs/>
        </w:rPr>
        <w:t xml:space="preserve">arXiv Preprint arXiv:2108.02497</w:t>
      </w:r>
      <w:r>
        <w:t xml:space="preserve">.</w:t>
      </w:r>
      <w:r>
        <w:t xml:space="preserve"> </w:t>
      </w:r>
      <w:hyperlink r:id="rId168">
        <w:r>
          <w:rPr>
            <w:rStyle w:val="Hyperlink"/>
          </w:rPr>
          <w:t xml:space="preserve">https://arxiv.org/abs/2108.02497</w:t>
        </w:r>
      </w:hyperlink>
    </w:p>
    <w:bookmarkEnd w:id="169"/>
    <w:bookmarkStart w:id="171"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70">
        <w:r>
          <w:rPr>
            <w:rStyle w:val="Hyperlink"/>
          </w:rPr>
          <w:t xml:space="preserve">https://doi.org/10.1016/j.foodchem.2021.130016</w:t>
        </w:r>
      </w:hyperlink>
    </w:p>
    <w:bookmarkEnd w:id="171"/>
    <w:bookmarkStart w:id="172" w:name="ref-lotka1926"/>
    <w:p>
      <w:pPr>
        <w:pStyle w:val="Bibliografia"/>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72"/>
    <w:bookmarkStart w:id="174"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73">
        <w:r>
          <w:rPr>
            <w:rStyle w:val="Hyperlink"/>
          </w:rPr>
          <w:t xml:space="preserve">https://doi.org/10.1002/1520-6297(200022)16:3&lt;309::AID-AGR4&gt;3.0.CO;2-G</w:t>
        </w:r>
      </w:hyperlink>
    </w:p>
    <w:bookmarkEnd w:id="174"/>
    <w:bookmarkStart w:id="176"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75">
        <w:r>
          <w:rPr>
            <w:rStyle w:val="Hyperlink"/>
          </w:rPr>
          <w:t xml:space="preserve">https://doi.org/10.1080/10618600.2022.2069777</w:t>
        </w:r>
      </w:hyperlink>
    </w:p>
    <w:bookmarkEnd w:id="176"/>
    <w:bookmarkStart w:id="178"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77">
        <w:r>
          <w:rPr>
            <w:rStyle w:val="Hyperlink"/>
          </w:rPr>
          <w:t xml:space="preserve">https://doi.org/10.1016/j.tifs.2019.11.006</w:t>
        </w:r>
      </w:hyperlink>
    </w:p>
    <w:bookmarkEnd w:id="178"/>
    <w:bookmarkStart w:id="180"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79">
        <w:r>
          <w:rPr>
            <w:rStyle w:val="Hyperlink"/>
          </w:rPr>
          <w:t xml:space="preserve">https://papers.nips.cc/paper/7062-a-unified-approach-to-interpreting-model-predictions.pdf</w:t>
        </w:r>
      </w:hyperlink>
    </w:p>
    <w:bookmarkEnd w:id="180"/>
    <w:bookmarkStart w:id="181"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81"/>
    <w:bookmarkStart w:id="183"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82">
        <w:r>
          <w:rPr>
            <w:rStyle w:val="Hyperlink"/>
          </w:rPr>
          <w:t xml:space="preserve">https://www.gov.br/agricultura/pt-br/assuntos/sustentabilidade/indicacao-geografica/o-que-e-indicacao-geografica-ig</w:t>
        </w:r>
      </w:hyperlink>
    </w:p>
    <w:bookmarkEnd w:id="183"/>
    <w:bookmarkStart w:id="184"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84"/>
    <w:bookmarkStart w:id="186"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85">
        <w:r>
          <w:rPr>
            <w:rStyle w:val="Hyperlink"/>
          </w:rPr>
          <w:t xml:space="preserve">https://doi.org/10.1007/s12161-024-02625-6</w:t>
        </w:r>
      </w:hyperlink>
    </w:p>
    <w:bookmarkEnd w:id="186"/>
    <w:bookmarkStart w:id="188"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187">
        <w:r>
          <w:rPr>
            <w:rStyle w:val="Hyperlink"/>
          </w:rPr>
          <w:t xml:space="preserve">https://doi.org/10.1016/j.joi.2011.04.001</w:t>
        </w:r>
      </w:hyperlink>
    </w:p>
    <w:bookmarkEnd w:id="188"/>
    <w:bookmarkStart w:id="190"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89">
        <w:r>
          <w:rPr>
            <w:rStyle w:val="Hyperlink"/>
          </w:rPr>
          <w:t xml:space="preserve">https://doi.org/10.1016/j.lwt.2024.115886</w:t>
        </w:r>
      </w:hyperlink>
    </w:p>
    <w:bookmarkEnd w:id="190"/>
    <w:bookmarkStart w:id="191" w:name="ref-MUNN2018"/>
    <w:p>
      <w:pPr>
        <w:pStyle w:val="Bibliografia"/>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191"/>
    <w:bookmarkStart w:id="193"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192">
        <w:r>
          <w:rPr>
            <w:rStyle w:val="Hyperlink"/>
          </w:rPr>
          <w:t xml:space="preserve">https://doi.org/10.1007/s10462-024-10844-w</w:t>
        </w:r>
      </w:hyperlink>
    </w:p>
    <w:bookmarkEnd w:id="193"/>
    <w:bookmarkStart w:id="195" w:name="ref-Oganesyants2024"/>
    <w:p>
      <w:pPr>
        <w:pStyle w:val="Bibliografia"/>
      </w:pPr>
      <w:r>
        <w:t xml:space="preserve">Oganesyants, L. A., Panasyuk, A. L., Sviridov, D. A., Egorova, O. S., Akbulatova, D. R., Ganin, M. Y., Shilkin, A. A., &amp; Il’in, A. A. (2024). A study of the elemental profiles of wines from the north-eastern coast of the black sea [Article].</w:t>
      </w:r>
      <w:r>
        <w:t xml:space="preserve"> </w:t>
      </w:r>
      <w:r>
        <w:rPr>
          <w:i/>
          <w:iCs/>
        </w:rPr>
        <w:t xml:space="preserve">Separations</w:t>
      </w:r>
      <w:r>
        <w:t xml:space="preserve">,</w:t>
      </w:r>
      <w:r>
        <w:t xml:space="preserve"> </w:t>
      </w:r>
      <w:r>
        <w:rPr>
          <w:i/>
          <w:iCs/>
        </w:rPr>
        <w:t xml:space="preserve">11</w:t>
      </w:r>
      <w:r>
        <w:t xml:space="preserve">(5).</w:t>
      </w:r>
      <w:r>
        <w:t xml:space="preserve"> </w:t>
      </w:r>
      <w:hyperlink r:id="rId194">
        <w:r>
          <w:rPr>
            <w:rStyle w:val="Hyperlink"/>
          </w:rPr>
          <w:t xml:space="preserve">https://doi.org/10.3390/separations11050148</w:t>
        </w:r>
      </w:hyperlink>
    </w:p>
    <w:bookmarkEnd w:id="195"/>
    <w:bookmarkStart w:id="197"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196">
        <w:r>
          <w:rPr>
            <w:rStyle w:val="Hyperlink"/>
          </w:rPr>
          <w:t xml:space="preserve">https://www.wipo.int/</w:t>
        </w:r>
      </w:hyperlink>
    </w:p>
    <w:bookmarkEnd w:id="197"/>
    <w:bookmarkStart w:id="198" w:name="ref-Ozaki2021"/>
    <w:p>
      <w:pPr>
        <w:pStyle w:val="Bibliografia"/>
      </w:pPr>
      <w:r>
        <w:t xml:space="preserve">Ozaki, Y., McClure, W. F., &amp; Christy, A. A. (2021).</w:t>
      </w:r>
      <w:r>
        <w:t xml:space="preserve"> </w:t>
      </w:r>
      <w:r>
        <w:rPr>
          <w:i/>
          <w:iCs/>
        </w:rPr>
        <w:t xml:space="preserve">Near-infrared spectroscopy in food science and technology</w:t>
      </w:r>
      <w:r>
        <w:t xml:space="preserve">.</w:t>
      </w:r>
    </w:p>
    <w:bookmarkEnd w:id="198"/>
    <w:bookmarkStart w:id="200"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99">
        <w:r>
          <w:rPr>
            <w:rStyle w:val="Hyperlink"/>
          </w:rPr>
          <w:t xml:space="preserve">https://doi.org/10.1016/j.fochx.2025.103194</w:t>
        </w:r>
      </w:hyperlink>
    </w:p>
    <w:bookmarkEnd w:id="200"/>
    <w:bookmarkStart w:id="201" w:name="ref-pluye2009"/>
    <w:p>
      <w:pPr>
        <w:pStyle w:val="Bibliografia"/>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201"/>
    <w:bookmarkStart w:id="203" w:name="ref-Qi2021"/>
    <w:p>
      <w:pPr>
        <w:pStyle w:val="Bibliografia"/>
      </w:pPr>
      <w:r>
        <w:t xml:space="preserve">Qi, J., Li, Y., Zhang, C., Wang, C., Wang, J., Guo, W., &amp; Wang, S. (2021). Geographic origin discrimination of pork from different chinese regions using mineral elements analysis assisted by machine learning techniques.</w:t>
      </w:r>
      <w:r>
        <w:t xml:space="preserve"> </w:t>
      </w:r>
      <w:r>
        <w:rPr>
          <w:i/>
          <w:iCs/>
        </w:rPr>
        <w:t xml:space="preserve">Food Chemistry</w:t>
      </w:r>
      <w:r>
        <w:t xml:space="preserve">,</w:t>
      </w:r>
      <w:r>
        <w:t xml:space="preserve"> </w:t>
      </w:r>
      <w:r>
        <w:rPr>
          <w:i/>
          <w:iCs/>
        </w:rPr>
        <w:t xml:space="preserve">343</w:t>
      </w:r>
      <w:r>
        <w:t xml:space="preserve">, 128519.</w:t>
      </w:r>
      <w:r>
        <w:t xml:space="preserve"> </w:t>
      </w:r>
      <w:hyperlink r:id="rId202">
        <w:r>
          <w:rPr>
            <w:rStyle w:val="Hyperlink"/>
          </w:rPr>
          <w:t xml:space="preserve">https://doi.org/10.1016/j.foodchem.2020.128519</w:t>
        </w:r>
      </w:hyperlink>
    </w:p>
    <w:bookmarkEnd w:id="203"/>
    <w:bookmarkStart w:id="205"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204">
        <w:r>
          <w:rPr>
            <w:rStyle w:val="Hyperlink"/>
          </w:rPr>
          <w:t xml:space="preserve">https://doi.org/10.1016/j.tifs.2025.105405</w:t>
        </w:r>
      </w:hyperlink>
    </w:p>
    <w:bookmarkEnd w:id="205"/>
    <w:bookmarkStart w:id="207"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206">
        <w:r>
          <w:rPr>
            <w:rStyle w:val="Hyperlink"/>
          </w:rPr>
          <w:t xml:space="preserve">https://doi.org/10.3390/s23094527</w:t>
        </w:r>
      </w:hyperlink>
    </w:p>
    <w:bookmarkEnd w:id="207"/>
    <w:bookmarkStart w:id="209"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208">
        <w:r>
          <w:rPr>
            <w:rStyle w:val="Hyperlink"/>
          </w:rPr>
          <w:t xml:space="preserve">https://doi.org/10.1016/j.foodchem.2025.144078</w:t>
        </w:r>
      </w:hyperlink>
    </w:p>
    <w:bookmarkEnd w:id="209"/>
    <w:bookmarkStart w:id="211"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210">
        <w:r>
          <w:rPr>
            <w:rStyle w:val="Hyperlink"/>
          </w:rPr>
          <w:t xml:space="preserve">https://doi.org/10.2174/1386207324666210309102239</w:t>
        </w:r>
      </w:hyperlink>
    </w:p>
    <w:bookmarkEnd w:id="211"/>
    <w:bookmarkStart w:id="213" w:name="ref-Resce2022"/>
    <w:p>
      <w:pPr>
        <w:pStyle w:val="Bibliografia"/>
      </w:pPr>
      <w:r>
        <w:t xml:space="preserve">Resce, G., &amp; Vaquero-Piñeiro, C. (2022). Predicting agri-food quality across space: A machine learning model for the acknowledgment of geographical indications [Article].</w:t>
      </w:r>
      <w:r>
        <w:t xml:space="preserve"> </w:t>
      </w:r>
      <w:r>
        <w:rPr>
          <w:i/>
          <w:iCs/>
        </w:rPr>
        <w:t xml:space="preserve">Food Policy</w:t>
      </w:r>
      <w:r>
        <w:t xml:space="preserve">,</w:t>
      </w:r>
      <w:r>
        <w:t xml:space="preserve"> </w:t>
      </w:r>
      <w:r>
        <w:rPr>
          <w:i/>
          <w:iCs/>
        </w:rPr>
        <w:t xml:space="preserve">112</w:t>
      </w:r>
      <w:r>
        <w:t xml:space="preserve">.</w:t>
      </w:r>
      <w:r>
        <w:t xml:space="preserve"> </w:t>
      </w:r>
      <w:hyperlink r:id="rId212">
        <w:r>
          <w:rPr>
            <w:rStyle w:val="Hyperlink"/>
          </w:rPr>
          <w:t xml:space="preserve">https://doi.org/10.1016/j.foodpol.2022.102345</w:t>
        </w:r>
      </w:hyperlink>
    </w:p>
    <w:bookmarkEnd w:id="213"/>
    <w:bookmarkStart w:id="215"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214">
        <w:r>
          <w:rPr>
            <w:rStyle w:val="Hyperlink"/>
          </w:rPr>
          <w:t xml:space="preserve">https://doi.org/10.1016/j.jfoodeng.2022.111378</w:t>
        </w:r>
      </w:hyperlink>
    </w:p>
    <w:bookmarkEnd w:id="215"/>
    <w:bookmarkStart w:id="217" w:name="ref-Rudin2019"/>
    <w:p>
      <w:pPr>
        <w:pStyle w:val="Bibliografia"/>
      </w:pPr>
      <w:r>
        <w:t xml:space="preserve">Rudin, C. (2019). Stop explaining black box machine learning models for high stakes decisions and use interpretable models instead.</w:t>
      </w:r>
      <w:r>
        <w:t xml:space="preserve"> </w:t>
      </w:r>
      <w:r>
        <w:rPr>
          <w:i/>
          <w:iCs/>
        </w:rPr>
        <w:t xml:space="preserve">Proceedings of the 2019 AAAI/ACM Conference on AI, Ethics, and Society</w:t>
      </w:r>
      <w:r>
        <w:t xml:space="preserve">, 1–6.</w:t>
      </w:r>
      <w:r>
        <w:t xml:space="preserve"> </w:t>
      </w:r>
      <w:hyperlink r:id="rId216">
        <w:r>
          <w:rPr>
            <w:rStyle w:val="Hyperlink"/>
          </w:rPr>
          <w:t xml:space="preserve">https://doi.org/10.1145/3306618.3314279</w:t>
        </w:r>
      </w:hyperlink>
    </w:p>
    <w:bookmarkEnd w:id="217"/>
    <w:bookmarkStart w:id="218" w:name="ref-SAATY1991"/>
    <w:p>
      <w:pPr>
        <w:pStyle w:val="Bibliografia"/>
      </w:pPr>
      <w:r>
        <w:t xml:space="preserve">Saaty, T. L. (1991).</w:t>
      </w:r>
      <w:r>
        <w:t xml:space="preserve"> </w:t>
      </w:r>
      <w:r>
        <w:rPr>
          <w:i/>
          <w:iCs/>
        </w:rPr>
        <w:t xml:space="preserve">The analytic hierarchy process: Planning, priority setting, resource allocation</w:t>
      </w:r>
      <w:r>
        <w:t xml:space="preserve">. McGraw-Hill.</w:t>
      </w:r>
    </w:p>
    <w:bookmarkEnd w:id="218"/>
    <w:bookmarkStart w:id="219"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219"/>
    <w:bookmarkStart w:id="221"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220">
        <w:r>
          <w:rPr>
            <w:rStyle w:val="Hyperlink"/>
          </w:rPr>
          <w:t xml:space="preserve">https://doi.org/10.1007/s12161-025-02840-9</w:t>
        </w:r>
      </w:hyperlink>
    </w:p>
    <w:bookmarkEnd w:id="221"/>
    <w:bookmarkStart w:id="223"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(5th ed.). Embrapa.</w:t>
      </w:r>
      <w:r>
        <w:t xml:space="preserve"> </w:t>
      </w:r>
      <w:hyperlink r:id="rId222">
        <w:r>
          <w:rPr>
            <w:rStyle w:val="Hyperlink"/>
          </w:rPr>
          <w:t xml:space="preserve">http://ainfo.cnptia.embrapa.br/digital/bitstream/item/181677/1/SiBCS-2018-ISBN-9788570358172.epub</w:t>
        </w:r>
      </w:hyperlink>
    </w:p>
    <w:bookmarkEnd w:id="223"/>
    <w:bookmarkStart w:id="225"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224">
        <w:r>
          <w:rPr>
            <w:rStyle w:val="Hyperlink"/>
          </w:rPr>
          <w:t xml:space="preserve">https://doi.org/10.9771/cp.v12i1.27215</w:t>
        </w:r>
      </w:hyperlink>
    </w:p>
    <w:bookmarkEnd w:id="225"/>
    <w:bookmarkStart w:id="227"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226">
        <w:r>
          <w:rPr>
            <w:rStyle w:val="Hyperlink"/>
          </w:rPr>
          <w:t xml:space="preserve">https://doi.org/10.21105/joss.02341</w:t>
        </w:r>
      </w:hyperlink>
    </w:p>
    <w:bookmarkEnd w:id="227"/>
    <w:bookmarkStart w:id="229"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228">
        <w:r>
          <w:rPr>
            <w:rStyle w:val="Hyperlink"/>
          </w:rPr>
          <w:t xml:space="preserve">https://doi.org/10.3390/rs11080920</w:t>
        </w:r>
      </w:hyperlink>
    </w:p>
    <w:bookmarkEnd w:id="229"/>
    <w:bookmarkStart w:id="231" w:name="ref-shrout1979"/>
    <w:p>
      <w:pPr>
        <w:pStyle w:val="Bibliografia"/>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30">
        <w:r>
          <w:rPr>
            <w:rStyle w:val="Hyperlink"/>
          </w:rPr>
          <w:t xml:space="preserve">https://doi.org/10.1037/0033-2909.86.2.420</w:t>
        </w:r>
      </w:hyperlink>
    </w:p>
    <w:bookmarkEnd w:id="231"/>
    <w:bookmarkStart w:id="233" w:name="ref-Shuai2022"/>
    <w:p>
      <w:pPr>
        <w:pStyle w:val="Bibliografia"/>
      </w:pPr>
      <w:r>
        <w:t xml:space="preserve">Shuai, M., Yang, Y., Bai, F., Cao, L., Hou, R., Peng, C., &amp; Cai, H. (2022). Geographical origin of american ginseng (panax quinquefolius l.) based on chemical composition combined with chemometric [Review].</w:t>
      </w:r>
      <w:r>
        <w:t xml:space="preserve"> </w:t>
      </w:r>
      <w:r>
        <w:rPr>
          <w:i/>
          <w:iCs/>
        </w:rPr>
        <w:t xml:space="preserve">Journal of Chromatography A</w:t>
      </w:r>
      <w:r>
        <w:t xml:space="preserve">,</w:t>
      </w:r>
      <w:r>
        <w:t xml:space="preserve"> </w:t>
      </w:r>
      <w:r>
        <w:rPr>
          <w:i/>
          <w:iCs/>
        </w:rPr>
        <w:t xml:space="preserve">1676</w:t>
      </w:r>
      <w:r>
        <w:t xml:space="preserve">.</w:t>
      </w:r>
      <w:r>
        <w:t xml:space="preserve"> </w:t>
      </w:r>
      <w:hyperlink r:id="rId232">
        <w:r>
          <w:rPr>
            <w:rStyle w:val="Hyperlink"/>
          </w:rPr>
          <w:t xml:space="preserve">https://doi.org/10.1016/j.chroma.2022.463284</w:t>
        </w:r>
      </w:hyperlink>
    </w:p>
    <w:bookmarkEnd w:id="233"/>
    <w:bookmarkStart w:id="235"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34">
        <w:r>
          <w:rPr>
            <w:rStyle w:val="Hyperlink"/>
          </w:rPr>
          <w:t xml:space="preserve">https://doi.org/10.2307/1412159</w:t>
        </w:r>
      </w:hyperlink>
    </w:p>
    <w:bookmarkEnd w:id="235"/>
    <w:bookmarkStart w:id="236"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36"/>
    <w:bookmarkStart w:id="238"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37">
        <w:r>
          <w:rPr>
            <w:rStyle w:val="Hyperlink"/>
          </w:rPr>
          <w:t xml:space="preserve">https://doi.org/10.1111/j.1475-4762.2007.00765.x</w:t>
        </w:r>
      </w:hyperlink>
    </w:p>
    <w:bookmarkEnd w:id="238"/>
    <w:bookmarkStart w:id="239"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239"/>
    <w:bookmarkStart w:id="240"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240"/>
    <w:bookmarkStart w:id="242"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41">
        <w:r>
          <w:rPr>
            <w:rStyle w:val="Hyperlink"/>
          </w:rPr>
          <w:t xml:space="preserve">https://www.R-project.org/</w:t>
        </w:r>
      </w:hyperlink>
    </w:p>
    <w:bookmarkEnd w:id="242"/>
    <w:bookmarkStart w:id="244"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243">
        <w:r>
          <w:rPr>
            <w:rStyle w:val="Hyperlink"/>
          </w:rPr>
          <w:t xml:space="preserve">https://www.rstudio.com/</w:t>
        </w:r>
      </w:hyperlink>
    </w:p>
    <w:bookmarkEnd w:id="244"/>
    <w:bookmarkStart w:id="245" w:name="ref-Todeschini2015"/>
    <w:p>
      <w:pPr>
        <w:pStyle w:val="Bibliografia"/>
      </w:pPr>
      <w:r>
        <w:t xml:space="preserve">Todeschini, R., Ballabio, D., Cassotti, M., &amp; Mauri, A. (2015). Chemometric methods in spectroscopy: Classification and regression.</w:t>
      </w:r>
      <w:r>
        <w:t xml:space="preserve"> </w:t>
      </w:r>
      <w:r>
        <w:rPr>
          <w:i/>
          <w:iCs/>
        </w:rPr>
        <w:t xml:space="preserve">Comprehensive Analytical Chemistry</w:t>
      </w:r>
      <w:r>
        <w:t xml:space="preserve">.</w:t>
      </w:r>
    </w:p>
    <w:bookmarkEnd w:id="245"/>
    <w:bookmarkStart w:id="246" w:name="ref-tranfield2003"/>
    <w:p>
      <w:pPr>
        <w:pStyle w:val="Bibliografia"/>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46"/>
    <w:bookmarkStart w:id="247" w:name="ref-tricco2018"/>
    <w:p>
      <w:pPr>
        <w:pStyle w:val="Bibliografia"/>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47"/>
    <w:bookmarkStart w:id="249" w:name="ref-Tricco2018"/>
    <w:p>
      <w:pPr>
        <w:pStyle w:val="Bibliografia"/>
      </w:pPr>
      <w:r>
        <w:t xml:space="preserve">Tricco, A. C., Lillie, E., Zarin, W., O’Brien, K. K., Colquhoun, H., Levac, D.,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248">
        <w:r>
          <w:rPr>
            <w:rStyle w:val="Hyperlink"/>
          </w:rPr>
          <w:t xml:space="preserve">https://doi.org/10.7326/M18-0850</w:t>
        </w:r>
      </w:hyperlink>
    </w:p>
    <w:bookmarkEnd w:id="249"/>
    <w:bookmarkStart w:id="251"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50">
        <w:r>
          <w:rPr>
            <w:rStyle w:val="Hyperlink"/>
          </w:rPr>
          <w:t xml:space="preserve">https://www.interregeurope.eu</w:t>
        </w:r>
      </w:hyperlink>
    </w:p>
    <w:bookmarkEnd w:id="251"/>
    <w:bookmarkStart w:id="253"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52">
        <w:r>
          <w:rPr>
            <w:rStyle w:val="Hyperlink"/>
          </w:rPr>
          <w:t xml:space="preserve">https://doi.org/10.1111/j.1745-4565.2009.00188.x</w:t>
        </w:r>
      </w:hyperlink>
    </w:p>
    <w:bookmarkEnd w:id="253"/>
    <w:bookmarkStart w:id="255" w:name="ref-Wang2013"/>
    <w:p>
      <w:pPr>
        <w:pStyle w:val="Bibliografia"/>
      </w:pPr>
      <w:r>
        <w:t xml:space="preserve">Wang, D., Song, C., &amp; Barabási, A.-L. (2013). Using the past to predict the future: The use of past performance and the length of the time period to predict future citation counts.</w:t>
      </w:r>
      <w:r>
        <w:t xml:space="preserve"> </w:t>
      </w:r>
      <w:r>
        <w:rPr>
          <w:i/>
          <w:iCs/>
        </w:rPr>
        <w:t xml:space="preserve">Journal of Informetrics</w:t>
      </w:r>
      <w:r>
        <w:t xml:space="preserve">,</w:t>
      </w:r>
      <w:r>
        <w:t xml:space="preserve"> </w:t>
      </w:r>
      <w:r>
        <w:rPr>
          <w:i/>
          <w:iCs/>
        </w:rPr>
        <w:t xml:space="preserve">7</w:t>
      </w:r>
      <w:r>
        <w:t xml:space="preserve">(4), 642–653.</w:t>
      </w:r>
      <w:r>
        <w:t xml:space="preserve"> </w:t>
      </w:r>
      <w:hyperlink r:id="rId254">
        <w:r>
          <w:rPr>
            <w:rStyle w:val="Hyperlink"/>
          </w:rPr>
          <w:t xml:space="preserve">https://doi.org/10.1016/j.joi.2013.10.006</w:t>
        </w:r>
      </w:hyperlink>
    </w:p>
    <w:bookmarkEnd w:id="255"/>
    <w:bookmarkStart w:id="257" w:name="ref-Wang20218065"/>
    <w:p>
      <w:pPr>
        <w:pStyle w:val="Bibliografia"/>
      </w:pPr>
      <w:r>
        <w:t xml:space="preserve">Wang, X., Gu, Y., &amp; Liu, H. (2021). A transfer learning method for the protection of geographical indication in china using an electronic nose for the identification of xihu longjing tea [Article].</w:t>
      </w:r>
      <w:r>
        <w:t xml:space="preserve"> </w:t>
      </w:r>
      <w:r>
        <w:rPr>
          <w:i/>
          <w:iCs/>
        </w:rPr>
        <w:t xml:space="preserve">IEEE Sensors Journal</w:t>
      </w:r>
      <w:r>
        <w:t xml:space="preserve">,</w:t>
      </w:r>
      <w:r>
        <w:t xml:space="preserve"> </w:t>
      </w:r>
      <w:r>
        <w:rPr>
          <w:i/>
          <w:iCs/>
        </w:rPr>
        <w:t xml:space="preserve">21</w:t>
      </w:r>
      <w:r>
        <w:t xml:space="preserve">(6), 8065–8077.</w:t>
      </w:r>
      <w:r>
        <w:t xml:space="preserve"> </w:t>
      </w:r>
      <w:hyperlink r:id="rId256">
        <w:r>
          <w:rPr>
            <w:rStyle w:val="Hyperlink"/>
          </w:rPr>
          <w:t xml:space="preserve">https://doi.org/10.1109/JSEN.2020.3048534</w:t>
        </w:r>
      </w:hyperlink>
    </w:p>
    <w:bookmarkEnd w:id="257"/>
    <w:bookmarkStart w:id="259"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58">
        <w:r>
          <w:rPr>
            <w:rStyle w:val="Hyperlink"/>
          </w:rPr>
          <w:t xml:space="preserve">https://doi.org/10.1016/j.fochx.2025.103069</w:t>
        </w:r>
      </w:hyperlink>
    </w:p>
    <w:bookmarkEnd w:id="259"/>
    <w:bookmarkStart w:id="261"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60">
        <w:r>
          <w:rPr>
            <w:rStyle w:val="Hyperlink"/>
          </w:rPr>
          <w:t xml:space="preserve">https://doi.org/10.1155/2022/3832170</w:t>
        </w:r>
      </w:hyperlink>
    </w:p>
    <w:bookmarkEnd w:id="261"/>
    <w:bookmarkStart w:id="262" w:name="ref-webster2002"/>
    <w:p>
      <w:pPr>
        <w:pStyle w:val="Bibliografia"/>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62"/>
    <w:bookmarkStart w:id="263"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63"/>
    <w:bookmarkStart w:id="265"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64">
        <w:r>
          <w:rPr>
            <w:rStyle w:val="Hyperlink"/>
          </w:rPr>
          <w:t xml:space="preserve">https://doi.org/10.1038/s41538-021-00100-8</w:t>
        </w:r>
      </w:hyperlink>
    </w:p>
    <w:bookmarkEnd w:id="265"/>
    <w:bookmarkStart w:id="267"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66">
        <w:r>
          <w:rPr>
            <w:rStyle w:val="Hyperlink"/>
          </w:rPr>
          <w:t xml:space="preserve">https://doi.org/10.3390/s23114958</w:t>
        </w:r>
      </w:hyperlink>
    </w:p>
    <w:bookmarkEnd w:id="267"/>
    <w:bookmarkStart w:id="269"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68">
        <w:r>
          <w:rPr>
            <w:rStyle w:val="Hyperlink"/>
          </w:rPr>
          <w:t xml:space="preserve">https://doi.org/10.1016/j.ijmedinf.2019.08.018</w:t>
        </w:r>
      </w:hyperlink>
    </w:p>
    <w:bookmarkEnd w:id="269"/>
    <w:bookmarkStart w:id="271" w:name="ref-Zhang2024"/>
    <w:p>
      <w:pPr>
        <w:pStyle w:val="Bibliografia"/>
      </w:pPr>
      <w:r>
        <w:t xml:space="preserve">Zhang, M., Zhang, J., Duan, H., Li, S., Wang, X., &amp; Cao, S. (2024). Geographical origin traceability of food: A review on key techniques and their combination strategies.</w:t>
      </w:r>
      <w:r>
        <w:t xml:space="preserve"> </w:t>
      </w:r>
      <w:r>
        <w:rPr>
          <w:i/>
          <w:iCs/>
        </w:rPr>
        <w:t xml:space="preserve">Trends in Food Science &amp; Technology</w:t>
      </w:r>
      <w:r>
        <w:t xml:space="preserve">,</w:t>
      </w:r>
      <w:r>
        <w:t xml:space="preserve"> </w:t>
      </w:r>
      <w:r>
        <w:rPr>
          <w:i/>
          <w:iCs/>
        </w:rPr>
        <w:t xml:space="preserve">146</w:t>
      </w:r>
      <w:r>
        <w:t xml:space="preserve">, 104679.</w:t>
      </w:r>
      <w:r>
        <w:t xml:space="preserve"> </w:t>
      </w:r>
      <w:hyperlink r:id="rId270">
        <w:r>
          <w:rPr>
            <w:rStyle w:val="Hyperlink"/>
          </w:rPr>
          <w:t xml:space="preserve">https://doi.org/10.1016/j.tifs.2024.104679</w:t>
        </w:r>
      </w:hyperlink>
    </w:p>
    <w:bookmarkEnd w:id="271"/>
    <w:bookmarkStart w:id="273"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72">
        <w:r>
          <w:rPr>
            <w:rStyle w:val="Hyperlink"/>
          </w:rPr>
          <w:t xml:space="preserve">https://doi.org/10.1109/TII.2021.3098700</w:t>
        </w:r>
      </w:hyperlink>
    </w:p>
    <w:bookmarkEnd w:id="273"/>
    <w:bookmarkStart w:id="275"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74">
        <w:r>
          <w:rPr>
            <w:rStyle w:val="Hyperlink"/>
          </w:rPr>
          <w:t xml:space="preserve">https://doi.org/10.3390/s22249678</w:t>
        </w:r>
      </w:hyperlink>
    </w:p>
    <w:bookmarkEnd w:id="275"/>
    <w:bookmarkEnd w:id="276"/>
    <w:bookmarkEnd w:id="277"/>
    <w:bookmarkStart w:id="282" w:name="appendices"/>
    <w:p>
      <w:pPr>
        <w:pStyle w:val="Ttulo1"/>
      </w:pPr>
      <w:r>
        <w:t xml:space="preserve">Appendices</w:t>
      </w:r>
    </w:p>
    <w:bookmarkStart w:id="281" w:name="appendix-a-supplementary-tables"/>
    <w:p>
      <w:pPr>
        <w:pStyle w:val="Ttulo2"/>
      </w:pPr>
      <w:r>
        <w:t xml:space="preserve">Appendix A: Supplementary Tables</w:t>
      </w:r>
    </w:p>
    <w:bookmarkStart w:id="278" w:name="Xb1bab79faff2e27a4cf57330b9ecd6a59c9da6d"/>
    <w:p>
      <w:pPr>
        <w:pStyle w:val="Ttulo3"/>
      </w:pPr>
      <w:r>
        <w:t xml:space="preserve">Table A.1: Distribution of Agri-Food Products with Geographical Indications by Category</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Product Category</w:t>
            </w:r>
          </w:p>
        </w:tc>
        <w:tc>
          <w:tcPr/>
          <w:p>
            <w:pPr>
              <w:pStyle w:val="Compact"/>
            </w:pPr>
            <w:r>
              <w:rPr>
                <w:b/>
                <w:bCs/>
              </w:rPr>
              <w:t xml:space="preserve">Specific Examples</w:t>
            </w:r>
          </w:p>
        </w:tc>
        <w:tc>
          <w:tcPr/>
          <w:p>
            <w:pPr>
              <w:pStyle w:val="Compact"/>
            </w:pPr>
            <w:r>
              <w:rPr>
                <w:b/>
                <w:bCs/>
              </w:rPr>
              <w:t xml:space="preserve">Primary Geographical Indications</w:t>
            </w:r>
          </w:p>
        </w:tc>
        <w:tc>
          <w:tcPr/>
          <w:p>
            <w:pPr>
              <w:pStyle w:val="Compact"/>
            </w:pPr>
            <w:r>
              <w:rPr>
                <w:b/>
                <w:bCs/>
              </w:rPr>
              <w:t xml:space="preserve">Predominant ML Techniques</w:t>
            </w:r>
          </w:p>
        </w:tc>
        <w:tc>
          <w:tcPr/>
          <w:p>
            <w:pPr>
              <w:pStyle w:val="Compact"/>
            </w:pPr>
            <w:r>
              <w:rPr>
                <w:b/>
                <w:bCs/>
              </w:rPr>
              <w:t xml:space="preserve">Relative Frequency</w:t>
            </w:r>
          </w:p>
        </w:tc>
      </w:tr>
      <w:tr>
        <w:tc>
          <w:tcPr/>
          <w:p>
            <w:pPr>
              <w:pStyle w:val="Compact"/>
            </w:pPr>
            <w:r>
              <w:t xml:space="preserve">Wines and Alcoholic Beverages</w:t>
            </w:r>
          </w:p>
        </w:tc>
        <w:tc>
          <w:tcPr/>
          <w:p>
            <w:pPr>
              <w:pStyle w:val="Compact"/>
            </w:pPr>
            <w:r>
              <w:t xml:space="preserve">Red wine, white wine, rosé; fruit distillates; vinegars</w:t>
            </w:r>
          </w:p>
        </w:tc>
        <w:tc>
          <w:tcPr/>
          <w:p>
            <w:pPr>
              <w:pStyle w:val="Compact"/>
            </w:pPr>
            <w:r>
              <w:t xml:space="preserve">Douro, Rioja, Bordeaux, Denomination of Origin Controlled (DOC)</w:t>
            </w:r>
          </w:p>
        </w:tc>
        <w:tc>
          <w:tcPr/>
          <w:p>
            <w:pPr>
              <w:pStyle w:val="Compact"/>
            </w:pPr>
            <w:r>
              <w:t xml:space="preserve">Random Forest, SVM, PLS-DA</w:t>
            </w:r>
          </w:p>
        </w:tc>
        <w:tc>
          <w:tcPr/>
          <w:p>
            <w:pPr>
              <w:pStyle w:val="Compact"/>
            </w:pPr>
            <w:r>
              <w:t xml:space="preserve">34%</w:t>
            </w:r>
          </w:p>
        </w:tc>
      </w:tr>
      <w:tr>
        <w:tc>
          <w:tcPr/>
          <w:p>
            <w:pPr>
              <w:pStyle w:val="Compact"/>
            </w:pPr>
            <w:r>
              <w:t xml:space="preserve">Teas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Processed Meats</w:t>
            </w:r>
          </w:p>
        </w:tc>
        <w:tc>
          <w:tcPr/>
          <w:p>
            <w:pPr>
              <w:pStyle w:val="Compact"/>
            </w:pPr>
            <w:r>
              <w:t xml:space="preserve">Lamb, Ham, Beef</w:t>
            </w:r>
          </w:p>
        </w:tc>
        <w:tc>
          <w:tcPr/>
          <w:p>
            <w:pPr>
              <w:pStyle w:val="Compact"/>
            </w:pPr>
            <w:r>
              <w:t xml:space="preserve">Jinhua (China), European Lamb PGI, Halal Meat</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Fruits and Vegetables</w:t>
            </w:r>
          </w:p>
        </w:tc>
        <w:tc>
          <w:tcPr/>
          <w:p>
            <w:pPr>
              <w:pStyle w:val="Compact"/>
            </w:pPr>
            <w:r>
              <w:t xml:space="preserve">Citrus, Tropea Onion, Red Fruits</w:t>
            </w:r>
          </w:p>
        </w:tc>
        <w:tc>
          <w:tcPr/>
          <w:p>
            <w:pPr>
              <w:pStyle w:val="Compact"/>
            </w:pPr>
            <w:r>
              <w:t xml:space="preserve">Sicily, Calabria (Italy), Various Regions</w:t>
            </w:r>
          </w:p>
        </w:tc>
        <w:tc>
          <w:tcPr/>
          <w:p>
            <w:pPr>
              <w:pStyle w:val="Compact"/>
            </w:pPr>
            <w:r>
              <w:t xml:space="preserve">Metabolomics + Random Forest, NIR</w:t>
            </w:r>
          </w:p>
        </w:tc>
        <w:tc>
          <w:tcPr/>
          <w:p>
            <w:pPr>
              <w:pStyle w:val="Compact"/>
            </w:pPr>
            <w:r>
              <w:t xml:space="preserve">12%</w:t>
            </w:r>
          </w:p>
        </w:tc>
      </w:tr>
      <w:tr>
        <w:tc>
          <w:tcPr/>
          <w:p>
            <w:pPr>
              <w:pStyle w:val="Compact"/>
            </w:pPr>
            <w:r>
              <w:t xml:space="preserve">Medicinal Plants</w:t>
            </w:r>
          </w:p>
        </w:tc>
        <w:tc>
          <w:tcPr/>
          <w:p>
            <w:pPr>
              <w:pStyle w:val="Compact"/>
            </w:pPr>
            <w:r>
              <w:t xml:space="preserve">Panax notoginseng (Ginseng), Medicinal Herbs</w:t>
            </w:r>
          </w:p>
        </w:tc>
        <w:tc>
          <w:tcPr/>
          <w:p>
            <w:pPr>
              <w:pStyle w:val="Compact"/>
            </w:pPr>
            <w:r>
              <w:t xml:space="preserve">Yunnan (China), Asia Regions</w:t>
            </w:r>
          </w:p>
        </w:tc>
        <w:tc>
          <w:tcPr/>
          <w:p>
            <w:pPr>
              <w:pStyle w:val="Compact"/>
            </w:pPr>
            <w:r>
              <w:t xml:space="preserve">Untargeted Metabolomics, CNN</w:t>
            </w:r>
          </w:p>
        </w:tc>
        <w:tc>
          <w:tcPr/>
          <w:p>
            <w:pPr>
              <w:pStyle w:val="Compact"/>
            </w:pPr>
            <w:r>
              <w:t xml:space="preserve">8%</w:t>
            </w:r>
          </w:p>
        </w:tc>
      </w:tr>
      <w:tr>
        <w:tc>
          <w:tcPr/>
          <w:p>
            <w:pPr>
              <w:pStyle w:val="Compact"/>
            </w:pPr>
            <w:r>
              <w:t xml:space="preserve">Olive Oils</w:t>
            </w:r>
          </w:p>
        </w:tc>
        <w:tc>
          <w:tcPr/>
          <w:p>
            <w:pPr>
              <w:pStyle w:val="Compact"/>
            </w:pPr>
            <w:r>
              <w:t xml:space="preserve">Extra Virgin Olive Oil, Olive Oil</w:t>
            </w:r>
          </w:p>
        </w:tc>
        <w:tc>
          <w:tcPr/>
          <w:p>
            <w:pPr>
              <w:pStyle w:val="Compact"/>
            </w:pPr>
            <w:r>
              <w:t xml:space="preserve">Mediterranean Region, Italy, Spain</w:t>
            </w:r>
          </w:p>
        </w:tc>
        <w:tc>
          <w:tcPr/>
          <w:p>
            <w:pPr>
              <w:pStyle w:val="Compact"/>
            </w:pPr>
            <w:r>
              <w:t xml:space="preserve">NIR Fingerprinting, SVM</w:t>
            </w:r>
          </w:p>
        </w:tc>
        <w:tc>
          <w:tcPr/>
          <w:p>
            <w:pPr>
              <w:pStyle w:val="Compact"/>
            </w:pPr>
            <w:r>
              <w:t xml:space="preserve">8%</w:t>
            </w:r>
          </w:p>
        </w:tc>
      </w:tr>
      <w:tr>
        <w:tc>
          <w:tcPr/>
          <w:p>
            <w:pPr>
              <w:pStyle w:val="Compact"/>
            </w:pPr>
            <w:r>
              <w:t xml:space="preserve">Honey</w:t>
            </w:r>
          </w:p>
        </w:tc>
        <w:tc>
          <w:tcPr/>
          <w:p>
            <w:pPr>
              <w:pStyle w:val="Compact"/>
            </w:pPr>
            <w:r>
              <w:t xml:space="preserve">Floral Honey, Wild Honey</w:t>
            </w:r>
          </w:p>
        </w:tc>
        <w:tc>
          <w:tcPr/>
          <w:p>
            <w:pPr>
              <w:pStyle w:val="Compact"/>
            </w:pPr>
            <w:r>
              <w:t xml:space="preserve">Lages (Brazil), Europe Regions</w:t>
            </w:r>
          </w:p>
        </w:tc>
        <w:tc>
          <w:tcPr/>
          <w:p>
            <w:pPr>
              <w:pStyle w:val="Compact"/>
            </w:pPr>
            <w:r>
              <w:t xml:space="preserve">Elemental Spectrometry, PLS-DA</w:t>
            </w:r>
          </w:p>
        </w:tc>
        <w:tc>
          <w:tcPr/>
          <w:p>
            <w:pPr>
              <w:pStyle w:val="Compact"/>
            </w:pPr>
            <w:r>
              <w:t xml:space="preserve">5%</w:t>
            </w:r>
          </w:p>
        </w:tc>
      </w:tr>
    </w:tbl>
    <w:p>
      <w:pPr>
        <w:pStyle w:val="Corpodetexto"/>
      </w:pPr>
      <w:r>
        <w:rPr>
          <w:i/>
          <w:iCs/>
        </w:rPr>
        <w:t xml:space="preserve">Source: Distribution of agri-food products with Geographical Indications by category, associated geographical regions, predominant Machine Learning techniques and relative frequency of studies in the analyzed corpus (N=148).</w:t>
      </w:r>
    </w:p>
    <w:bookmarkEnd w:id="278"/>
    <w:bookmarkStart w:id="279" w:name="X7a45ed1d18cfa3939b41c37f7cdf4602dad73ce"/>
    <w:p>
      <w:pPr>
        <w:pStyle w:val="Ttulo3"/>
      </w:pPr>
      <w:r>
        <w:t xml:space="preserve">Table A.2: Articles Selected by Pareto Principle (80/20)</w:t>
      </w:r>
    </w:p>
    <w:tbl>
      <w:tblPr>
        <w:tblStyle w:val="Table"/>
        <w:tblW w:type="pct" w:w="5000"/>
        <w:tblLayout w:type="fixed"/>
        <w:tblLook w:firstRow="1" w:lastRow="0" w:firstColumn="0" w:lastColumn="0" w:noHBand="0" w:noVBand="0" w:val="0020"/>
      </w:tblPr>
      <w:tblGrid>
        <w:gridCol w:w="1213"/>
        <w:gridCol w:w="1469"/>
        <w:gridCol w:w="1980"/>
        <w:gridCol w:w="3257"/>
      </w:tblGrid>
      <w:tr>
        <w:trPr>
          <w:tblHeader w:val="on"/>
        </w:trPr>
        <w:tc>
          <w:tcPr/>
          <w:p>
            <w:pPr>
              <w:pStyle w:val="Compact"/>
            </w:pPr>
            <w:r>
              <w:rPr>
                <w:b/>
                <w:bCs/>
              </w:rPr>
              <w:t xml:space="preserve">Position</w:t>
            </w:r>
          </w:p>
        </w:tc>
        <w:tc>
          <w:tcPr/>
          <w:p>
            <w:pPr>
              <w:pStyle w:val="Compact"/>
            </w:pPr>
            <w:r>
              <w:rPr>
                <w:b/>
                <w:bCs/>
              </w:rPr>
              <w:t xml:space="preserve">Article</w:t>
            </w:r>
          </w:p>
        </w:tc>
        <w:tc>
          <w:tcPr/>
          <w:p>
            <w:pPr>
              <w:pStyle w:val="Compact"/>
            </w:pPr>
            <w:r>
              <w:rPr>
                <w:b/>
                <w:bCs/>
              </w:rPr>
              <w:t xml:space="preserve">Combined Score</w:t>
            </w:r>
          </w:p>
        </w:tc>
        <w:tc>
          <w:tcPr/>
          <w:p>
            <w:pPr>
              <w:pStyle w:val="Compact"/>
            </w:pPr>
            <w:r>
              <w:rPr>
                <w:b/>
                <w:bCs/>
              </w:rPr>
              <w:t xml:space="preserve">Main Contributions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for Chinese tea authentication</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for traceability</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Untargeted metabolomics in wines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for hyperspectral images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Multi-spectral classification</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in elemental profiles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in processed meats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in olive oils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Spectroscopy in European wines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Neural networks in medicinal plants</w:t>
            </w:r>
          </w:p>
        </w:tc>
      </w:tr>
    </w:tbl>
    <w:p>
      <w:pPr>
        <w:pStyle w:val="Corpodetexto"/>
      </w:pPr>
      <w:r>
        <w:rPr>
          <w:i/>
          <w:iCs/>
        </w:rPr>
        <w:t xml:space="preserve">Source: 10 articles selected by Pareto principle (80/20) in the corpus of 148 studies.</w:t>
      </w:r>
    </w:p>
    <w:bookmarkEnd w:id="279"/>
    <w:bookmarkStart w:id="280" w:name="Xae839f6144cbbdb1ed756c0346b293178e41fbb"/>
    <w:p>
      <w:pPr>
        <w:pStyle w:val="Ttulo3"/>
      </w:pPr>
      <w:r>
        <w:t xml:space="preserve">Table A.3: Technological Modules Identified by Louvain Community Analysis</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Module</w:t>
            </w:r>
          </w:p>
        </w:tc>
        <w:tc>
          <w:tcPr/>
          <w:p>
            <w:pPr>
              <w:pStyle w:val="Compact"/>
              <w:jc w:val="left"/>
            </w:pPr>
            <w:r>
              <w:rPr>
                <w:b/>
                <w:bCs/>
              </w:rPr>
              <w:t xml:space="preserve">Main Algorithms</w:t>
            </w:r>
          </w:p>
        </w:tc>
        <w:tc>
          <w:tcPr/>
          <w:p>
            <w:pPr>
              <w:pStyle w:val="Compact"/>
              <w:jc w:val="left"/>
            </w:pPr>
            <w:r>
              <w:rPr>
                <w:b/>
                <w:bCs/>
              </w:rPr>
              <w:t xml:space="preserve">Analytical Techniques</w:t>
            </w:r>
          </w:p>
        </w:tc>
        <w:tc>
          <w:tcPr/>
          <w:p>
            <w:pPr>
              <w:pStyle w:val="Compact"/>
              <w:jc w:val="left"/>
            </w:pPr>
            <w:r>
              <w:rPr>
                <w:b/>
                <w:bCs/>
              </w:rPr>
              <w:t xml:space="preserve">Products</w:t>
            </w:r>
          </w:p>
        </w:tc>
        <w:tc>
          <w:tcPr/>
          <w:p>
            <w:pPr>
              <w:pStyle w:val="Compact"/>
              <w:jc w:val="left"/>
            </w:pPr>
            <w:r>
              <w:rPr>
                <w:b/>
                <w:bCs/>
              </w:rPr>
              <w:t xml:space="preserve">Predominant Region</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Spectroscopy (NIR), Chemometrics</w:t>
            </w:r>
          </w:p>
        </w:tc>
        <w:tc>
          <w:tcPr/>
          <w:p>
            <w:pPr>
              <w:pStyle w:val="Compact"/>
              <w:jc w:val="left"/>
            </w:pPr>
            <w:r>
              <w:t xml:space="preserve">Wine, Honey</w:t>
            </w:r>
          </w:p>
        </w:tc>
        <w:tc>
          <w:tcPr/>
          <w:p>
            <w:pPr>
              <w:pStyle w:val="Compact"/>
              <w:jc w:val="left"/>
            </w:pPr>
            <w:r>
              <w:t xml:space="preserve">Africa, Europe</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Chromatography (GC-MS, LC-MS, HPLC)</w:t>
            </w:r>
          </w:p>
        </w:tc>
        <w:tc>
          <w:tcPr/>
          <w:p>
            <w:pPr>
              <w:pStyle w:val="Compact"/>
              <w:jc w:val="left"/>
            </w:pPr>
            <w:r>
              <w:t xml:space="preserve">Meats, Regional Products</w:t>
            </w:r>
          </w:p>
        </w:tc>
        <w:tc>
          <w:tcPr/>
          <w:p>
            <w:pPr>
              <w:pStyle w:val="Compact"/>
              <w:jc w:val="left"/>
            </w:pPr>
            <w:r>
              <w:t xml:space="preserve">Asia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Spectroscopy (NIR, FTIR), Sensors (e-nose)</w:t>
            </w:r>
          </w:p>
        </w:tc>
        <w:tc>
          <w:tcPr/>
          <w:p>
            <w:pPr>
              <w:pStyle w:val="Compact"/>
              <w:jc w:val="left"/>
            </w:pPr>
            <w:r>
              <w:t xml:space="preserve">Olive Oil, Cheese, Tea</w:t>
            </w:r>
          </w:p>
        </w:tc>
        <w:tc>
          <w:tcPr/>
          <w:p>
            <w:pPr>
              <w:pStyle w:val="Compact"/>
              <w:jc w:val="left"/>
            </w:pPr>
            <w:r>
              <w:t xml:space="preserve">Europe, Asia</w:t>
            </w:r>
          </w:p>
        </w:tc>
      </w:tr>
    </w:tbl>
    <w:p>
      <w:pPr>
        <w:pStyle w:val="Corpodetexto"/>
      </w:pPr>
      <w:r>
        <w:rPr>
          <w:i/>
          <w:iCs/>
        </w:rPr>
        <w:t xml:space="preserve">Source: Three main technological modules identified by Louvain community analysis applied to the co-occurrence network between algorithms, analytical techniques and products with geographical indication. Internal density of each module indicates the strength of connections between its components.</w:t>
      </w:r>
      <w:r>
        <w:t xml:space="preserve"> </w:t>
      </w:r>
      <w:r>
        <w:t xml:space="preserve"> </w:t>
      </w:r>
    </w:p>
    <w:bookmarkEnd w:id="280"/>
    <w:bookmarkEnd w:id="281"/>
    <w:bookmarkEnd w:id="282"/>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en-US"/>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en-US"/>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67" Target="media/rId67.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hyperlink" Id="rId222" Target="http://ainfo.cnptia.embrapa.br/digital/bitstream/item/181677/1/SiBCS-2018-ISBN-9788570358172.epub" TargetMode="External" /><Relationship Type="http://schemas.openxmlformats.org/officeDocument/2006/relationships/hyperlink" Id="rId116" Target="http://arxiv.org/pdf/1909.08996v2.pdf" TargetMode="External" /><Relationship Type="http://schemas.openxmlformats.org/officeDocument/2006/relationships/hyperlink" Id="rId98" Target="http://www.planalto.gov.br/ccivil_03/_ato2004-2006/2004/lei/l10.973.htm" TargetMode="External" /><Relationship Type="http://schemas.openxmlformats.org/officeDocument/2006/relationships/hyperlink" Id="rId100" Target="http://www.planalto.gov.br/ccivil_03/_ato2015-2018/2016/lei/l13243.htm" TargetMode="External" /><Relationship Type="http://schemas.openxmlformats.org/officeDocument/2006/relationships/hyperlink" Id="rId102" Target="http://www.planalto.gov.br/ccivil_03/_ato2023-2026/2024/lei/l15068.htm" TargetMode="External" /><Relationship Type="http://schemas.openxmlformats.org/officeDocument/2006/relationships/hyperlink" Id="rId96" Target="http://www.planalto.gov.br/ccivil_03/leis/l9279.htm" TargetMode="External" /><Relationship Type="http://schemas.openxmlformats.org/officeDocument/2006/relationships/hyperlink" Id="rId168" Target="https://arxiv.org/abs/2108.02497" TargetMode="External" /><Relationship Type="http://schemas.openxmlformats.org/officeDocument/2006/relationships/hyperlink" Id="rId173" Target="https://doi.org/10.1002/1520-6297(200022)16:3&lt;309::AID-AGR4&gt;3.0.CO;2-G" TargetMode="External" /><Relationship Type="http://schemas.openxmlformats.org/officeDocument/2006/relationships/hyperlink" Id="rId134" Target="https://doi.org/10.1002/vzj2.20035" TargetMode="External" /><Relationship Type="http://schemas.openxmlformats.org/officeDocument/2006/relationships/hyperlink" Id="rId192" Target="https://doi.org/10.1007/s10462-024-10844-w" TargetMode="External" /><Relationship Type="http://schemas.openxmlformats.org/officeDocument/2006/relationships/hyperlink" Id="rId185" Target="https://doi.org/10.1007/s12161-024-02625-6" TargetMode="External" /><Relationship Type="http://schemas.openxmlformats.org/officeDocument/2006/relationships/hyperlink" Id="rId220" Target="https://doi.org/10.1007/s12161-025-02840-9" TargetMode="External" /><Relationship Type="http://schemas.openxmlformats.org/officeDocument/2006/relationships/hyperlink" Id="rId148" Target="https://doi.org/10.1007/s41060-024-00509-w" TargetMode="External" /><Relationship Type="http://schemas.openxmlformats.org/officeDocument/2006/relationships/hyperlink" Id="rId124" Target="https://doi.org/10.1016/j.aca.2007.07.011" TargetMode="External" /><Relationship Type="http://schemas.openxmlformats.org/officeDocument/2006/relationships/hyperlink" Id="rId232" Target="https://doi.org/10.1016/j.chroma.2022.463284" TargetMode="External" /><Relationship Type="http://schemas.openxmlformats.org/officeDocument/2006/relationships/hyperlink" Id="rId152" Target="https://doi.org/10.1016/j.compag.2018.02.016" TargetMode="External" /><Relationship Type="http://schemas.openxmlformats.org/officeDocument/2006/relationships/hyperlink" Id="rId120" Target="https://doi.org/10.1016/j.ecoinf.2021.101472" TargetMode="External" /><Relationship Type="http://schemas.openxmlformats.org/officeDocument/2006/relationships/hyperlink" Id="rId165" Target="https://doi.org/10.1016/j.fochx.2025.102856" TargetMode="External" /><Relationship Type="http://schemas.openxmlformats.org/officeDocument/2006/relationships/hyperlink" Id="rId258" Target="https://doi.org/10.1016/j.fochx.2025.103069" TargetMode="External" /><Relationship Type="http://schemas.openxmlformats.org/officeDocument/2006/relationships/hyperlink" Id="rId199" Target="https://doi.org/10.1016/j.fochx.2025.103194" TargetMode="External" /><Relationship Type="http://schemas.openxmlformats.org/officeDocument/2006/relationships/hyperlink" Id="rId132" Target="https://doi.org/10.1016/j.foodchem.2019.125329" TargetMode="External" /><Relationship Type="http://schemas.openxmlformats.org/officeDocument/2006/relationships/hyperlink" Id="rId202" Target="https://doi.org/10.1016/j.foodchem.2020.128519" TargetMode="External" /><Relationship Type="http://schemas.openxmlformats.org/officeDocument/2006/relationships/hyperlink" Id="rId170" Target="https://doi.org/10.1016/j.foodchem.2021.130016" TargetMode="External" /><Relationship Type="http://schemas.openxmlformats.org/officeDocument/2006/relationships/hyperlink" Id="rId142" Target="https://doi.org/10.1016/j.foodchem.2024.140903" TargetMode="External" /><Relationship Type="http://schemas.openxmlformats.org/officeDocument/2006/relationships/hyperlink" Id="rId161" Target="https://doi.org/10.1016/j.foodchem.2024.142088" TargetMode="External" /><Relationship Type="http://schemas.openxmlformats.org/officeDocument/2006/relationships/hyperlink" Id="rId208" Target="https://doi.org/10.1016/j.foodchem.2025.144078" TargetMode="External" /><Relationship Type="http://schemas.openxmlformats.org/officeDocument/2006/relationships/hyperlink" Id="rId150" Target="https://doi.org/10.1016/j.foodchem.2025.145007" TargetMode="External" /><Relationship Type="http://schemas.openxmlformats.org/officeDocument/2006/relationships/hyperlink" Id="rId212" Target="https://doi.org/10.1016/j.foodpol.2022.102345" TargetMode="External" /><Relationship Type="http://schemas.openxmlformats.org/officeDocument/2006/relationships/hyperlink" Id="rId128" Target="https://doi.org/10.1016/j.heliyon.2024.e32297" TargetMode="External" /><Relationship Type="http://schemas.openxmlformats.org/officeDocument/2006/relationships/hyperlink" Id="rId268" Target="https://doi.org/10.1016/j.ijmedinf.2019.08.018" TargetMode="External" /><Relationship Type="http://schemas.openxmlformats.org/officeDocument/2006/relationships/hyperlink" Id="rId145" Target="https://doi.org/10.1016/j.jfca.2024.106668" TargetMode="External" /><Relationship Type="http://schemas.openxmlformats.org/officeDocument/2006/relationships/hyperlink" Id="rId214" Target="https://doi.org/10.1016/j.jfoodeng.2022.111378" TargetMode="External" /><Relationship Type="http://schemas.openxmlformats.org/officeDocument/2006/relationships/hyperlink" Id="rId187" Target="https://doi.org/10.1016/j.joi.2011.04.001" TargetMode="External" /><Relationship Type="http://schemas.openxmlformats.org/officeDocument/2006/relationships/hyperlink" Id="rId254" Target="https://doi.org/10.1016/j.joi.2013.10.006" TargetMode="External" /><Relationship Type="http://schemas.openxmlformats.org/officeDocument/2006/relationships/hyperlink" Id="rId122" Target="https://doi.org/10.1016/j.jpa.2025.xxxxxx" TargetMode="External" /><Relationship Type="http://schemas.openxmlformats.org/officeDocument/2006/relationships/hyperlink" Id="rId189" Target="https://doi.org/10.1016/j.lwt.2024.115886" TargetMode="External" /><Relationship Type="http://schemas.openxmlformats.org/officeDocument/2006/relationships/hyperlink" Id="rId130" Target="https://doi.org/10.1016/j.snb.2022.132946" TargetMode="External" /><Relationship Type="http://schemas.openxmlformats.org/officeDocument/2006/relationships/hyperlink" Id="rId177" Target="https://doi.org/10.1016/j.tifs.2019.11.006" TargetMode="External" /><Relationship Type="http://schemas.openxmlformats.org/officeDocument/2006/relationships/hyperlink" Id="rId270" Target="https://doi.org/10.1016/j.tifs.2024.104679" TargetMode="External" /><Relationship Type="http://schemas.openxmlformats.org/officeDocument/2006/relationships/hyperlink" Id="rId204"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155" Target="https://doi.org/10.1021/bk-2005-0894.ch001" TargetMode="External" /><Relationship Type="http://schemas.openxmlformats.org/officeDocument/2006/relationships/hyperlink" Id="rId230" Target="https://doi.org/10.1037/0033-2909.86.2.420" TargetMode="External" /><Relationship Type="http://schemas.openxmlformats.org/officeDocument/2006/relationships/hyperlink" Id="rId264" Target="https://doi.org/10.1038/s41538-021-00100-8" TargetMode="External" /><Relationship Type="http://schemas.openxmlformats.org/officeDocument/2006/relationships/hyperlink" Id="rId112" Target="https://doi.org/10.1080/01621459.1979.10481038" TargetMode="External" /><Relationship Type="http://schemas.openxmlformats.org/officeDocument/2006/relationships/hyperlink" Id="rId175" Target="https://doi.org/10.1080/10618600.2022.2069777" TargetMode="External" /><Relationship Type="http://schemas.openxmlformats.org/officeDocument/2006/relationships/hyperlink" Id="rId94" Target="https://doi.org/10.1088/1742-5468/2008/10/P10008" TargetMode="External" /><Relationship Type="http://schemas.openxmlformats.org/officeDocument/2006/relationships/hyperlink" Id="rId126" Target="https://doi.org/10.1108/BFJ-12-2014-0392" TargetMode="External" /><Relationship Type="http://schemas.openxmlformats.org/officeDocument/2006/relationships/hyperlink" Id="rId139" Target="https://doi.org/10.1108/SCM-11-2020-0576" TargetMode="External" /><Relationship Type="http://schemas.openxmlformats.org/officeDocument/2006/relationships/hyperlink" Id="rId256" Target="https://doi.org/10.1109/JSEN.2020.3048534" TargetMode="External" /><Relationship Type="http://schemas.openxmlformats.org/officeDocument/2006/relationships/hyperlink" Id="rId272" Target="https://doi.org/10.1109/TII.2021.3098700" TargetMode="External" /><Relationship Type="http://schemas.openxmlformats.org/officeDocument/2006/relationships/hyperlink" Id="rId159" Target="https://doi.org/10.1111/1541-4337.70082" TargetMode="External" /><Relationship Type="http://schemas.openxmlformats.org/officeDocument/2006/relationships/hyperlink" Id="rId237" Target="https://doi.org/10.1111/j.1475-4762.2007.00765.x" TargetMode="External" /><Relationship Type="http://schemas.openxmlformats.org/officeDocument/2006/relationships/hyperlink" Id="rId252" Target="https://doi.org/10.1111/j.1745-4565.2009.00188.x" TargetMode="External" /><Relationship Type="http://schemas.openxmlformats.org/officeDocument/2006/relationships/hyperlink" Id="rId216" Target="https://doi.org/10.1145/3306618.3314279" TargetMode="External" /><Relationship Type="http://schemas.openxmlformats.org/officeDocument/2006/relationships/hyperlink" Id="rId260" Target="https://doi.org/10.1155/2022/3832170" TargetMode="External" /><Relationship Type="http://schemas.openxmlformats.org/officeDocument/2006/relationships/hyperlink" Id="rId92" Target="https://doi.org/10.1177/014920639101700108" TargetMode="External" /><Relationship Type="http://schemas.openxmlformats.org/officeDocument/2006/relationships/hyperlink" Id="rId106" Target="https://doi.org/10.1186/s12911-021-01533-7" TargetMode="External" /><Relationship Type="http://schemas.openxmlformats.org/officeDocument/2006/relationships/hyperlink" Id="rId108" Target="https://doi.org/10.1186/s40537-020-00327-4" TargetMode="External" /><Relationship Type="http://schemas.openxmlformats.org/officeDocument/2006/relationships/hyperlink" Id="rId110"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26" Target="https://doi.org/10.21105/joss.02341" TargetMode="External" /><Relationship Type="http://schemas.openxmlformats.org/officeDocument/2006/relationships/hyperlink" Id="rId210" Target="https://doi.org/10.2174/1386207324666210309102239" TargetMode="External" /><Relationship Type="http://schemas.openxmlformats.org/officeDocument/2006/relationships/hyperlink" Id="rId234" Target="https://doi.org/10.2307/1412159" TargetMode="External" /><Relationship Type="http://schemas.openxmlformats.org/officeDocument/2006/relationships/hyperlink" Id="rId228" Target="https://doi.org/10.3390/rs11080920" TargetMode="External" /><Relationship Type="http://schemas.openxmlformats.org/officeDocument/2006/relationships/hyperlink" Id="rId163" Target="https://doi.org/10.3390/s18082674" TargetMode="External" /><Relationship Type="http://schemas.openxmlformats.org/officeDocument/2006/relationships/hyperlink" Id="rId274" Target="https://doi.org/10.3390/s22249678" TargetMode="External" /><Relationship Type="http://schemas.openxmlformats.org/officeDocument/2006/relationships/hyperlink" Id="rId206" Target="https://doi.org/10.3390/s23094527" TargetMode="External" /><Relationship Type="http://schemas.openxmlformats.org/officeDocument/2006/relationships/hyperlink" Id="rId266" Target="https://doi.org/10.3390/s23114958" TargetMode="External" /><Relationship Type="http://schemas.openxmlformats.org/officeDocument/2006/relationships/hyperlink" Id="rId194" Target="https://doi.org/10.3390/separations11050148" TargetMode="External" /><Relationship Type="http://schemas.openxmlformats.org/officeDocument/2006/relationships/hyperlink" Id="rId89" Target="https://doi.org/10.3390/su14042420" TargetMode="External" /><Relationship Type="http://schemas.openxmlformats.org/officeDocument/2006/relationships/hyperlink" Id="rId136" Target="https://doi.org/10.5281/zenodo.1234567" TargetMode="External" /><Relationship Type="http://schemas.openxmlformats.org/officeDocument/2006/relationships/hyperlink" Id="rId248" Target="https://doi.org/10.7326/M18-0850" TargetMode="External" /><Relationship Type="http://schemas.openxmlformats.org/officeDocument/2006/relationships/hyperlink" Id="rId224" Target="https://doi.org/10.9771/cp.v12i1.27215" TargetMode="External" /><Relationship Type="http://schemas.openxmlformats.org/officeDocument/2006/relationships/hyperlink" Id="rId118" Target="https://igraph.org" TargetMode="External" /><Relationship Type="http://schemas.openxmlformats.org/officeDocument/2006/relationships/hyperlink" Id="rId114" Target="https://legislacao.presidencia.gov.br/atos/?tipo=DEC&amp;numero=75699&amp;ano=1975" TargetMode="External" /><Relationship Type="http://schemas.openxmlformats.org/officeDocument/2006/relationships/hyperlink" Id="rId179" Target="https://papers.nips.cc/paper/7062-a-unified-approach-to-interpreting-model-predictions.pdf" TargetMode="External" /><Relationship Type="http://schemas.openxmlformats.org/officeDocument/2006/relationships/hyperlink" Id="rId241" Target="https://www.R-project.org/" TargetMode="External" /><Relationship Type="http://schemas.openxmlformats.org/officeDocument/2006/relationships/hyperlink" Id="rId104" Target="https://www.codevasf.gov.br/noticias/2014/artesanato-faz-parte-da-identidade-sociocultural-do-baixo-sao-francisco-sergipano-e-gera-renda-para-populacao-local" TargetMode="External" /><Relationship Type="http://schemas.openxmlformats.org/officeDocument/2006/relationships/hyperlink" Id="rId182" Target="https://www.gov.br/agricultura/pt-br/assuntos/sustentabilidade/indicacao-geografica/o-que-e-indicacao-geografica-ig" TargetMode="External" /><Relationship Type="http://schemas.openxmlformats.org/officeDocument/2006/relationships/hyperlink" Id="rId250" Target="https://www.interregeurope.eu" TargetMode="External" /><Relationship Type="http://schemas.openxmlformats.org/officeDocument/2006/relationships/hyperlink" Id="rId157" Target="https://www.jstatsoft.org/v25/i01/" TargetMode="External" /><Relationship Type="http://schemas.openxmlformats.org/officeDocument/2006/relationships/hyperlink" Id="rId243" Target="https://www.rstudio.com/" TargetMode="External" /><Relationship Type="http://schemas.openxmlformats.org/officeDocument/2006/relationships/hyperlink" Id="rId196" Target="https://www.wipo.int/" TargetMode="External" /><Relationship Type="http://schemas.openxmlformats.org/officeDocument/2006/relationships/hyperlink" Id="rId87"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222" Target="http://ainfo.cnptia.embrapa.br/digital/bitstream/item/181677/1/SiBCS-2018-ISBN-9788570358172.epub" TargetMode="External" /><Relationship Type="http://schemas.openxmlformats.org/officeDocument/2006/relationships/hyperlink" Id="rId116" Target="http://arxiv.org/pdf/1909.08996v2.pdf" TargetMode="External" /><Relationship Type="http://schemas.openxmlformats.org/officeDocument/2006/relationships/hyperlink" Id="rId98" Target="http://www.planalto.gov.br/ccivil_03/_ato2004-2006/2004/lei/l10.973.htm" TargetMode="External" /><Relationship Type="http://schemas.openxmlformats.org/officeDocument/2006/relationships/hyperlink" Id="rId100" Target="http://www.planalto.gov.br/ccivil_03/_ato2015-2018/2016/lei/l13243.htm" TargetMode="External" /><Relationship Type="http://schemas.openxmlformats.org/officeDocument/2006/relationships/hyperlink" Id="rId102" Target="http://www.planalto.gov.br/ccivil_03/_ato2023-2026/2024/lei/l15068.htm" TargetMode="External" /><Relationship Type="http://schemas.openxmlformats.org/officeDocument/2006/relationships/hyperlink" Id="rId96" Target="http://www.planalto.gov.br/ccivil_03/leis/l9279.htm" TargetMode="External" /><Relationship Type="http://schemas.openxmlformats.org/officeDocument/2006/relationships/hyperlink" Id="rId168" Target="https://arxiv.org/abs/2108.02497" TargetMode="External" /><Relationship Type="http://schemas.openxmlformats.org/officeDocument/2006/relationships/hyperlink" Id="rId173" Target="https://doi.org/10.1002/1520-6297(200022)16:3&lt;309::AID-AGR4&gt;3.0.CO;2-G" TargetMode="External" /><Relationship Type="http://schemas.openxmlformats.org/officeDocument/2006/relationships/hyperlink" Id="rId134" Target="https://doi.org/10.1002/vzj2.20035" TargetMode="External" /><Relationship Type="http://schemas.openxmlformats.org/officeDocument/2006/relationships/hyperlink" Id="rId192" Target="https://doi.org/10.1007/s10462-024-10844-w" TargetMode="External" /><Relationship Type="http://schemas.openxmlformats.org/officeDocument/2006/relationships/hyperlink" Id="rId185" Target="https://doi.org/10.1007/s12161-024-02625-6" TargetMode="External" /><Relationship Type="http://schemas.openxmlformats.org/officeDocument/2006/relationships/hyperlink" Id="rId220" Target="https://doi.org/10.1007/s12161-025-02840-9" TargetMode="External" /><Relationship Type="http://schemas.openxmlformats.org/officeDocument/2006/relationships/hyperlink" Id="rId148" Target="https://doi.org/10.1007/s41060-024-00509-w" TargetMode="External" /><Relationship Type="http://schemas.openxmlformats.org/officeDocument/2006/relationships/hyperlink" Id="rId124" Target="https://doi.org/10.1016/j.aca.2007.07.011" TargetMode="External" /><Relationship Type="http://schemas.openxmlformats.org/officeDocument/2006/relationships/hyperlink" Id="rId232" Target="https://doi.org/10.1016/j.chroma.2022.463284" TargetMode="External" /><Relationship Type="http://schemas.openxmlformats.org/officeDocument/2006/relationships/hyperlink" Id="rId152" Target="https://doi.org/10.1016/j.compag.2018.02.016" TargetMode="External" /><Relationship Type="http://schemas.openxmlformats.org/officeDocument/2006/relationships/hyperlink" Id="rId120" Target="https://doi.org/10.1016/j.ecoinf.2021.101472" TargetMode="External" /><Relationship Type="http://schemas.openxmlformats.org/officeDocument/2006/relationships/hyperlink" Id="rId165" Target="https://doi.org/10.1016/j.fochx.2025.102856" TargetMode="External" /><Relationship Type="http://schemas.openxmlformats.org/officeDocument/2006/relationships/hyperlink" Id="rId258" Target="https://doi.org/10.1016/j.fochx.2025.103069" TargetMode="External" /><Relationship Type="http://schemas.openxmlformats.org/officeDocument/2006/relationships/hyperlink" Id="rId199" Target="https://doi.org/10.1016/j.fochx.2025.103194" TargetMode="External" /><Relationship Type="http://schemas.openxmlformats.org/officeDocument/2006/relationships/hyperlink" Id="rId132" Target="https://doi.org/10.1016/j.foodchem.2019.125329" TargetMode="External" /><Relationship Type="http://schemas.openxmlformats.org/officeDocument/2006/relationships/hyperlink" Id="rId202" Target="https://doi.org/10.1016/j.foodchem.2020.128519" TargetMode="External" /><Relationship Type="http://schemas.openxmlformats.org/officeDocument/2006/relationships/hyperlink" Id="rId170" Target="https://doi.org/10.1016/j.foodchem.2021.130016" TargetMode="External" /><Relationship Type="http://schemas.openxmlformats.org/officeDocument/2006/relationships/hyperlink" Id="rId142" Target="https://doi.org/10.1016/j.foodchem.2024.140903" TargetMode="External" /><Relationship Type="http://schemas.openxmlformats.org/officeDocument/2006/relationships/hyperlink" Id="rId161" Target="https://doi.org/10.1016/j.foodchem.2024.142088" TargetMode="External" /><Relationship Type="http://schemas.openxmlformats.org/officeDocument/2006/relationships/hyperlink" Id="rId208" Target="https://doi.org/10.1016/j.foodchem.2025.144078" TargetMode="External" /><Relationship Type="http://schemas.openxmlformats.org/officeDocument/2006/relationships/hyperlink" Id="rId150" Target="https://doi.org/10.1016/j.foodchem.2025.145007" TargetMode="External" /><Relationship Type="http://schemas.openxmlformats.org/officeDocument/2006/relationships/hyperlink" Id="rId212" Target="https://doi.org/10.1016/j.foodpol.2022.102345" TargetMode="External" /><Relationship Type="http://schemas.openxmlformats.org/officeDocument/2006/relationships/hyperlink" Id="rId128" Target="https://doi.org/10.1016/j.heliyon.2024.e32297" TargetMode="External" /><Relationship Type="http://schemas.openxmlformats.org/officeDocument/2006/relationships/hyperlink" Id="rId268" Target="https://doi.org/10.1016/j.ijmedinf.2019.08.018" TargetMode="External" /><Relationship Type="http://schemas.openxmlformats.org/officeDocument/2006/relationships/hyperlink" Id="rId145" Target="https://doi.org/10.1016/j.jfca.2024.106668" TargetMode="External" /><Relationship Type="http://schemas.openxmlformats.org/officeDocument/2006/relationships/hyperlink" Id="rId214" Target="https://doi.org/10.1016/j.jfoodeng.2022.111378" TargetMode="External" /><Relationship Type="http://schemas.openxmlformats.org/officeDocument/2006/relationships/hyperlink" Id="rId187" Target="https://doi.org/10.1016/j.joi.2011.04.001" TargetMode="External" /><Relationship Type="http://schemas.openxmlformats.org/officeDocument/2006/relationships/hyperlink" Id="rId254" Target="https://doi.org/10.1016/j.joi.2013.10.006" TargetMode="External" /><Relationship Type="http://schemas.openxmlformats.org/officeDocument/2006/relationships/hyperlink" Id="rId122" Target="https://doi.org/10.1016/j.jpa.2025.xxxxxx" TargetMode="External" /><Relationship Type="http://schemas.openxmlformats.org/officeDocument/2006/relationships/hyperlink" Id="rId189" Target="https://doi.org/10.1016/j.lwt.2024.115886" TargetMode="External" /><Relationship Type="http://schemas.openxmlformats.org/officeDocument/2006/relationships/hyperlink" Id="rId130" Target="https://doi.org/10.1016/j.snb.2022.132946" TargetMode="External" /><Relationship Type="http://schemas.openxmlformats.org/officeDocument/2006/relationships/hyperlink" Id="rId177" Target="https://doi.org/10.1016/j.tifs.2019.11.006" TargetMode="External" /><Relationship Type="http://schemas.openxmlformats.org/officeDocument/2006/relationships/hyperlink" Id="rId270" Target="https://doi.org/10.1016/j.tifs.2024.104679" TargetMode="External" /><Relationship Type="http://schemas.openxmlformats.org/officeDocument/2006/relationships/hyperlink" Id="rId204"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155" Target="https://doi.org/10.1021/bk-2005-0894.ch001" TargetMode="External" /><Relationship Type="http://schemas.openxmlformats.org/officeDocument/2006/relationships/hyperlink" Id="rId230" Target="https://doi.org/10.1037/0033-2909.86.2.420" TargetMode="External" /><Relationship Type="http://schemas.openxmlformats.org/officeDocument/2006/relationships/hyperlink" Id="rId264" Target="https://doi.org/10.1038/s41538-021-00100-8" TargetMode="External" /><Relationship Type="http://schemas.openxmlformats.org/officeDocument/2006/relationships/hyperlink" Id="rId112" Target="https://doi.org/10.1080/01621459.1979.10481038" TargetMode="External" /><Relationship Type="http://schemas.openxmlformats.org/officeDocument/2006/relationships/hyperlink" Id="rId175" Target="https://doi.org/10.1080/10618600.2022.2069777" TargetMode="External" /><Relationship Type="http://schemas.openxmlformats.org/officeDocument/2006/relationships/hyperlink" Id="rId94" Target="https://doi.org/10.1088/1742-5468/2008/10/P10008" TargetMode="External" /><Relationship Type="http://schemas.openxmlformats.org/officeDocument/2006/relationships/hyperlink" Id="rId126" Target="https://doi.org/10.1108/BFJ-12-2014-0392" TargetMode="External" /><Relationship Type="http://schemas.openxmlformats.org/officeDocument/2006/relationships/hyperlink" Id="rId139" Target="https://doi.org/10.1108/SCM-11-2020-0576" TargetMode="External" /><Relationship Type="http://schemas.openxmlformats.org/officeDocument/2006/relationships/hyperlink" Id="rId256" Target="https://doi.org/10.1109/JSEN.2020.3048534" TargetMode="External" /><Relationship Type="http://schemas.openxmlformats.org/officeDocument/2006/relationships/hyperlink" Id="rId272" Target="https://doi.org/10.1109/TII.2021.3098700" TargetMode="External" /><Relationship Type="http://schemas.openxmlformats.org/officeDocument/2006/relationships/hyperlink" Id="rId159" Target="https://doi.org/10.1111/1541-4337.70082" TargetMode="External" /><Relationship Type="http://schemas.openxmlformats.org/officeDocument/2006/relationships/hyperlink" Id="rId237" Target="https://doi.org/10.1111/j.1475-4762.2007.00765.x" TargetMode="External" /><Relationship Type="http://schemas.openxmlformats.org/officeDocument/2006/relationships/hyperlink" Id="rId252" Target="https://doi.org/10.1111/j.1745-4565.2009.00188.x" TargetMode="External" /><Relationship Type="http://schemas.openxmlformats.org/officeDocument/2006/relationships/hyperlink" Id="rId216" Target="https://doi.org/10.1145/3306618.3314279" TargetMode="External" /><Relationship Type="http://schemas.openxmlformats.org/officeDocument/2006/relationships/hyperlink" Id="rId260" Target="https://doi.org/10.1155/2022/3832170" TargetMode="External" /><Relationship Type="http://schemas.openxmlformats.org/officeDocument/2006/relationships/hyperlink" Id="rId92" Target="https://doi.org/10.1177/014920639101700108" TargetMode="External" /><Relationship Type="http://schemas.openxmlformats.org/officeDocument/2006/relationships/hyperlink" Id="rId106" Target="https://doi.org/10.1186/s12911-021-01533-7" TargetMode="External" /><Relationship Type="http://schemas.openxmlformats.org/officeDocument/2006/relationships/hyperlink" Id="rId108" Target="https://doi.org/10.1186/s40537-020-00327-4" TargetMode="External" /><Relationship Type="http://schemas.openxmlformats.org/officeDocument/2006/relationships/hyperlink" Id="rId110"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26" Target="https://doi.org/10.21105/joss.02341" TargetMode="External" /><Relationship Type="http://schemas.openxmlformats.org/officeDocument/2006/relationships/hyperlink" Id="rId210" Target="https://doi.org/10.2174/1386207324666210309102239" TargetMode="External" /><Relationship Type="http://schemas.openxmlformats.org/officeDocument/2006/relationships/hyperlink" Id="rId234" Target="https://doi.org/10.2307/1412159" TargetMode="External" /><Relationship Type="http://schemas.openxmlformats.org/officeDocument/2006/relationships/hyperlink" Id="rId228" Target="https://doi.org/10.3390/rs11080920" TargetMode="External" /><Relationship Type="http://schemas.openxmlformats.org/officeDocument/2006/relationships/hyperlink" Id="rId163" Target="https://doi.org/10.3390/s18082674" TargetMode="External" /><Relationship Type="http://schemas.openxmlformats.org/officeDocument/2006/relationships/hyperlink" Id="rId274" Target="https://doi.org/10.3390/s22249678" TargetMode="External" /><Relationship Type="http://schemas.openxmlformats.org/officeDocument/2006/relationships/hyperlink" Id="rId206" Target="https://doi.org/10.3390/s23094527" TargetMode="External" /><Relationship Type="http://schemas.openxmlformats.org/officeDocument/2006/relationships/hyperlink" Id="rId266" Target="https://doi.org/10.3390/s23114958" TargetMode="External" /><Relationship Type="http://schemas.openxmlformats.org/officeDocument/2006/relationships/hyperlink" Id="rId194" Target="https://doi.org/10.3390/separations11050148" TargetMode="External" /><Relationship Type="http://schemas.openxmlformats.org/officeDocument/2006/relationships/hyperlink" Id="rId89" Target="https://doi.org/10.3390/su14042420" TargetMode="External" /><Relationship Type="http://schemas.openxmlformats.org/officeDocument/2006/relationships/hyperlink" Id="rId136" Target="https://doi.org/10.5281/zenodo.1234567" TargetMode="External" /><Relationship Type="http://schemas.openxmlformats.org/officeDocument/2006/relationships/hyperlink" Id="rId248" Target="https://doi.org/10.7326/M18-0850" TargetMode="External" /><Relationship Type="http://schemas.openxmlformats.org/officeDocument/2006/relationships/hyperlink" Id="rId224" Target="https://doi.org/10.9771/cp.v12i1.27215" TargetMode="External" /><Relationship Type="http://schemas.openxmlformats.org/officeDocument/2006/relationships/hyperlink" Id="rId118" Target="https://igraph.org" TargetMode="External" /><Relationship Type="http://schemas.openxmlformats.org/officeDocument/2006/relationships/hyperlink" Id="rId114" Target="https://legislacao.presidencia.gov.br/atos/?tipo=DEC&amp;numero=75699&amp;ano=1975" TargetMode="External" /><Relationship Type="http://schemas.openxmlformats.org/officeDocument/2006/relationships/hyperlink" Id="rId179" Target="https://papers.nips.cc/paper/7062-a-unified-approach-to-interpreting-model-predictions.pdf" TargetMode="External" /><Relationship Type="http://schemas.openxmlformats.org/officeDocument/2006/relationships/hyperlink" Id="rId241" Target="https://www.R-project.org/" TargetMode="External" /><Relationship Type="http://schemas.openxmlformats.org/officeDocument/2006/relationships/hyperlink" Id="rId104" Target="https://www.codevasf.gov.br/noticias/2014/artesanato-faz-parte-da-identidade-sociocultural-do-baixo-sao-francisco-sergipano-e-gera-renda-para-populacao-local" TargetMode="External" /><Relationship Type="http://schemas.openxmlformats.org/officeDocument/2006/relationships/hyperlink" Id="rId182" Target="https://www.gov.br/agricultura/pt-br/assuntos/sustentabilidade/indicacao-geografica/o-que-e-indicacao-geografica-ig" TargetMode="External" /><Relationship Type="http://schemas.openxmlformats.org/officeDocument/2006/relationships/hyperlink" Id="rId250" Target="https://www.interregeurope.eu" TargetMode="External" /><Relationship Type="http://schemas.openxmlformats.org/officeDocument/2006/relationships/hyperlink" Id="rId157" Target="https://www.jstatsoft.org/v25/i01/" TargetMode="External" /><Relationship Type="http://schemas.openxmlformats.org/officeDocument/2006/relationships/hyperlink" Id="rId243" Target="https://www.rstudio.com/" TargetMode="External" /><Relationship Type="http://schemas.openxmlformats.org/officeDocument/2006/relationships/hyperlink" Id="rId196" Target="https://www.wipo.int/" TargetMode="External" /><Relationship Type="http://schemas.openxmlformats.org/officeDocument/2006/relationships/hyperlink" Id="rId87"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Geographical Indications: A Scoping Review on Authentication, Certification and Open Data Ecosystems</dc:title>
  <dc:creator>Catuxe Varjão de Santana Oliveira, Paulo Roberto Gagliardi, Luiz Diego Vidal Santos, Gustavo da Silva Quirino, Ana Karla de Souza Abud, Cristiane Toniolo Dias</dc:creator>
  <dc:language>en-US</dc:language>
  <cp:keywords/>
  <dcterms:created xsi:type="dcterms:W3CDTF">2025-11-21T20:13:10Z</dcterms:created>
  <dcterms:modified xsi:type="dcterms:W3CDTF">2025-11-21T20:13:10Z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