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31C5" w14:textId="77777777" w:rsidR="00FE7890" w:rsidRDefault="00000000">
      <w:pPr>
        <w:pStyle w:val="Ttulo"/>
      </w:pPr>
      <w:r>
        <w:t>Aplicações de Aprendizado de Máquina para Indicações Geográficas: uma revisão de escopo</w:t>
      </w:r>
    </w:p>
    <w:p w14:paraId="357331C6" w14:textId="77777777" w:rsidR="00FE7890" w:rsidRDefault="00000000">
      <w:r>
        <w:t>Catuxe Varjão de Santana Oliveira, Paulo Roberto Gagliardi, Luiz Diego Vidal Santos, Gustavo da Silva Quirino, Ana Karla de Souza Abud, Cristiane Toniolo Dias</w:t>
      </w:r>
    </w:p>
    <w:p w14:paraId="357331C8" w14:textId="77777777" w:rsidR="00FE7890" w:rsidRDefault="00000000">
      <w:pPr>
        <w:pStyle w:val="Ttulo1"/>
      </w:pPr>
      <w:bookmarkStart w:id="0" w:name="resumo"/>
      <w:r>
        <w:t>Resumo</w:t>
      </w:r>
    </w:p>
    <w:p w14:paraId="357331C9" w14:textId="77777777" w:rsidR="00FE7890" w:rsidRDefault="00000000">
      <w:r>
        <w:t>As Indicações Geográficas (</w:t>
      </w:r>
      <w:proofErr w:type="spellStart"/>
      <w:r>
        <w:t>IGs</w:t>
      </w:r>
      <w:proofErr w:type="spellEnd"/>
      <w:r>
        <w:t xml:space="preserve">) são ativos estratégicos para a valorização de produtos com identidade territorial, mas sua certificação depende de métodos robustos de autenticação. O Aprendizado de Máquina (ML) emerge como uma ferramenta poderosa para essa finalidade, porém, uma revisão de escopo de sua aplicação é inexistente. Este estudo teve como objetivo mapear o estado da arte das aplicações de ML em </w:t>
      </w:r>
      <w:proofErr w:type="spellStart"/>
      <w:r>
        <w:t>IGs</w:t>
      </w:r>
      <w:proofErr w:type="spellEnd"/>
      <w:r>
        <w:t>, identificando os algoritmos, produtos e técnicas analíticas predominantes, bem como a estrutura conceitual do campo. Foram incluídos artigos revisados por pares que aplicavam técnicas de ML para autenticação ou caracterização de produtos com IG. Realizou-se uma busca sistemática nas bases Scopus e Web of Science para o período de 2010 a 2025. Os dados foram extraídos por meio de um processo de quatro fases, incluindo filtragem automatizada e avaliação de qualidade metodológica (ICC=0,87). A síntese dos dados foi realizada por meio de Análise de Correspondência Múltipla (MCA), Análise de Redes e Análise Temporal. Dos 272 estudos iniciais, 148 foram selecionados. A análise revelou um crescimento de publicações superior a 400% desde 2018. A MCA (explicando 48,7% da inércia) identificou dois eixos estruturantes, um polo associando produtos europeus (vinhos, azeites) a algoritmos clássicos (SVM, PLS-DA) e uma fronteira de inovação conectando produtos asiáticos (chás) a Deep Learning e metabolômica. A análise de redes (87 nós, 215 arestas) revelou quatro clusters temáticos principais. O campo está evoluindo de uma fase de validação de prova de conceito para uma especialização metodológica, onde a escolha do algoritmo é cada vez mais ditada pela matriz do produto e pelo contexto geográfico, estabelecendo novas bases para a certificação de origem na era digital.</w:t>
      </w:r>
    </w:p>
    <w:p w14:paraId="357331CA" w14:textId="77777777" w:rsidR="00FE7890" w:rsidRDefault="00000000">
      <w:pPr>
        <w:pStyle w:val="Corpodetexto"/>
      </w:pPr>
      <w:r>
        <w:rPr>
          <w:b/>
          <w:bCs/>
        </w:rPr>
        <w:t>Palavras-chave:</w:t>
      </w:r>
      <w:r>
        <w:t xml:space="preserve"> Indicações Geográficas; Aprendizado de Máquina; Denominação de Origem; Certificação Geográfica.</w:t>
      </w:r>
    </w:p>
    <w:p w14:paraId="357331CB" w14:textId="77777777" w:rsidR="00FE7890" w:rsidRDefault="00000000">
      <w:pPr>
        <w:pStyle w:val="Ttulo1"/>
      </w:pPr>
      <w:bookmarkStart w:id="1" w:name="introdução"/>
      <w:bookmarkEnd w:id="0"/>
      <w:r>
        <w:t>1. Introdução</w:t>
      </w:r>
    </w:p>
    <w:p w14:paraId="357331CC" w14:textId="77777777" w:rsidR="00FE7890" w:rsidRDefault="00000000">
      <w:r>
        <w:t>As Indicações Geográficas (</w:t>
      </w:r>
      <w:proofErr w:type="spellStart"/>
      <w:r>
        <w:t>IGs</w:t>
      </w:r>
      <w:proofErr w:type="spellEnd"/>
      <w:r>
        <w:t>) protegem territórios e produtos na economia do conhecimento, assegurando direitos exclusivos sobre produtos cuja qualidade, reputação e características derivam de sua origem geográfica (Locatelli, 2008; WIPO, 2018). Fundamentadas na Convenção de Berna (</w:t>
      </w:r>
      <w:r>
        <w:rPr>
          <w:i/>
          <w:iCs/>
        </w:rPr>
        <w:t>Convenção de Berna para a Proteção das Obras Literárias e Artísticas</w:t>
      </w:r>
      <w:r>
        <w:t>, 1886) e no Acordo TRIPS (</w:t>
      </w:r>
      <w:proofErr w:type="spellStart"/>
      <w:r>
        <w:rPr>
          <w:i/>
          <w:iCs/>
        </w:rPr>
        <w:t>Agreement</w:t>
      </w:r>
      <w:proofErr w:type="spellEnd"/>
      <w:r>
        <w:rPr>
          <w:i/>
          <w:iCs/>
        </w:rPr>
        <w:t xml:space="preserve"> on Trade-</w:t>
      </w:r>
      <w:proofErr w:type="spellStart"/>
      <w:r>
        <w:rPr>
          <w:i/>
          <w:iCs/>
        </w:rPr>
        <w:t>Related</w:t>
      </w:r>
      <w:proofErr w:type="spellEnd"/>
      <w:r>
        <w:rPr>
          <w:i/>
          <w:iCs/>
        </w:rPr>
        <w:t xml:space="preserve"> </w:t>
      </w:r>
      <w:proofErr w:type="spellStart"/>
      <w:r>
        <w:rPr>
          <w:i/>
          <w:iCs/>
        </w:rPr>
        <w:t>Aspects</w:t>
      </w:r>
      <w:proofErr w:type="spellEnd"/>
      <w:r>
        <w:rPr>
          <w:i/>
          <w:iCs/>
        </w:rPr>
        <w:t xml:space="preserve"> of </w:t>
      </w:r>
      <w:proofErr w:type="spellStart"/>
      <w:r>
        <w:rPr>
          <w:i/>
          <w:iCs/>
        </w:rPr>
        <w:t>Intellectual</w:t>
      </w:r>
      <w:proofErr w:type="spellEnd"/>
      <w:r>
        <w:rPr>
          <w:i/>
          <w:iCs/>
        </w:rPr>
        <w:t xml:space="preserve"> </w:t>
      </w:r>
      <w:proofErr w:type="spellStart"/>
      <w:r>
        <w:rPr>
          <w:i/>
          <w:iCs/>
        </w:rPr>
        <w:t>Property</w:t>
      </w:r>
      <w:proofErr w:type="spellEnd"/>
      <w:r>
        <w:rPr>
          <w:i/>
          <w:iCs/>
        </w:rPr>
        <w:t xml:space="preserve"> </w:t>
      </w:r>
      <w:proofErr w:type="spellStart"/>
      <w:r>
        <w:rPr>
          <w:i/>
          <w:iCs/>
        </w:rPr>
        <w:t>Rights</w:t>
      </w:r>
      <w:proofErr w:type="spellEnd"/>
      <w:r>
        <w:rPr>
          <w:i/>
          <w:iCs/>
        </w:rPr>
        <w:t xml:space="preserve"> (TRIPS)</w:t>
      </w:r>
      <w:r>
        <w:t xml:space="preserve">, 1994), as </w:t>
      </w:r>
      <w:proofErr w:type="spellStart"/>
      <w:r>
        <w:t>IGs</w:t>
      </w:r>
      <w:proofErr w:type="spellEnd"/>
      <w:r>
        <w:t xml:space="preserve"> conectam territórios produtivos e comunidades locais a mercados diferenciados, vinculando proteção de </w:t>
      </w:r>
      <w:r>
        <w:lastRenderedPageBreak/>
        <w:t>direitos à preservação do conhecimento tradicional (</w:t>
      </w:r>
      <w:proofErr w:type="spellStart"/>
      <w:r>
        <w:t>Suh</w:t>
      </w:r>
      <w:proofErr w:type="spellEnd"/>
      <w:r>
        <w:t xml:space="preserve"> &amp; </w:t>
      </w:r>
      <w:proofErr w:type="spellStart"/>
      <w:r>
        <w:t>Macpherson</w:t>
      </w:r>
      <w:proofErr w:type="spellEnd"/>
      <w:r>
        <w:t xml:space="preserve">, 2007). Além de instrumento jurídico, as </w:t>
      </w:r>
      <w:proofErr w:type="spellStart"/>
      <w:r>
        <w:t>IGs</w:t>
      </w:r>
      <w:proofErr w:type="spellEnd"/>
      <w:r>
        <w:t xml:space="preserve"> constituem ativo intangível estratégico no sentido proposto pela teoria da Visão Baseada em Recursos (</w:t>
      </w:r>
      <w:proofErr w:type="spellStart"/>
      <w:r>
        <w:t>Resource-Based</w:t>
      </w:r>
      <w:proofErr w:type="spellEnd"/>
      <w:r>
        <w:t xml:space="preserve"> </w:t>
      </w:r>
      <w:proofErr w:type="spellStart"/>
      <w:r>
        <w:t>View</w:t>
      </w:r>
      <w:proofErr w:type="spellEnd"/>
      <w:r>
        <w:t xml:space="preserve">), sendo recursos raros, valiosos, inimitáveis e insubstituíveis que fundamentam vantagem competitiva territorial sustentável (Barney, 1991). A apropriação de valor por meio das </w:t>
      </w:r>
      <w:proofErr w:type="spellStart"/>
      <w:r>
        <w:t>IGs</w:t>
      </w:r>
      <w:proofErr w:type="spellEnd"/>
      <w:r>
        <w:t xml:space="preserve"> transcende rentabilidade imediata, servindo como ancoragem para captura de valor futuro através de mercados diferenciados e disposição de consumidores em pagar preços premium por produtos com certificação de origem (Loureiro &amp; </w:t>
      </w:r>
      <w:proofErr w:type="spellStart"/>
      <w:r>
        <w:t>McCluskey</w:t>
      </w:r>
      <w:proofErr w:type="spellEnd"/>
      <w:r>
        <w:t xml:space="preserve">, 2002; </w:t>
      </w:r>
      <w:proofErr w:type="spellStart"/>
      <w:r>
        <w:t>Vázquez</w:t>
      </w:r>
      <w:proofErr w:type="spellEnd"/>
      <w:r>
        <w:t>‐Fontes et al., 2010).</w:t>
      </w:r>
    </w:p>
    <w:p w14:paraId="357331CD" w14:textId="77777777" w:rsidR="00FE7890" w:rsidRDefault="00000000">
      <w:pPr>
        <w:pStyle w:val="Corpodetexto"/>
      </w:pPr>
      <w:r>
        <w:t>No Brasil, as Indicações Geográficas são regulamentadas pela Lei da Propriedade Industrial, Lei nº 9.279 de 14 de maio de 1996, que estabelece dois tipos de reconhecimento com implicações jurídicas e econômicas distintas, Indicação de Procedência e Denominação de Origem (Brasil, 1996).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 (MAPA, 2020).</w:t>
      </w:r>
    </w:p>
    <w:p w14:paraId="357331CE" w14:textId="77777777" w:rsidR="00FE7890" w:rsidRDefault="00000000">
      <w:pPr>
        <w:pStyle w:val="Corpodetexto"/>
      </w:pPr>
      <w:r>
        <w:t>O controle deste tipo de registro é realizado pelo Instituto Nacional de Propriedade Intelectual (INPI), com apoio do Ministério da Agricultura, Pecuária e Abastecimento, que operacionaliza políticas de fomento e certificação de produtos agrícolas com identidade territorial (MAPA, 2020).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 (Brasil, 2004, 2016).</w:t>
      </w:r>
    </w:p>
    <w:p w14:paraId="357331CF" w14:textId="77777777" w:rsidR="00FE7890" w:rsidRDefault="00000000">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 (al., 2011; Bureau &amp; Freitas, 2018; </w:t>
      </w:r>
      <w:proofErr w:type="spellStart"/>
      <w:r>
        <w:t>Fonzo</w:t>
      </w:r>
      <w:proofErr w:type="spellEnd"/>
      <w:r>
        <w:t xml:space="preserve"> &amp; Russo, 2015; H. G. Santos et al., 2018; J. C. Santos &amp; Santos, 2019). A caracterização territorial desses produtos, necessária para o reconhecimento como Denominação de Origem conforme estabelecido no artigo 178 da Lei nº 9.279/1996 (Brasil, 1996), demanda análises técnicas específicas que comprovem, com rigor científico, a relação entre qualidade e fatores geográficos (Gonçalves-Maduro et al., 2020). Neste contexto, apresenta-se uma questão central </w:t>
      </w:r>
      <w:r>
        <w:lastRenderedPageBreak/>
        <w:t>de que forma os sistemas de certificação podem validar, rigorosamente e objetivamente, a relação entre origem geográfica e qualidade de produtos.</w:t>
      </w:r>
    </w:p>
    <w:p w14:paraId="357331D0" w14:textId="77777777" w:rsidR="00FE7890" w:rsidRDefault="00000000">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w:t>
      </w:r>
      <w:proofErr w:type="spellStart"/>
      <w:r>
        <w:t>expertiza</w:t>
      </w:r>
      <w:proofErr w:type="spellEnd"/>
      <w:r>
        <w:t xml:space="preserve">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 (R. C. Chen et al., 2020; Ramos et al., 2025).</w:t>
      </w:r>
    </w:p>
    <w:p w14:paraId="357331D1" w14:textId="77777777" w:rsidR="00FE7890" w:rsidRDefault="00000000">
      <w:pPr>
        <w:pStyle w:val="Corpodetexto"/>
      </w:pPr>
      <w:r>
        <w:t>No âmbito das Indicações Geográficas, o Machine Learning tem sido aplicado estrategicamente para promover a autenticação de origem geográfica, validando que produto de determinada região possui assinatura química ou isotópica distintiva (Longo et al., 2021), além de viabilizar a detecção de fraudes e adulterações, identificando modificações ou substituições em cadeias de suprimento (</w:t>
      </w:r>
      <w:proofErr w:type="spellStart"/>
      <w:r>
        <w:t>Acquarelli</w:t>
      </w:r>
      <w:proofErr w:type="spellEnd"/>
      <w:r>
        <w:t xml:space="preserve"> et al., 2021). A tecnologia também permite o controle e predição de qualidade, estimando atributos de qualidade com base em dados analíticos rapidamente obtidos (Rodrigues et al., 2022), e garante a rastreabilidade e verificação da cadeia produtiva, assegurando continuidade entre origem e consumidor (</w:t>
      </w:r>
      <w:proofErr w:type="spellStart"/>
      <w:r>
        <w:t>Rana</w:t>
      </w:r>
      <w:proofErr w:type="spellEnd"/>
      <w:r>
        <w:t xml:space="preserve"> et al., 2023). Ainda, o uso de ML possibilita a classificação automática de produtos, discriminando origens e denominações (Jiang et al., 2025; Y. Li et al., 2025; Peng et al., 2025; </w:t>
      </w:r>
      <w:proofErr w:type="spellStart"/>
      <w:r>
        <w:t>Santomá</w:t>
      </w:r>
      <w:proofErr w:type="spellEnd"/>
      <w:r>
        <w:t>-Martí et al., 2025; Wang et al., 2025). Essas aplicações demonstram potencial para integrar variáveis multifacetadas, assinaturas isotópicas, perfis elementares, características sensoriais, dados geoespaciais e fatores ambientais e gerar insights preditivos que fortalecem a robustez técnica e a credibilidade de sistemas de certificação (Y. Li et al., 2025).</w:t>
      </w:r>
    </w:p>
    <w:p w14:paraId="357331D2" w14:textId="77777777" w:rsidR="00FE7890" w:rsidRDefault="00000000">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 (Ramos et al., 2025). As técnicas de aprendizado de máquina, incluindo algoritmos de classificação supervisionada como Random Forest e </w:t>
      </w:r>
      <w:proofErr w:type="spellStart"/>
      <w:r>
        <w:t>Support</w:t>
      </w:r>
      <w:proofErr w:type="spellEnd"/>
      <w:r>
        <w:t xml:space="preserve"> Vector </w:t>
      </w:r>
      <w:proofErr w:type="spellStart"/>
      <w:r>
        <w:t>Machines</w:t>
      </w:r>
      <w:proofErr w:type="spellEnd"/>
      <w:r>
        <w:t xml:space="preserve"> (</w:t>
      </w:r>
      <w:proofErr w:type="spellStart"/>
      <w:r>
        <w:t>Mohammadi</w:t>
      </w:r>
      <w:proofErr w:type="spellEnd"/>
      <w:r>
        <w:t xml:space="preserve"> et al., 2024; </w:t>
      </w:r>
      <w:proofErr w:type="spellStart"/>
      <w:r>
        <w:t>Xu</w:t>
      </w:r>
      <w:proofErr w:type="spellEnd"/>
      <w:r>
        <w:t xml:space="preserve"> et al., 2021), redes neurais profundas, e métodos </w:t>
      </w:r>
      <w:proofErr w:type="spellStart"/>
      <w:r>
        <w:t>quimiométricos</w:t>
      </w:r>
      <w:proofErr w:type="spellEnd"/>
      <w:r>
        <w:t xml:space="preserve"> especializados como Análise de Componentes Principais (PCA) e Análise Discriminante por Mínimos Quadrados Parciais (PLS-DA) (</w:t>
      </w:r>
      <w:proofErr w:type="spellStart"/>
      <w:r>
        <w:t>Rebiai</w:t>
      </w:r>
      <w:proofErr w:type="spellEnd"/>
      <w:r>
        <w:t xml:space="preserve"> et al., 2022), têm sido empregadas para resolver desafios críticos na gestão operacional de Indicações Geográficas. Essas aplicações abrangem não apenas autenticação técnica de produtos e detecção de adulterações (Y. Li et al., 2025; </w:t>
      </w:r>
      <w:proofErr w:type="spellStart"/>
      <w:r>
        <w:t>Ratnasekhar</w:t>
      </w:r>
      <w:proofErr w:type="spellEnd"/>
      <w:r>
        <w:t xml:space="preserve"> et al., 2025), mas também caracterização e discriminação automática de </w:t>
      </w:r>
      <w:r>
        <w:lastRenderedPageBreak/>
        <w:t xml:space="preserve">produtos com base em suas propriedades físico-químicas, sensoriais e isotópicas (Mara et al., 2024), rastreabilidade e verificação de origem com integração de tecnologias blockchain (Wang et al., 2025), predição contínua de qualidade para conformidade certificadora (Z. Zhang, 2024), e identificação computacional de marcadores territoriais (geoquímicos, bioquímicos, microbiológicos) que fundamentam e comprovam a singularidade geográfica de produtos (J. Li et al., 2025; Ramos et al., 2025). Estes marcadores territoriais, quando identificados por algoritmos de ML, constituem evidência científica robusta para alegações de autenticidade, fortalecendo a posição jurídica e comercial de titulares de </w:t>
      </w:r>
      <w:proofErr w:type="spellStart"/>
      <w:r>
        <w:t>IGs</w:t>
      </w:r>
      <w:proofErr w:type="spellEnd"/>
      <w:r>
        <w:t xml:space="preserve"> frente a </w:t>
      </w:r>
      <w:proofErr w:type="spellStart"/>
      <w:r>
        <w:t>contrafactores</w:t>
      </w:r>
      <w:proofErr w:type="spellEnd"/>
      <w:r>
        <w:t xml:space="preserve"> e fraudadores.</w:t>
      </w:r>
    </w:p>
    <w:p w14:paraId="357331D3" w14:textId="77777777" w:rsidR="00FE7890" w:rsidRDefault="00000000">
      <w:pPr>
        <w:pStyle w:val="Corpodetexto"/>
      </w:pPr>
      <w:r>
        <w:t>O Aprendizado de Máquina em contextos de ativos intangíveis e propriedade intelectual territorial desempenha papel estratégico ao modelar interações complexas entre variáveis ambientais multidimensionais e características produtivas localizadas (</w:t>
      </w:r>
      <w:proofErr w:type="spellStart"/>
      <w:r>
        <w:t>Vogelstein</w:t>
      </w:r>
      <w:proofErr w:type="spellEnd"/>
      <w:r>
        <w:t xml:space="preserve"> et al., 2021). No aprendizado supervisionado, algoritmos são treinados em dados rotulados coletados de amostras autênticas, aprendendo a prever categorias de origem ou qualidade com base em um conjunto de variáveis de entrada multivariadas (R. C. Chen et al., 2020). A seleção automática de variáveis é otimizada por técnicas de redução dimensional (PCA, KPCA) e feature </w:t>
      </w:r>
      <w:proofErr w:type="spellStart"/>
      <w:r>
        <w:t>selection</w:t>
      </w:r>
      <w:proofErr w:type="spellEnd"/>
      <w:r>
        <w:t xml:space="preserve"> (</w:t>
      </w:r>
      <w:proofErr w:type="spellStart"/>
      <w:r>
        <w:t>Boruta</w:t>
      </w:r>
      <w:proofErr w:type="spellEnd"/>
      <w:r>
        <w:t xml:space="preserve">, Random Forest RFE), que eliminam redundâncias e priorizam variáveis de maior relevância discriminativa para o fenômeno estudado, minimizando o risco de </w:t>
      </w:r>
      <w:proofErr w:type="spellStart"/>
      <w:r>
        <w:t>sobreajuste</w:t>
      </w:r>
      <w:proofErr w:type="spellEnd"/>
      <w:r>
        <w:t xml:space="preserve"> do modelo e mantendo a interpretabilidade necessária para justificativa técnica e regulatória (</w:t>
      </w:r>
      <w:proofErr w:type="spellStart"/>
      <w:r>
        <w:t>Iranzad</w:t>
      </w:r>
      <w:proofErr w:type="spellEnd"/>
      <w:r>
        <w:t xml:space="preserve"> &amp; Liu, 2025; Malik et al., 2023; Salam et al., 2021). Métodos como Random Forest e SVM não apenas identificam variáveis críticas para diferenciação de origem, mas também hierarquizam sua importância relativa, fornecendo insights científicos sobre a influência de cada variável (composição elementar, perfil </w:t>
      </w:r>
      <w:proofErr w:type="spellStart"/>
      <w:r>
        <w:t>metabolômico</w:t>
      </w:r>
      <w:proofErr w:type="spellEnd"/>
      <w:r>
        <w:t>, assinatura isotópica) no contexto de autenticação e certificação de produtos com Indicação Geográfica (</w:t>
      </w:r>
      <w:proofErr w:type="spellStart"/>
      <w:r>
        <w:t>Effrosynidis</w:t>
      </w:r>
      <w:proofErr w:type="spellEnd"/>
      <w:r>
        <w:t xml:space="preserve"> &amp; </w:t>
      </w:r>
      <w:proofErr w:type="spellStart"/>
      <w:r>
        <w:t>Arampatzis</w:t>
      </w:r>
      <w:proofErr w:type="spellEnd"/>
      <w:r>
        <w:t xml:space="preserve">, 2021; </w:t>
      </w:r>
      <w:proofErr w:type="spellStart"/>
      <w:r>
        <w:t>Loyal</w:t>
      </w:r>
      <w:proofErr w:type="spellEnd"/>
      <w:r>
        <w:t xml:space="preserve"> et al., 2022).</w:t>
      </w:r>
    </w:p>
    <w:p w14:paraId="357331D4" w14:textId="77777777" w:rsidR="00FE7890" w:rsidRDefault="00000000">
      <w:pPr>
        <w:pStyle w:val="Corpodetexto"/>
      </w:pPr>
      <w:r>
        <w:t>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14:paraId="357331D5" w14:textId="77777777" w:rsidR="00FE7890" w:rsidRDefault="00000000">
      <w:pPr>
        <w:pStyle w:val="Corpodetexto"/>
      </w:pPr>
      <w:r>
        <w:t>Esta revisão de escopo busca mapear sistematicamente as aplicações de Machine Learning em Indicações Geográficas, utilizando o framework PCC (</w:t>
      </w:r>
      <w:proofErr w:type="spellStart"/>
      <w:r>
        <w:rPr>
          <w:i/>
          <w:iCs/>
        </w:rPr>
        <w:t>Population</w:t>
      </w:r>
      <w:proofErr w:type="spellEnd"/>
      <w:r>
        <w:rPr>
          <w:i/>
          <w:iCs/>
        </w:rPr>
        <w:t xml:space="preserve">, Concept, </w:t>
      </w:r>
      <w:proofErr w:type="spellStart"/>
      <w:r>
        <w:rPr>
          <w:i/>
          <w:iCs/>
        </w:rPr>
        <w:t>Context</w:t>
      </w:r>
      <w:proofErr w:type="spellEnd"/>
      <w:r>
        <w:t xml:space="preserve">) para identificar e sintetizar evidências científicas sobre a integração entre Machine Learning e aspectos territoriais de Indicações Geográficas. </w:t>
      </w:r>
      <w:proofErr w:type="spellStart"/>
      <w:r>
        <w:t>Hipotiza-se</w:t>
      </w:r>
      <w:proofErr w:type="spellEnd"/>
      <w:r>
        <w:t xml:space="preserve"> que as técnicas de Aprendizado de Máquina têm sido empregadas para apoiar </w:t>
      </w:r>
      <w:r>
        <w:lastRenderedPageBreak/>
        <w:t>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p w14:paraId="357331D6" w14:textId="77777777" w:rsidR="00FE7890" w:rsidRDefault="00000000">
      <w:pPr>
        <w:pStyle w:val="Ttulo1"/>
      </w:pPr>
      <w:bookmarkStart w:id="2" w:name="materiais-e-métodos"/>
      <w:bookmarkEnd w:id="1"/>
      <w:r>
        <w:t>2. Materiais e Métodos</w:t>
      </w:r>
    </w:p>
    <w:p w14:paraId="357331D7" w14:textId="77777777" w:rsidR="00FE7890" w:rsidRDefault="00000000">
      <w:r>
        <w:t>Esta revisão de escopo segue as diretrizes da extensão PRISMA-</w:t>
      </w:r>
      <w:proofErr w:type="spellStart"/>
      <w:r>
        <w:t>ScR</w:t>
      </w:r>
      <w:proofErr w:type="spellEnd"/>
      <w:r>
        <w:t xml:space="preserve"> (</w:t>
      </w:r>
      <w:proofErr w:type="spellStart"/>
      <w:r>
        <w:rPr>
          <w:i/>
          <w:iCs/>
        </w:rPr>
        <w:t>Preferred</w:t>
      </w:r>
      <w:proofErr w:type="spellEnd"/>
      <w:r>
        <w:rPr>
          <w:i/>
          <w:iCs/>
        </w:rPr>
        <w:t xml:space="preserve"> </w:t>
      </w:r>
      <w:proofErr w:type="spellStart"/>
      <w:r>
        <w:rPr>
          <w:i/>
          <w:iCs/>
        </w:rPr>
        <w:t>Reporting</w:t>
      </w:r>
      <w:proofErr w:type="spellEnd"/>
      <w:r>
        <w:rPr>
          <w:i/>
          <w:iCs/>
        </w:rPr>
        <w:t xml:space="preserve"> </w:t>
      </w:r>
      <w:proofErr w:type="spellStart"/>
      <w:r>
        <w:rPr>
          <w:i/>
          <w:iCs/>
        </w:rPr>
        <w:t>Items</w:t>
      </w:r>
      <w:proofErr w:type="spellEnd"/>
      <w:r>
        <w:rPr>
          <w:i/>
          <w:iCs/>
        </w:rPr>
        <w:t xml:space="preserve"> for </w:t>
      </w:r>
      <w:proofErr w:type="spellStart"/>
      <w:r>
        <w:rPr>
          <w:i/>
          <w:iCs/>
        </w:rPr>
        <w:t>Systematic</w:t>
      </w:r>
      <w:proofErr w:type="spellEnd"/>
      <w:r>
        <w:rPr>
          <w:i/>
          <w:iCs/>
        </w:rPr>
        <w:t xml:space="preserve"> Reviews </w:t>
      </w:r>
      <w:proofErr w:type="spellStart"/>
      <w:r>
        <w:rPr>
          <w:i/>
          <w:iCs/>
        </w:rPr>
        <w:t>and</w:t>
      </w:r>
      <w:proofErr w:type="spellEnd"/>
      <w:r>
        <w:rPr>
          <w:i/>
          <w:iCs/>
        </w:rPr>
        <w:t xml:space="preserve"> Meta-</w:t>
      </w:r>
      <w:proofErr w:type="spellStart"/>
      <w:r>
        <w:rPr>
          <w:i/>
          <w:iCs/>
        </w:rPr>
        <w:t>Analyses</w:t>
      </w:r>
      <w:proofErr w:type="spellEnd"/>
      <w:r>
        <w:rPr>
          <w:i/>
          <w:iCs/>
        </w:rPr>
        <w:t xml:space="preserve"> </w:t>
      </w:r>
      <w:proofErr w:type="spellStart"/>
      <w:r>
        <w:rPr>
          <w:i/>
          <w:iCs/>
        </w:rPr>
        <w:t>extension</w:t>
      </w:r>
      <w:proofErr w:type="spellEnd"/>
      <w:r>
        <w:rPr>
          <w:i/>
          <w:iCs/>
        </w:rPr>
        <w:t xml:space="preserve"> for </w:t>
      </w:r>
      <w:proofErr w:type="spellStart"/>
      <w:r>
        <w:rPr>
          <w:i/>
          <w:iCs/>
        </w:rPr>
        <w:t>Scoping</w:t>
      </w:r>
      <w:proofErr w:type="spellEnd"/>
      <w:r>
        <w:rPr>
          <w:i/>
          <w:iCs/>
        </w:rPr>
        <w:t xml:space="preserve"> Reviews</w:t>
      </w:r>
      <w:r>
        <w:t>) para garantir transparência e reprodutibilidade metodológica. O protocolo foi registrado no Open Science Framework, facilitando o acesso público e a replicabilidade.</w:t>
      </w:r>
    </w:p>
    <w:p w14:paraId="357331D8" w14:textId="77777777" w:rsidR="00FE7890" w:rsidRDefault="00000000">
      <w:pPr>
        <w:pStyle w:val="Ttulo2"/>
      </w:pPr>
      <w:bookmarkStart w:id="3" w:name="questão-de-pesquisa"/>
      <w:r>
        <w:t>2.1 Questão de Pesquisa</w:t>
      </w:r>
    </w:p>
    <w:p w14:paraId="357331D9" w14:textId="77777777" w:rsidR="00FE7890" w:rsidRDefault="00000000">
      <w:r>
        <w:t>O estudo foi estruturado utilizando o framework PCC (</w:t>
      </w:r>
      <w:proofErr w:type="spellStart"/>
      <w:r>
        <w:rPr>
          <w:i/>
          <w:iCs/>
        </w:rPr>
        <w:t>Population</w:t>
      </w:r>
      <w:proofErr w:type="spellEnd"/>
      <w:r>
        <w:rPr>
          <w:i/>
          <w:iCs/>
        </w:rPr>
        <w:t xml:space="preserve">, Concept, </w:t>
      </w:r>
      <w:proofErr w:type="spellStart"/>
      <w:r>
        <w:rPr>
          <w:i/>
          <w:iCs/>
        </w:rPr>
        <w:t>Context</w:t>
      </w:r>
      <w:proofErr w:type="spellEnd"/>
      <w:r>
        <w:t xml:space="preserve">), que fundamenta a questão de pesquisa: </w:t>
      </w:r>
      <w:r>
        <w:rPr>
          <w:i/>
          <w:iCs/>
        </w:rPr>
        <w:t>Como técnicas de Aprendizado de Máquina têm sido aplicadas para autenticação, avaliação e apoio à decisão em sistemas de Indicações Geográficas?</w:t>
      </w:r>
    </w:p>
    <w:tbl>
      <w:tblPr>
        <w:tblStyle w:val="Table"/>
        <w:tblW w:w="5000" w:type="pct"/>
        <w:tblLayout w:type="fixed"/>
        <w:tblLook w:val="0020" w:firstRow="1" w:lastRow="0" w:firstColumn="0" w:lastColumn="0" w:noHBand="0" w:noVBand="0"/>
      </w:tblPr>
      <w:tblGrid>
        <w:gridCol w:w="541"/>
        <w:gridCol w:w="8297"/>
      </w:tblGrid>
      <w:tr w:rsidR="00FE7890" w14:paraId="357331DC" w14:textId="77777777" w:rsidTr="00FE7890">
        <w:trPr>
          <w:tblHeader/>
        </w:trPr>
        <w:tc>
          <w:tcPr>
            <w:tcW w:w="485" w:type="dxa"/>
          </w:tcPr>
          <w:p w14:paraId="357331DA" w14:textId="77777777" w:rsidR="00FE7890" w:rsidRDefault="00000000">
            <w:pPr>
              <w:jc w:val="left"/>
            </w:pPr>
            <w:r>
              <w:t>Elemento</w:t>
            </w:r>
          </w:p>
        </w:tc>
        <w:tc>
          <w:tcPr>
            <w:tcW w:w="7434" w:type="dxa"/>
          </w:tcPr>
          <w:p w14:paraId="357331DB" w14:textId="77777777" w:rsidR="00FE7890" w:rsidRDefault="00000000">
            <w:pPr>
              <w:jc w:val="left"/>
            </w:pPr>
            <w:r>
              <w:t>Descrição</w:t>
            </w:r>
          </w:p>
        </w:tc>
      </w:tr>
      <w:tr w:rsidR="00FE7890" w14:paraId="357331DF" w14:textId="77777777">
        <w:tc>
          <w:tcPr>
            <w:tcW w:w="485" w:type="dxa"/>
          </w:tcPr>
          <w:p w14:paraId="357331DD" w14:textId="77777777" w:rsidR="00FE7890" w:rsidRDefault="00000000">
            <w:pPr>
              <w:jc w:val="left"/>
            </w:pPr>
            <w:r>
              <w:rPr>
                <w:b/>
                <w:bCs/>
              </w:rPr>
              <w:t>P (População)</w:t>
            </w:r>
          </w:p>
        </w:tc>
        <w:tc>
          <w:tcPr>
            <w:tcW w:w="7434" w:type="dxa"/>
          </w:tcPr>
          <w:p w14:paraId="357331DE" w14:textId="77777777" w:rsidR="00FE7890" w:rsidRDefault="00000000">
            <w:pPr>
              <w:jc w:val="left"/>
            </w:pPr>
            <w:r>
              <w:t>Indicações Geográficas, Denominações de Origem e Indicações de Procedência reconhecidas nacional e internacionalmente, abrangendo produtos agroalimentares (vinhos, queijos, cafés, carnes, azeites), artesanatos e outros produtos com identidade territorial.</w:t>
            </w:r>
          </w:p>
        </w:tc>
      </w:tr>
      <w:tr w:rsidR="00FE7890" w14:paraId="357331E2" w14:textId="77777777">
        <w:tc>
          <w:tcPr>
            <w:tcW w:w="485" w:type="dxa"/>
          </w:tcPr>
          <w:p w14:paraId="357331E0" w14:textId="77777777" w:rsidR="00FE7890" w:rsidRDefault="00000000">
            <w:pPr>
              <w:jc w:val="left"/>
            </w:pPr>
            <w:r>
              <w:rPr>
                <w:b/>
                <w:bCs/>
              </w:rPr>
              <w:t>C (Conceito)</w:t>
            </w:r>
          </w:p>
        </w:tc>
        <w:tc>
          <w:tcPr>
            <w:tcW w:w="7434" w:type="dxa"/>
          </w:tcPr>
          <w:p w14:paraId="357331E1" w14:textId="77777777" w:rsidR="00FE7890" w:rsidRDefault="00000000">
            <w:pPr>
              <w:jc w:val="left"/>
            </w:pPr>
            <w:r>
              <w:t xml:space="preserve">Técnicas de Aprendizado de Máquina, Inteligência Artificial, algoritmos de classificação e predição, métodos </w:t>
            </w:r>
            <w:proofErr w:type="spellStart"/>
            <w:r>
              <w:t>quimiométricos</w:t>
            </w:r>
            <w:proofErr w:type="spellEnd"/>
            <w:r>
              <w:t>, Mineração de Dados e Processamento de Linguagem Natural aplicados a contextos de Indicações Geográficas.</w:t>
            </w:r>
          </w:p>
        </w:tc>
      </w:tr>
      <w:tr w:rsidR="00FE7890" w14:paraId="357331E5" w14:textId="77777777">
        <w:tc>
          <w:tcPr>
            <w:tcW w:w="485" w:type="dxa"/>
          </w:tcPr>
          <w:p w14:paraId="357331E3" w14:textId="77777777" w:rsidR="00FE7890" w:rsidRDefault="00000000">
            <w:pPr>
              <w:jc w:val="left"/>
            </w:pPr>
            <w:r>
              <w:rPr>
                <w:b/>
                <w:bCs/>
              </w:rPr>
              <w:t>C (Contexto)</w:t>
            </w:r>
          </w:p>
        </w:tc>
        <w:tc>
          <w:tcPr>
            <w:tcW w:w="7434" w:type="dxa"/>
          </w:tcPr>
          <w:p w14:paraId="357331E4" w14:textId="77777777" w:rsidR="00FE7890" w:rsidRDefault="00000000">
            <w:pPr>
              <w:jc w:val="left"/>
            </w:pPr>
            <w:r>
              <w:t xml:space="preserve">Autenticação de origem geográfica, avaliação de potencialidade de </w:t>
            </w:r>
            <w:proofErr w:type="spellStart"/>
            <w:r>
              <w:t>IGs</w:t>
            </w:r>
            <w:proofErr w:type="spellEnd"/>
            <w:r>
              <w:t>,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14:paraId="357331E6" w14:textId="77777777" w:rsidR="00FE7890" w:rsidRDefault="00000000">
      <w:pPr>
        <w:pStyle w:val="Corpodetexto"/>
      </w:pPr>
      <w:r>
        <w:rPr>
          <w:i/>
          <w:iCs/>
        </w:rPr>
        <w:t>Tabela 1. Estrutura da revisão de escopo segundo o framework PCC.</w:t>
      </w:r>
    </w:p>
    <w:p w14:paraId="357331E7" w14:textId="77777777" w:rsidR="00FE7890" w:rsidRDefault="00000000">
      <w:pPr>
        <w:pStyle w:val="Corpodetexto"/>
      </w:pPr>
      <w:r>
        <w:t>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p w14:paraId="357331E8" w14:textId="77777777" w:rsidR="00FE7890" w:rsidRDefault="00000000">
      <w:pPr>
        <w:pStyle w:val="Ttulo2"/>
      </w:pPr>
      <w:bookmarkStart w:id="4" w:name="fluxograma-metodológico-prisma-scr"/>
      <w:bookmarkEnd w:id="3"/>
      <w:r>
        <w:lastRenderedPageBreak/>
        <w:t>2.1.1 Fluxograma Metodológico PRISMA-</w:t>
      </w:r>
      <w:proofErr w:type="spellStart"/>
      <w:r>
        <w:t>ScR</w:t>
      </w:r>
      <w:proofErr w:type="spellEnd"/>
    </w:p>
    <w:p w14:paraId="357331E9" w14:textId="77777777" w:rsidR="00FE7890" w:rsidRDefault="00000000">
      <w:r>
        <w:t>A Figura 1 apresenta o fluxograma metodológico da revisão de escopo, estruturado em quatro fases sequenciais segundo as diretrizes PRISMA-</w:t>
      </w:r>
      <w:proofErr w:type="spellStart"/>
      <w:r>
        <w:t>ScR</w:t>
      </w:r>
      <w:proofErr w:type="spellEnd"/>
      <w:r>
        <w:t xml:space="preserve">: (1) </w:t>
      </w:r>
      <w:r>
        <w:rPr>
          <w:b/>
          <w:bCs/>
        </w:rPr>
        <w:t>Estratégia de Busca</w:t>
      </w:r>
      <w:r>
        <w:t xml:space="preserve"> nas principais bases de dados, (2) </w:t>
      </w:r>
      <w:r>
        <w:rPr>
          <w:b/>
          <w:bCs/>
        </w:rPr>
        <w:t>Filtragem Automatizada</w:t>
      </w:r>
      <w:r>
        <w:t xml:space="preserve"> com sistema de pontuação ponderada, (3) </w:t>
      </w:r>
      <w:r>
        <w:rPr>
          <w:b/>
          <w:bCs/>
        </w:rPr>
        <w:t>Análise Manual de Qualidade</w:t>
      </w:r>
      <w:r>
        <w:t xml:space="preserve"> com avaliação multidisciplinar, e (4) </w:t>
      </w:r>
      <w:r>
        <w:rPr>
          <w:b/>
          <w:bCs/>
        </w:rPr>
        <w:t>Análise Bibliométrica e Síntese Qualitativa</w:t>
      </w:r>
      <w:r>
        <w:t xml:space="preserve"> integrando metodologias quantitativas e documentais. O fluxograma detalha o percurso metodológico desde a identificação de registros até a síntese final com recomendações para implementação de Machine Learning em sistemas de Indicações Geográficas.</w:t>
      </w:r>
    </w:p>
    <w:p w14:paraId="357331EA" w14:textId="77777777" w:rsidR="00FE7890" w:rsidRDefault="00000000" w:rsidP="00B63B58">
      <w:pPr>
        <w:jc w:val="center"/>
      </w:pPr>
      <w:bookmarkStart w:id="5" w:name="fig:ml_indicacoes"/>
      <w:r>
        <w:rPr>
          <w:noProof/>
        </w:rPr>
        <w:lastRenderedPageBreak/>
        <w:drawing>
          <wp:inline distT="0" distB="0" distL="0" distR="0" wp14:anchorId="3573338E" wp14:editId="65C382A9">
            <wp:extent cx="3213100" cy="7889240"/>
            <wp:effectExtent l="0" t="0" r="6350" b="0"/>
            <wp:docPr id="21"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22" name="Picture" descr="2-FIGURAS/ml_indicacoes_geograficas.png"/>
                    <pic:cNvPicPr>
                      <a:picLocks noChangeAspect="1" noChangeArrowheads="1"/>
                    </pic:cNvPicPr>
                  </pic:nvPicPr>
                  <pic:blipFill>
                    <a:blip r:embed="rId5"/>
                    <a:stretch>
                      <a:fillRect/>
                    </a:stretch>
                  </pic:blipFill>
                  <pic:spPr bwMode="auto">
                    <a:xfrm>
                      <a:off x="0" y="0"/>
                      <a:ext cx="3213143" cy="7889346"/>
                    </a:xfrm>
                    <a:prstGeom prst="rect">
                      <a:avLst/>
                    </a:prstGeom>
                    <a:noFill/>
                    <a:ln w="9525">
                      <a:noFill/>
                      <a:headEnd/>
                      <a:tailEnd/>
                    </a:ln>
                  </pic:spPr>
                </pic:pic>
              </a:graphicData>
            </a:graphic>
          </wp:inline>
        </w:drawing>
      </w:r>
    </w:p>
    <w:p w14:paraId="357331EB" w14:textId="77777777" w:rsidR="00FE7890" w:rsidRDefault="00000000">
      <w:r>
        <w:t>Fluxograma da revisão de Escopo sobre Aplicações de Machine Learning em Indicações Geográficas.</w:t>
      </w:r>
    </w:p>
    <w:p w14:paraId="357331EC" w14:textId="77777777" w:rsidR="00FE7890" w:rsidRDefault="00000000">
      <w:pPr>
        <w:pStyle w:val="Ttulo2"/>
      </w:pPr>
      <w:bookmarkStart w:id="6" w:name="X1939699e69c4ebc2787c0544392a7c3067c801c"/>
      <w:bookmarkEnd w:id="4"/>
      <w:bookmarkEnd w:id="5"/>
      <w:r>
        <w:lastRenderedPageBreak/>
        <w:t>2.3 Estratégia de Busca e Extração dos Estudos</w:t>
      </w:r>
    </w:p>
    <w:p w14:paraId="357331ED" w14:textId="77777777" w:rsidR="00FE7890" w:rsidRDefault="00000000">
      <w:r>
        <w:t xml:space="preserve">A busca foi realizada nas bases de dados científicas </w:t>
      </w:r>
      <w:r>
        <w:rPr>
          <w:b/>
          <w:bCs/>
        </w:rPr>
        <w:t>Scopus</w:t>
      </w:r>
      <w:r>
        <w:t xml:space="preserve"> (Elsevier) e </w:t>
      </w:r>
      <w:r>
        <w:rPr>
          <w:b/>
          <w:bCs/>
        </w:rPr>
        <w:t>Web of Science</w:t>
      </w:r>
      <w:r>
        <w:t xml:space="preserve"> (</w:t>
      </w:r>
      <w:proofErr w:type="spellStart"/>
      <w:r>
        <w:t>Clarivate</w:t>
      </w:r>
      <w:proofErr w:type="spellEnd"/>
      <w:r>
        <w:t xml:space="preserve"> </w:t>
      </w:r>
      <w:proofErr w:type="spellStart"/>
      <w:r>
        <w:t>Analytics</w:t>
      </w:r>
      <w:proofErr w:type="spellEnd"/>
      <w:r>
        <w:t>). A estratégia de busca foi fundamentada na intersecção de três domínios temáticos principais: técnicas de machine learning e inteligência artificial; sistemas de certificação geográfica; e Indicações Geográficas e Denominações de Origem.</w:t>
      </w:r>
    </w:p>
    <w:p w14:paraId="357331EE" w14:textId="77777777" w:rsidR="00FE7890" w:rsidRPr="00B63B58" w:rsidRDefault="00000000">
      <w:pPr>
        <w:pStyle w:val="Corpodetexto"/>
        <w:rPr>
          <w:lang w:val="en-US"/>
        </w:rPr>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w:t>
      </w:r>
      <w:proofErr w:type="gramStart"/>
      <w:r w:rsidRPr="00B63B58">
        <w:rPr>
          <w:lang w:val="en-US"/>
        </w:rPr>
        <w:t>A</w:t>
      </w:r>
      <w:proofErr w:type="gramEnd"/>
      <w:r w:rsidRPr="00B63B58">
        <w:rPr>
          <w:lang w:val="en-US"/>
        </w:rPr>
        <w:t xml:space="preserve"> </w:t>
      </w:r>
      <w:proofErr w:type="spellStart"/>
      <w:r w:rsidRPr="00B63B58">
        <w:rPr>
          <w:lang w:val="en-US"/>
        </w:rPr>
        <w:t>estratégia</w:t>
      </w:r>
      <w:proofErr w:type="spellEnd"/>
      <w:r w:rsidRPr="00B63B58">
        <w:rPr>
          <w:lang w:val="en-US"/>
        </w:rPr>
        <w:t xml:space="preserve"> de </w:t>
      </w:r>
      <w:proofErr w:type="spellStart"/>
      <w:r w:rsidRPr="00B63B58">
        <w:rPr>
          <w:lang w:val="en-US"/>
        </w:rPr>
        <w:t>busca</w:t>
      </w:r>
      <w:proofErr w:type="spellEnd"/>
      <w:r w:rsidRPr="00B63B58">
        <w:rPr>
          <w:lang w:val="en-US"/>
        </w:rPr>
        <w:t xml:space="preserve"> </w:t>
      </w:r>
      <w:proofErr w:type="spellStart"/>
      <w:r w:rsidRPr="00B63B58">
        <w:rPr>
          <w:lang w:val="en-US"/>
        </w:rPr>
        <w:t>foi</w:t>
      </w:r>
      <w:proofErr w:type="spellEnd"/>
      <w:r w:rsidRPr="00B63B58">
        <w:rPr>
          <w:lang w:val="en-US"/>
        </w:rPr>
        <w:t xml:space="preserve"> </w:t>
      </w:r>
      <w:proofErr w:type="spellStart"/>
      <w:r w:rsidRPr="00B63B58">
        <w:rPr>
          <w:lang w:val="en-US"/>
        </w:rPr>
        <w:t>construída</w:t>
      </w:r>
      <w:proofErr w:type="spellEnd"/>
      <w:r w:rsidRPr="00B63B58">
        <w:rPr>
          <w:lang w:val="en-US"/>
        </w:rPr>
        <w:t xml:space="preserve"> </w:t>
      </w:r>
      <w:proofErr w:type="spellStart"/>
      <w:r w:rsidRPr="00B63B58">
        <w:rPr>
          <w:lang w:val="en-US"/>
        </w:rPr>
        <w:t>seguindo</w:t>
      </w:r>
      <w:proofErr w:type="spellEnd"/>
      <w:r w:rsidRPr="00B63B58">
        <w:rPr>
          <w:lang w:val="en-US"/>
        </w:rPr>
        <w:t xml:space="preserve"> a </w:t>
      </w:r>
      <w:proofErr w:type="spellStart"/>
      <w:r w:rsidRPr="00B63B58">
        <w:rPr>
          <w:lang w:val="en-US"/>
        </w:rPr>
        <w:t>lógica</w:t>
      </w:r>
      <w:proofErr w:type="spellEnd"/>
      <w:r w:rsidRPr="00B63B58">
        <w:rPr>
          <w:lang w:val="en-US"/>
        </w:rPr>
        <w:t>:</w:t>
      </w:r>
    </w:p>
    <w:p w14:paraId="357331EF" w14:textId="77777777" w:rsidR="00FE7890" w:rsidRPr="00B63B58" w:rsidRDefault="00000000">
      <w:pPr>
        <w:pStyle w:val="Corpodetexto"/>
        <w:rPr>
          <w:lang w:val="en-US"/>
        </w:rPr>
      </w:pPr>
      <w:r w:rsidRPr="00B63B58">
        <w:rPr>
          <w:i/>
          <w:iCs/>
          <w:lang w:val="en-U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rsidRPr="00B63B58">
        <w:rPr>
          <w:lang w:val="en-US"/>
        </w:rPr>
        <w:t>.</w:t>
      </w:r>
    </w:p>
    <w:p w14:paraId="357331F0" w14:textId="77777777" w:rsidR="00FE7890" w:rsidRDefault="00000000">
      <w:pPr>
        <w:pStyle w:val="Corpodetexto"/>
      </w:pPr>
      <w:r>
        <w:t>Os critérios de inclusão contemplaram os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p w14:paraId="357331F1" w14:textId="77777777" w:rsidR="00FE7890" w:rsidRDefault="00000000">
      <w:pPr>
        <w:pStyle w:val="Ttulo2"/>
      </w:pPr>
      <w:bookmarkStart w:id="7" w:name="X19c91b0939485640128d6824b4fe0a12aa5aa83"/>
      <w:bookmarkEnd w:id="6"/>
      <w:r>
        <w:t>2.4 Primeira Fase: Sistema de Filtragem Automatizada por Relevância Temática</w:t>
      </w:r>
    </w:p>
    <w:p w14:paraId="357331F2" w14:textId="77777777" w:rsidR="00FE7890" w:rsidRDefault="00000000">
      <w:pPr>
        <w:pStyle w:val="Ttulo3"/>
      </w:pPr>
      <w:bookmarkStart w:id="8" w:name="algoritmo-de-pontuação-ponderada"/>
      <w:r>
        <w:t>2.4.1 Algoritmo de Pontuação Ponderada</w:t>
      </w:r>
    </w:p>
    <w:p w14:paraId="357331F3" w14:textId="77777777" w:rsidR="00FE7890" w:rsidRDefault="00000000">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w:t>
      </w:r>
      <w:proofErr w:type="spellStart"/>
      <w:r>
        <w:t>spaCy</w:t>
      </w:r>
      <w:proofErr w:type="spellEnd"/>
      <w:r>
        <w:t>), operou através de um sistema de pontuação ponderada que avaliou a relevância temática de cada referência bibliográfica com base na presença e localização de descritores específicos.</w:t>
      </w:r>
    </w:p>
    <w:p w14:paraId="357331F4" w14:textId="77777777" w:rsidR="00FE7890" w:rsidRDefault="00000000">
      <w:pPr>
        <w:pStyle w:val="Corpodetexto"/>
      </w:pPr>
      <w:r>
        <w:t>A pontuação de cada artigo foi calculada através da seguinte equação:</w:t>
      </w:r>
    </w:p>
    <w:p w14:paraId="357331F5" w14:textId="77777777" w:rsidR="00FE7890" w:rsidRDefault="00000000">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357331F6" w14:textId="77777777" w:rsidR="00FE7890" w:rsidRDefault="00000000">
      <w:r>
        <w:lastRenderedPageBreak/>
        <w:t>Onde:</w:t>
      </w:r>
    </w:p>
    <w:p w14:paraId="357331F7" w14:textId="77777777" w:rsidR="00FE7890" w:rsidRDefault="00000000">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357331F8" w14:textId="77777777" w:rsidR="00FE7890" w:rsidRDefault="00000000">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357331F9" w14:textId="77777777" w:rsidR="00FE7890" w:rsidRDefault="00000000">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do termo (1.5 para título, 1.2 para palavras-chave, 1.0 para abstract)</w:t>
      </w:r>
    </w:p>
    <w:p w14:paraId="357331FA" w14:textId="77777777" w:rsidR="00FE7890" w:rsidRDefault="00000000">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357331FB" w14:textId="77777777" w:rsidR="00FE7890" w:rsidRDefault="00000000">
      <w:pPr>
        <w:numPr>
          <w:ilvl w:val="0"/>
          <w:numId w:val="25"/>
        </w:numPr>
      </w:pPr>
      <m:oMath>
        <m:r>
          <w:rPr>
            <w:rFonts w:ascii="Cambria Math" w:hAnsi="Cambria Math"/>
          </w:rPr>
          <m:t>n</m:t>
        </m:r>
      </m:oMath>
      <w:r>
        <w:t xml:space="preserve"> = número total de termos avaliados</w:t>
      </w:r>
    </w:p>
    <w:p w14:paraId="357331FC" w14:textId="77777777" w:rsidR="00FE7890" w:rsidRDefault="00000000">
      <w:r>
        <w:t>O sistema de pontuação hierárquica na revisão de escopo foi estruturado conforme princípios do Método de Análise Hierárquica (AHP), que organiza critérios e termos em níveis de importância diferenciada para facilitar a avaliação e seleção dos conteúdos mais pertinentes ao tema investigado (</w:t>
      </w:r>
      <w:proofErr w:type="spellStart"/>
      <w:r>
        <w:t>Saaty</w:t>
      </w:r>
      <w:proofErr w:type="spellEnd"/>
      <w:r>
        <w:t xml:space="preserve">, 1991). A metodologia deste trabalho adotou cinco categorias hierárquicas de termos, cada uma com pesos específicos que refletem sua importância para o objetivo da revisão, a saber: os </w:t>
      </w:r>
      <w:r>
        <w:rPr>
          <w:b/>
          <w:bCs/>
        </w:rPr>
        <w:t>Termos Prioritários</w:t>
      </w:r>
      <w:r>
        <w:t xml:space="preserve">, com peso de cinco pontos, representam o núcleo conceitual da pesquisa, incluindo palavras-chave centrais como </w:t>
      </w:r>
      <w:proofErr w:type="spellStart"/>
      <w:r>
        <w:rPr>
          <w:i/>
          <w:iCs/>
        </w:rPr>
        <w:t>geographical</w:t>
      </w:r>
      <w:proofErr w:type="spellEnd"/>
      <w:r>
        <w:rPr>
          <w:i/>
          <w:iCs/>
        </w:rPr>
        <w:t xml:space="preserve"> </w:t>
      </w:r>
      <w:proofErr w:type="spellStart"/>
      <w:r>
        <w:rPr>
          <w:i/>
          <w:iCs/>
        </w:rPr>
        <w:t>indications</w:t>
      </w:r>
      <w:proofErr w:type="spellEnd"/>
      <w:r>
        <w:rPr>
          <w:i/>
          <w:iCs/>
        </w:rPr>
        <w:t xml:space="preserve">, </w:t>
      </w:r>
      <w:proofErr w:type="spellStart"/>
      <w:r>
        <w:rPr>
          <w:i/>
          <w:iCs/>
        </w:rPr>
        <w:t>denominations</w:t>
      </w:r>
      <w:proofErr w:type="spellEnd"/>
      <w:r>
        <w:rPr>
          <w:i/>
          <w:iCs/>
        </w:rPr>
        <w:t xml:space="preserve"> of </w:t>
      </w:r>
      <w:proofErr w:type="spellStart"/>
      <w:r>
        <w:rPr>
          <w:i/>
          <w:iCs/>
        </w:rPr>
        <w:t>origin</w:t>
      </w:r>
      <w:proofErr w:type="spellEnd"/>
      <w:r>
        <w:rPr>
          <w:i/>
          <w:iCs/>
        </w:rPr>
        <w:t xml:space="preserve">, </w:t>
      </w:r>
      <w:proofErr w:type="spellStart"/>
      <w:r>
        <w:rPr>
          <w:i/>
          <w:iCs/>
        </w:rPr>
        <w:t>appellations</w:t>
      </w:r>
      <w:proofErr w:type="spellEnd"/>
      <w:r>
        <w:rPr>
          <w:i/>
          <w:iCs/>
        </w:rPr>
        <w:t xml:space="preserve"> of </w:t>
      </w:r>
      <w:proofErr w:type="spellStart"/>
      <w:r>
        <w:rPr>
          <w:i/>
          <w:iCs/>
        </w:rPr>
        <w:t>origin</w:t>
      </w:r>
      <w:proofErr w:type="spellEnd"/>
      <w:r>
        <w:rPr>
          <w:i/>
          <w:iCs/>
        </w:rPr>
        <w:t xml:space="preserve">, </w:t>
      </w:r>
      <w:proofErr w:type="spellStart"/>
      <w:r>
        <w:rPr>
          <w:i/>
          <w:iCs/>
        </w:rPr>
        <w:t>protected</w:t>
      </w:r>
      <w:proofErr w:type="spellEnd"/>
      <w:r>
        <w:rPr>
          <w:i/>
          <w:iCs/>
        </w:rPr>
        <w:t xml:space="preserve"> </w:t>
      </w:r>
      <w:proofErr w:type="spellStart"/>
      <w:r>
        <w:rPr>
          <w:i/>
          <w:iCs/>
        </w:rPr>
        <w:t>designations</w:t>
      </w:r>
      <w:proofErr w:type="spellEnd"/>
      <w:r>
        <w:rPr>
          <w:i/>
          <w:iCs/>
        </w:rPr>
        <w:t xml:space="preserve"> of </w:t>
      </w:r>
      <w:proofErr w:type="spellStart"/>
      <w:r>
        <w:rPr>
          <w:i/>
          <w:iCs/>
        </w:rPr>
        <w:t>origin</w:t>
      </w:r>
      <w:proofErr w:type="spellEnd"/>
      <w:r>
        <w:rPr>
          <w:i/>
          <w:iCs/>
        </w:rPr>
        <w:t xml:space="preserve">, </w:t>
      </w:r>
      <w:proofErr w:type="spellStart"/>
      <w:r>
        <w:rPr>
          <w:i/>
          <w:iCs/>
        </w:rPr>
        <w:t>traceability</w:t>
      </w:r>
      <w:proofErr w:type="spellEnd"/>
      <w:r>
        <w:rPr>
          <w:i/>
          <w:iCs/>
        </w:rPr>
        <w:t xml:space="preserve">, </w:t>
      </w:r>
      <w:proofErr w:type="spellStart"/>
      <w:r>
        <w:rPr>
          <w:i/>
          <w:iCs/>
        </w:rPr>
        <w:t>authentication</w:t>
      </w:r>
      <w:proofErr w:type="spellEnd"/>
      <w:r>
        <w:rPr>
          <w:i/>
          <w:iCs/>
        </w:rPr>
        <w:t xml:space="preserve">, </w:t>
      </w:r>
      <w:proofErr w:type="spellStart"/>
      <w:r>
        <w:rPr>
          <w:i/>
          <w:iCs/>
        </w:rPr>
        <w:t>quality</w:t>
      </w:r>
      <w:proofErr w:type="spellEnd"/>
      <w:r>
        <w:rPr>
          <w:i/>
          <w:iCs/>
        </w:rPr>
        <w:t xml:space="preserve"> </w:t>
      </w:r>
      <w:proofErr w:type="spellStart"/>
      <w:r>
        <w:rPr>
          <w:i/>
          <w:iCs/>
        </w:rPr>
        <w:t>control</w:t>
      </w:r>
      <w:proofErr w:type="spellEnd"/>
      <w:r>
        <w:t xml:space="preserve">, representando o núcleo conceitual da pesquisa; os </w:t>
      </w:r>
      <w:r>
        <w:rPr>
          <w:b/>
          <w:bCs/>
        </w:rPr>
        <w:t>Termos de Alta Relevância</w:t>
      </w:r>
      <w:r>
        <w:t xml:space="preserve">, com peso de três pontos, Abrangem conceitos metodológicos fundamentais para a integração tecnológica e analítica, e incluem </w:t>
      </w:r>
      <w:r>
        <w:rPr>
          <w:i/>
          <w:iCs/>
        </w:rPr>
        <w:t xml:space="preserve">machine learning, artificial intelligence, </w:t>
      </w:r>
      <w:proofErr w:type="spellStart"/>
      <w:r>
        <w:rPr>
          <w:i/>
          <w:iCs/>
        </w:rPr>
        <w:t>deep</w:t>
      </w:r>
      <w:proofErr w:type="spellEnd"/>
      <w:r>
        <w:rPr>
          <w:i/>
          <w:iCs/>
        </w:rPr>
        <w:t xml:space="preserve"> learning, neural networks, </w:t>
      </w:r>
      <w:proofErr w:type="spellStart"/>
      <w:r>
        <w:rPr>
          <w:i/>
          <w:iCs/>
        </w:rPr>
        <w:t>fraud</w:t>
      </w:r>
      <w:proofErr w:type="spellEnd"/>
      <w:r>
        <w:rPr>
          <w:i/>
          <w:iCs/>
        </w:rPr>
        <w:t xml:space="preserve"> </w:t>
      </w:r>
      <w:proofErr w:type="spellStart"/>
      <w:r>
        <w:rPr>
          <w:i/>
          <w:iCs/>
        </w:rPr>
        <w:t>detection</w:t>
      </w:r>
      <w:proofErr w:type="spellEnd"/>
      <w:r>
        <w:rPr>
          <w:i/>
          <w:iCs/>
        </w:rPr>
        <w:t xml:space="preserve">, </w:t>
      </w:r>
      <w:proofErr w:type="spellStart"/>
      <w:r>
        <w:rPr>
          <w:i/>
          <w:iCs/>
        </w:rPr>
        <w:t>geospatial</w:t>
      </w:r>
      <w:proofErr w:type="spellEnd"/>
      <w:r>
        <w:rPr>
          <w:i/>
          <w:iCs/>
        </w:rPr>
        <w:t xml:space="preserve"> </w:t>
      </w:r>
      <w:proofErr w:type="spellStart"/>
      <w:r>
        <w:rPr>
          <w:i/>
          <w:iCs/>
        </w:rPr>
        <w:t>analysis</w:t>
      </w:r>
      <w:proofErr w:type="spellEnd"/>
      <w:r>
        <w:rPr>
          <w:i/>
          <w:iCs/>
        </w:rPr>
        <w:t xml:space="preserve">, </w:t>
      </w:r>
      <w:proofErr w:type="spellStart"/>
      <w:r>
        <w:rPr>
          <w:i/>
          <w:iCs/>
        </w:rPr>
        <w:t>pattern</w:t>
      </w:r>
      <w:proofErr w:type="spellEnd"/>
      <w:r>
        <w:rPr>
          <w:i/>
          <w:iCs/>
        </w:rPr>
        <w:t xml:space="preserve"> </w:t>
      </w:r>
      <w:proofErr w:type="spellStart"/>
      <w:r>
        <w:rPr>
          <w:i/>
          <w:iCs/>
        </w:rPr>
        <w:t>recognition</w:t>
      </w:r>
      <w:proofErr w:type="spellEnd"/>
      <w:r>
        <w:t xml:space="preserve">; os </w:t>
      </w:r>
      <w:r>
        <w:rPr>
          <w:b/>
          <w:bCs/>
        </w:rPr>
        <w:t>Termos de Relevância Média</w:t>
      </w:r>
      <w:r>
        <w:t xml:space="preserve">, com peso de dois pontos, incluem temas complementares que enriquecem a pesquisa, e compreendem </w:t>
      </w:r>
      <w:proofErr w:type="spellStart"/>
      <w:r>
        <w:rPr>
          <w:i/>
          <w:iCs/>
        </w:rPr>
        <w:t>sustainability</w:t>
      </w:r>
      <w:proofErr w:type="spellEnd"/>
      <w:r>
        <w:rPr>
          <w:i/>
          <w:iCs/>
        </w:rPr>
        <w:t xml:space="preserve">, </w:t>
      </w:r>
      <w:proofErr w:type="spellStart"/>
      <w:r>
        <w:rPr>
          <w:i/>
          <w:iCs/>
        </w:rPr>
        <w:t>agriculture</w:t>
      </w:r>
      <w:proofErr w:type="spellEnd"/>
      <w:r>
        <w:rPr>
          <w:i/>
          <w:iCs/>
        </w:rPr>
        <w:t xml:space="preserve">, food </w:t>
      </w:r>
      <w:proofErr w:type="spellStart"/>
      <w:r>
        <w:rPr>
          <w:i/>
          <w:iCs/>
        </w:rPr>
        <w:t>quality</w:t>
      </w:r>
      <w:proofErr w:type="spellEnd"/>
      <w:r>
        <w:rPr>
          <w:i/>
          <w:iCs/>
        </w:rPr>
        <w:t xml:space="preserve">, </w:t>
      </w:r>
      <w:proofErr w:type="spellStart"/>
      <w:r>
        <w:rPr>
          <w:i/>
          <w:iCs/>
        </w:rPr>
        <w:t>sensory</w:t>
      </w:r>
      <w:proofErr w:type="spellEnd"/>
      <w:r>
        <w:rPr>
          <w:i/>
          <w:iCs/>
        </w:rPr>
        <w:t xml:space="preserve"> </w:t>
      </w:r>
      <w:proofErr w:type="spellStart"/>
      <w:r>
        <w:rPr>
          <w:i/>
          <w:iCs/>
        </w:rPr>
        <w:t>analysis</w:t>
      </w:r>
      <w:proofErr w:type="spellEnd"/>
      <w:r>
        <w:rPr>
          <w:i/>
          <w:iCs/>
        </w:rPr>
        <w:t xml:space="preserve">, </w:t>
      </w:r>
      <w:proofErr w:type="spellStart"/>
      <w:r>
        <w:rPr>
          <w:i/>
          <w:iCs/>
        </w:rPr>
        <w:t>chemometrics</w:t>
      </w:r>
      <w:proofErr w:type="spellEnd"/>
      <w:r>
        <w:rPr>
          <w:i/>
          <w:iCs/>
        </w:rPr>
        <w:t xml:space="preserve">, data mining, </w:t>
      </w:r>
      <w:proofErr w:type="spellStart"/>
      <w:r>
        <w:rPr>
          <w:i/>
          <w:iCs/>
        </w:rPr>
        <w:t>classification</w:t>
      </w:r>
      <w:proofErr w:type="spellEnd"/>
      <w:r>
        <w:t xml:space="preserve">; os </w:t>
      </w:r>
      <w:r>
        <w:rPr>
          <w:b/>
          <w:bCs/>
        </w:rPr>
        <w:t>Termos de Contexto</w:t>
      </w:r>
      <w:r>
        <w:t xml:space="preserve">, com peso de um ponto, são termos que indicam o ambiente ou aplicação potencial da pesquisa, e incluem </w:t>
      </w:r>
      <w:r>
        <w:rPr>
          <w:i/>
          <w:iCs/>
        </w:rPr>
        <w:t xml:space="preserve">regional </w:t>
      </w:r>
      <w:proofErr w:type="spellStart"/>
      <w:r>
        <w:rPr>
          <w:i/>
          <w:iCs/>
        </w:rPr>
        <w:t>products</w:t>
      </w:r>
      <w:proofErr w:type="spellEnd"/>
      <w:r>
        <w:rPr>
          <w:i/>
          <w:iCs/>
        </w:rPr>
        <w:t xml:space="preserve">, </w:t>
      </w:r>
      <w:proofErr w:type="spellStart"/>
      <w:r>
        <w:rPr>
          <w:i/>
          <w:iCs/>
        </w:rPr>
        <w:t>origin</w:t>
      </w:r>
      <w:proofErr w:type="spellEnd"/>
      <w:r>
        <w:rPr>
          <w:i/>
          <w:iCs/>
        </w:rPr>
        <w:t xml:space="preserve"> </w:t>
      </w:r>
      <w:proofErr w:type="spellStart"/>
      <w:r>
        <w:rPr>
          <w:i/>
          <w:iCs/>
        </w:rPr>
        <w:t>verification</w:t>
      </w:r>
      <w:proofErr w:type="spellEnd"/>
      <w:r>
        <w:rPr>
          <w:i/>
          <w:iCs/>
        </w:rPr>
        <w:t xml:space="preserve">, </w:t>
      </w:r>
      <w:proofErr w:type="spellStart"/>
      <w:r>
        <w:rPr>
          <w:i/>
          <w:iCs/>
        </w:rPr>
        <w:t>certification</w:t>
      </w:r>
      <w:proofErr w:type="spellEnd"/>
      <w:r>
        <w:rPr>
          <w:i/>
          <w:iCs/>
        </w:rPr>
        <w:t xml:space="preserve">, </w:t>
      </w:r>
      <w:proofErr w:type="spellStart"/>
      <w:r>
        <w:rPr>
          <w:i/>
          <w:iCs/>
        </w:rPr>
        <w:t>algorithm</w:t>
      </w:r>
      <w:proofErr w:type="spellEnd"/>
      <w:r>
        <w:rPr>
          <w:i/>
          <w:iCs/>
        </w:rPr>
        <w:t xml:space="preserve">, model, </w:t>
      </w:r>
      <w:proofErr w:type="spellStart"/>
      <w:r>
        <w:rPr>
          <w:i/>
          <w:iCs/>
        </w:rPr>
        <w:t>prediction</w:t>
      </w:r>
      <w:proofErr w:type="spellEnd"/>
      <w:r>
        <w:rPr>
          <w:i/>
          <w:iCs/>
        </w:rPr>
        <w:t xml:space="preserve">, </w:t>
      </w:r>
      <w:proofErr w:type="spellStart"/>
      <w:r>
        <w:rPr>
          <w:i/>
          <w:iCs/>
        </w:rPr>
        <w:t>validation</w:t>
      </w:r>
      <w:proofErr w:type="spellEnd"/>
      <w:r>
        <w:t xml:space="preserve">, indicando contexto aplicativo apropriado; por fim, os </w:t>
      </w:r>
      <w:r>
        <w:rPr>
          <w:b/>
          <w:bCs/>
        </w:rPr>
        <w:t>Termos de Exclusão</w:t>
      </w:r>
      <w:r>
        <w:t xml:space="preserve">, com pontuação negativa, aplicam penalidades para termos que desviam do escopo da revisão, como expressões </w:t>
      </w:r>
      <w:r>
        <w:rPr>
          <w:i/>
          <w:iCs/>
        </w:rPr>
        <w:t xml:space="preserve">medical, </w:t>
      </w:r>
      <w:proofErr w:type="spellStart"/>
      <w:r>
        <w:rPr>
          <w:i/>
          <w:iCs/>
        </w:rPr>
        <w:t>clinical</w:t>
      </w:r>
      <w:proofErr w:type="spellEnd"/>
      <w:r>
        <w:rPr>
          <w:i/>
          <w:iCs/>
        </w:rPr>
        <w:t xml:space="preserve">, </w:t>
      </w:r>
      <w:proofErr w:type="spellStart"/>
      <w:r>
        <w:rPr>
          <w:i/>
          <w:iCs/>
        </w:rPr>
        <w:t>pharmaceutical</w:t>
      </w:r>
      <w:proofErr w:type="spellEnd"/>
      <w:r>
        <w:t xml:space="preserve"> que recebem menos cinco pontos; </w:t>
      </w:r>
      <w:proofErr w:type="spellStart"/>
      <w:r>
        <w:rPr>
          <w:i/>
          <w:iCs/>
        </w:rPr>
        <w:t>urban</w:t>
      </w:r>
      <w:proofErr w:type="spellEnd"/>
      <w:r>
        <w:rPr>
          <w:i/>
          <w:iCs/>
        </w:rPr>
        <w:t xml:space="preserve"> </w:t>
      </w:r>
      <w:proofErr w:type="spellStart"/>
      <w:r>
        <w:rPr>
          <w:i/>
          <w:iCs/>
        </w:rPr>
        <w:t>planning</w:t>
      </w:r>
      <w:proofErr w:type="spellEnd"/>
      <w:r>
        <w:rPr>
          <w:i/>
          <w:iCs/>
        </w:rPr>
        <w:t xml:space="preserve">, </w:t>
      </w:r>
      <w:proofErr w:type="spellStart"/>
      <w:r>
        <w:rPr>
          <w:i/>
          <w:iCs/>
        </w:rPr>
        <w:t>smart</w:t>
      </w:r>
      <w:proofErr w:type="spellEnd"/>
      <w:r>
        <w:rPr>
          <w:i/>
          <w:iCs/>
        </w:rPr>
        <w:t xml:space="preserve"> </w:t>
      </w:r>
      <w:proofErr w:type="spellStart"/>
      <w:r>
        <w:rPr>
          <w:i/>
          <w:iCs/>
        </w:rPr>
        <w:t>cities</w:t>
      </w:r>
      <w:proofErr w:type="spellEnd"/>
      <w:r>
        <w:t xml:space="preserve"> recebem menos três pontos; e </w:t>
      </w:r>
      <w:proofErr w:type="spellStart"/>
      <w:r>
        <w:rPr>
          <w:i/>
          <w:iCs/>
        </w:rPr>
        <w:t>finance</w:t>
      </w:r>
      <w:proofErr w:type="spellEnd"/>
      <w:r>
        <w:rPr>
          <w:i/>
          <w:iCs/>
        </w:rPr>
        <w:t xml:space="preserve">, </w:t>
      </w:r>
      <w:proofErr w:type="spellStart"/>
      <w:r>
        <w:rPr>
          <w:i/>
          <w:iCs/>
        </w:rPr>
        <w:t>economics</w:t>
      </w:r>
      <w:proofErr w:type="spellEnd"/>
      <w:r>
        <w:rPr>
          <w:i/>
          <w:iCs/>
        </w:rPr>
        <w:t>, business</w:t>
      </w:r>
      <w:r>
        <w:t xml:space="preserve"> recebem menos dois pontos, indicando, assim, baixa aderência ao escopo da pesquisa.</w:t>
      </w:r>
    </w:p>
    <w:p w14:paraId="357331FD" w14:textId="77777777" w:rsidR="00FE7890" w:rsidRDefault="00000000">
      <w:pPr>
        <w:pStyle w:val="Corpodetexto"/>
      </w:pPr>
      <w:r>
        <w:t>A definição dos pesos e categorias supracitadas segue a ideia de priorizar o núcleo temático e integrar conceitos colaborativos, enquanto utiliza penalidades para diminuir a interferência de termos menos relevantes ou não relacionados, modelando o escopo da revisão. Essa abordagem sistemática é recomendada para revisões de escopo com objetivos amplos, onde o gerenciamento do volume e da relevância dos dados é essencial (</w:t>
      </w:r>
      <w:proofErr w:type="spellStart"/>
      <w:r>
        <w:t>Munn</w:t>
      </w:r>
      <w:proofErr w:type="spellEnd"/>
      <w:r>
        <w:t xml:space="preserve"> et al., 2018; </w:t>
      </w:r>
      <w:proofErr w:type="spellStart"/>
      <w:r>
        <w:t>Tricco</w:t>
      </w:r>
      <w:proofErr w:type="spellEnd"/>
      <w:r>
        <w:t xml:space="preserve"> et al., 2018).</w:t>
      </w:r>
    </w:p>
    <w:p w14:paraId="357331FE" w14:textId="77777777" w:rsidR="00FE7890" w:rsidRDefault="00000000">
      <w:pPr>
        <w:pStyle w:val="Ttulo3"/>
      </w:pPr>
      <w:bookmarkStart w:id="9" w:name="Xbbc72084e4feabc9956f9877c43c921321d150c"/>
      <w:bookmarkEnd w:id="8"/>
      <w:r>
        <w:lastRenderedPageBreak/>
        <w:t>2.4.2 Implementação e Validação do Sistema Automatizado</w:t>
      </w:r>
    </w:p>
    <w:p w14:paraId="357331FF" w14:textId="77777777" w:rsidR="00FE7890" w:rsidRDefault="00000000">
      <w:r>
        <w:t>O algoritmo analisa títulos, abstracts e palavras-chave de cada entrada bibliográfica, aplicando pesos diferenciados por localização: títulos recebem multiplicador 1.5, abstracts 1.0, e palavras-chave 1.2, conforme a importância semântica de cada campo.</w:t>
      </w:r>
    </w:p>
    <w:p w14:paraId="35733200" w14:textId="77777777" w:rsidR="00FE7890" w:rsidRDefault="00000000">
      <w:pPr>
        <w:pStyle w:val="Corpodetexto"/>
      </w:pPr>
      <w:r>
        <w:t xml:space="preserve">Estabelecemos limiar de pontuação mínima através de análise estatística da distribuição de pontuações e validação manual em amostra representativa, verificando termos de </w:t>
      </w:r>
      <w:r>
        <w:rPr>
          <w:i/>
          <w:iCs/>
        </w:rPr>
        <w:t xml:space="preserve">machine learning, </w:t>
      </w:r>
      <w:proofErr w:type="spellStart"/>
      <w:r>
        <w:rPr>
          <w:i/>
          <w:iCs/>
        </w:rPr>
        <w:t>geographical</w:t>
      </w:r>
      <w:proofErr w:type="spellEnd"/>
      <w:r>
        <w:rPr>
          <w:i/>
          <w:iCs/>
        </w:rPr>
        <w:t xml:space="preserve"> </w:t>
      </w:r>
      <w:proofErr w:type="spellStart"/>
      <w:r>
        <w:rPr>
          <w:i/>
          <w:iCs/>
        </w:rPr>
        <w:t>indications</w:t>
      </w:r>
      <w:proofErr w:type="spellEnd"/>
      <w:r>
        <w:rPr>
          <w:i/>
          <w:iCs/>
        </w:rPr>
        <w:t xml:space="preserve"> e </w:t>
      </w:r>
      <w:proofErr w:type="spellStart"/>
      <w:r>
        <w:rPr>
          <w:i/>
          <w:iCs/>
        </w:rPr>
        <w:t>authentication</w:t>
      </w:r>
      <w:proofErr w:type="spellEnd"/>
      <w:r>
        <w:t xml:space="preserve"> nos metadados.</w:t>
      </w:r>
    </w:p>
    <w:p w14:paraId="35733201" w14:textId="77777777" w:rsidR="00FE7890" w:rsidRDefault="00000000">
      <w:pPr>
        <w:pStyle w:val="Ttulo3"/>
      </w:pPr>
      <w:bookmarkStart w:id="10" w:name="X1bd208d3063693f893a5ebd052bdbe8aa16c823"/>
      <w:bookmarkEnd w:id="9"/>
      <w:r>
        <w:t>2.4.3 Validação Participativa e Refinamento Algorítmico</w:t>
      </w:r>
    </w:p>
    <w:p w14:paraId="35733202" w14:textId="77777777" w:rsidR="00FE7890" w:rsidRDefault="00000000">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w:t>
      </w:r>
      <w:proofErr w:type="spellStart"/>
      <w:r>
        <w:t>interavaliadores</w:t>
      </w:r>
      <w:proofErr w:type="spellEnd"/>
      <w:r>
        <w:t xml:space="preserve">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p w14:paraId="35733203" w14:textId="77777777" w:rsidR="00FE7890" w:rsidRDefault="00000000">
      <w:pPr>
        <w:pStyle w:val="Ttulo3"/>
      </w:pPr>
      <w:bookmarkStart w:id="11" w:name="Xf73146bbbaf0ab9a9dd893b4d2ad0b0861c222e"/>
      <w:bookmarkEnd w:id="10"/>
      <w:r>
        <w:t>2.4.4 Verificação de Cobertura Bibliográfica e Categorização Automatizada</w:t>
      </w:r>
    </w:p>
    <w:p w14:paraId="35733204" w14:textId="77777777" w:rsidR="00FE7890" w:rsidRDefault="00000000">
      <w:r>
        <w:t>Foi desenvolvido sistema automatizado para verificar a cobertura bibliográfica das citações metodológicas. O procedimento avalia completude e consistência da base de referências, garantindo rastreabilidade entre citações textuais e arquivos bibliográficos.</w:t>
      </w:r>
    </w:p>
    <w:p w14:paraId="35733205" w14:textId="77777777" w:rsidR="00FE7890" w:rsidRDefault="00000000">
      <w:pPr>
        <w:pStyle w:val="Corpodetexto"/>
      </w:pPr>
      <w:r>
        <w:t>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 (</w:t>
      </w:r>
      <w:proofErr w:type="spellStart"/>
      <w:r>
        <w:t>Ofori-Boateng</w:t>
      </w:r>
      <w:proofErr w:type="spellEnd"/>
      <w:r>
        <w:t xml:space="preserve"> et al., 2024; </w:t>
      </w:r>
      <w:proofErr w:type="spellStart"/>
      <w:r>
        <w:t>Sawicki</w:t>
      </w:r>
      <w:proofErr w:type="spellEnd"/>
      <w:r>
        <w:t xml:space="preserve"> et al., 2023). Foi construído pipeline computacional que extrai, tokeniza e </w:t>
      </w:r>
      <w:proofErr w:type="spellStart"/>
      <w:r>
        <w:t>vetorializa</w:t>
      </w:r>
      <w:proofErr w:type="spellEnd"/>
      <w:r>
        <w:t xml:space="preserve"> metadados e resumos das referências, usando modelos supervisionados e regras semânticas para reconhecimento de padrões (Casey et al., 2021; Young et al., 2019). As referências foram classificadas em categorias metodológicas previamente </w:t>
      </w:r>
      <w:r>
        <w:lastRenderedPageBreak/>
        <w:t>definidas, abrangendo áreas como técnicas de aprendizado de máquina e sistemas de indicações geográficas.</w:t>
      </w:r>
    </w:p>
    <w:p w14:paraId="35733206" w14:textId="77777777" w:rsidR="00FE7890" w:rsidRDefault="00000000">
      <w:pPr>
        <w:pStyle w:val="Corpodetexto"/>
      </w:pPr>
      <w:r>
        <w:t>Para quantificação da cobertura bibliográfica e adequação dos estudos selecionados, foram aplicadas duas métricas complementares (</w:t>
      </w:r>
      <w:proofErr w:type="spellStart"/>
      <w:r>
        <w:t>Tranfield</w:t>
      </w:r>
      <w:proofErr w:type="spellEnd"/>
      <w:r>
        <w:t xml:space="preserve"> et al., 2003; Webster &amp; Watson, 2002). A primeira, de cobertura de citações, foi calculada através da seguinte equação:</w:t>
      </w:r>
    </w:p>
    <w:p w14:paraId="35733207" w14:textId="77777777" w:rsidR="00FE7890" w:rsidRDefault="00000000">
      <w:pPr>
        <w:pStyle w:val="Corpodetexto"/>
      </w:pPr>
      <m:oMathPara>
        <m:oMathParaPr>
          <m:jc m:val="center"/>
        </m:oMathParaPr>
        <m:oMath>
          <m:r>
            <w:rPr>
              <w:rFonts w:ascii="Cambria Math" w:hAnsi="Cambria Math"/>
            </w:rPr>
            <m:t>Cobertura</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encontradas</m:t>
                  </m:r>
                </m:sub>
              </m:sSub>
            </m:num>
            <m:den>
              <m:sSub>
                <m:sSubPr>
                  <m:ctrlPr>
                    <w:rPr>
                      <w:rFonts w:ascii="Cambria Math" w:hAnsi="Cambria Math"/>
                    </w:rPr>
                  </m:ctrlPr>
                </m:sSubPr>
                <m:e>
                  <m:r>
                    <w:rPr>
                      <w:rFonts w:ascii="Cambria Math" w:hAnsi="Cambria Math"/>
                    </w:rPr>
                    <m:t>C</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35733208" w14:textId="77777777" w:rsidR="00FE7890" w:rsidRDefault="00000000">
      <w:r>
        <w:t>Onde:</w:t>
      </w:r>
    </w:p>
    <w:p w14:paraId="35733209" w14:textId="77777777" w:rsidR="00FE7890"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encontradas</m:t>
            </m:r>
          </m:sub>
        </m:sSub>
      </m:oMath>
      <w:r>
        <w:t xml:space="preserve"> = número de citações do manuscrito presentes no corpus</w:t>
      </w:r>
    </w:p>
    <w:p w14:paraId="3573320A" w14:textId="77777777" w:rsidR="00FE7890" w:rsidRDefault="00000000">
      <w:pPr>
        <w:numPr>
          <w:ilvl w:val="0"/>
          <w:numId w:val="26"/>
        </w:numPr>
      </w:pPr>
      <m:oMath>
        <m:sSub>
          <m:sSubPr>
            <m:ctrlPr>
              <w:rPr>
                <w:rFonts w:ascii="Cambria Math" w:hAnsi="Cambria Math"/>
              </w:rPr>
            </m:ctrlPr>
          </m:sSubPr>
          <m:e>
            <m:r>
              <w:rPr>
                <w:rFonts w:ascii="Cambria Math" w:hAnsi="Cambria Math"/>
              </w:rPr>
              <m:t>C</m:t>
            </m:r>
          </m:e>
          <m:sub>
            <m:r>
              <w:rPr>
                <w:rFonts w:ascii="Cambria Math" w:hAnsi="Cambria Math"/>
              </w:rPr>
              <m:t>totais</m:t>
            </m:r>
          </m:sub>
        </m:sSub>
      </m:oMath>
      <w:r>
        <w:t xml:space="preserve"> = número total de citações únicas no manuscrito</w:t>
      </w:r>
    </w:p>
    <w:p w14:paraId="3573320B" w14:textId="77777777" w:rsidR="00FE7890" w:rsidRDefault="00000000">
      <w:r>
        <w:t>A segunda métrica, de taxa de uso do corpus bibliográfico, foi estruturada como:</w:t>
      </w:r>
    </w:p>
    <w:p w14:paraId="3573320C" w14:textId="77777777" w:rsidR="00FE7890" w:rsidRDefault="00000000">
      <w:pPr>
        <w:pStyle w:val="Corpodetexto"/>
      </w:pPr>
      <m:oMathPara>
        <m:oMathParaPr>
          <m:jc m:val="center"/>
        </m:oMathParaPr>
        <m:oMath>
          <m:r>
            <w:rPr>
              <w:rFonts w:ascii="Cambria Math" w:hAnsi="Cambria Math"/>
            </w:rPr>
            <m:t>Taxa</m:t>
          </m:r>
          <m:r>
            <m:rPr>
              <m:sty m:val="p"/>
            </m:rPr>
            <w:rPr>
              <w:rFonts w:ascii="Cambria Math" w:hAnsi="Cambria Math"/>
            </w:rPr>
            <m:t>_</m:t>
          </m:r>
          <m:r>
            <w:rPr>
              <w:rFonts w:ascii="Cambria Math" w:hAnsi="Cambria Math"/>
            </w:rPr>
            <m:t>Uso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citadas</m:t>
                  </m:r>
                </m:sub>
              </m:sSub>
            </m:num>
            <m:den>
              <m:sSub>
                <m:sSubPr>
                  <m:ctrlPr>
                    <w:rPr>
                      <w:rFonts w:ascii="Cambria Math" w:hAnsi="Cambria Math"/>
                    </w:rPr>
                  </m:ctrlPr>
                </m:sSubPr>
                <m:e>
                  <m:r>
                    <w:rPr>
                      <w:rFonts w:ascii="Cambria Math" w:hAnsi="Cambria Math"/>
                    </w:rPr>
                    <m:t>R</m:t>
                  </m:r>
                </m:e>
                <m:sub>
                  <m:r>
                    <w:rPr>
                      <w:rFonts w:ascii="Cambria Math" w:hAnsi="Cambria Math"/>
                    </w:rPr>
                    <m:t>totais</m:t>
                  </m:r>
                </m:sub>
              </m:sSub>
            </m:den>
          </m:f>
          <m:r>
            <m:rPr>
              <m:sty m:val="p"/>
            </m:rPr>
            <w:rPr>
              <w:rFonts w:ascii="Cambria Math" w:hAnsi="Cambria Math"/>
            </w:rPr>
            <m:t>×</m:t>
          </m:r>
          <m:r>
            <w:rPr>
              <w:rFonts w:ascii="Cambria Math" w:hAnsi="Cambria Math"/>
            </w:rPr>
            <m:t>100</m:t>
          </m:r>
        </m:oMath>
      </m:oMathPara>
    </w:p>
    <w:p w14:paraId="3573320D" w14:textId="77777777" w:rsidR="00FE7890" w:rsidRDefault="00000000">
      <w:r>
        <w:t>Onde:</w:t>
      </w:r>
    </w:p>
    <w:p w14:paraId="3573320E" w14:textId="77777777" w:rsidR="00FE7890"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citadas</m:t>
            </m:r>
          </m:sub>
        </m:sSub>
      </m:oMath>
      <w:r>
        <w:t xml:space="preserve"> = número de referências do corpus citadas no manuscrito</w:t>
      </w:r>
    </w:p>
    <w:p w14:paraId="3573320F" w14:textId="77777777" w:rsidR="00FE7890" w:rsidRDefault="00000000">
      <w:pPr>
        <w:numPr>
          <w:ilvl w:val="0"/>
          <w:numId w:val="27"/>
        </w:numPr>
      </w:pPr>
      <m:oMath>
        <m:sSub>
          <m:sSubPr>
            <m:ctrlPr>
              <w:rPr>
                <w:rFonts w:ascii="Cambria Math" w:hAnsi="Cambria Math"/>
              </w:rPr>
            </m:ctrlPr>
          </m:sSubPr>
          <m:e>
            <m:r>
              <w:rPr>
                <w:rFonts w:ascii="Cambria Math" w:hAnsi="Cambria Math"/>
              </w:rPr>
              <m:t>R</m:t>
            </m:r>
          </m:e>
          <m:sub>
            <m:r>
              <w:rPr>
                <w:rFonts w:ascii="Cambria Math" w:hAnsi="Cambria Math"/>
              </w:rPr>
              <m:t>totais</m:t>
            </m:r>
          </m:sub>
        </m:sSub>
      </m:oMath>
      <w:r>
        <w:t xml:space="preserve"> = número total de referências presentes no corpus</w:t>
      </w:r>
    </w:p>
    <w:p w14:paraId="35733210" w14:textId="77777777" w:rsidR="00FE7890" w:rsidRDefault="00000000">
      <w:r>
        <w:t xml:space="preserve">A partir dessas métricas é </w:t>
      </w:r>
      <w:proofErr w:type="spellStart"/>
      <w:r>
        <w:t>possivel</w:t>
      </w:r>
      <w:proofErr w:type="spellEnd"/>
      <w:r>
        <w:t xml:space="preserve"> avaliar quantitativamente a utilização efetiva da base de referências e garantir que os estudos selecionados reflitam adequadamente o escopo temático da revisão.</w:t>
      </w:r>
    </w:p>
    <w:p w14:paraId="35733211" w14:textId="77777777" w:rsidR="00FE7890" w:rsidRDefault="00000000">
      <w:pPr>
        <w:pStyle w:val="Ttulo2"/>
      </w:pPr>
      <w:bookmarkStart w:id="12" w:name="X60ba370774735ab4dcbf3df0484936abf0a5e44"/>
      <w:bookmarkEnd w:id="7"/>
      <w:bookmarkEnd w:id="11"/>
      <w:r>
        <w:t>2.5 Segunda Fase: Análise Manual de Qualidade Metodológica</w:t>
      </w:r>
    </w:p>
    <w:p w14:paraId="35733212" w14:textId="77777777" w:rsidR="00FE7890" w:rsidRDefault="00000000">
      <w:r>
        <w:t xml:space="preserve">Na segunda fase, três revisores independentes avaliaram manualmente a qualidade metodológica dos estudos selecionados, assegurando análise multidisciplinar e reduzindo vieses interpretativos. Adaptamos a escala MMAT (Hong et al., 2018; </w:t>
      </w:r>
      <w:proofErr w:type="spellStart"/>
      <w:r>
        <w:t>Pluye</w:t>
      </w:r>
      <w:proofErr w:type="spellEnd"/>
      <w:r>
        <w:t xml:space="preserve"> et al., 2009)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w:t>
      </w:r>
      <w:proofErr w:type="spellStart"/>
      <w:r>
        <w:t>generalizabilidade</w:t>
      </w:r>
      <w:proofErr w:type="spellEnd"/>
      <w:r>
        <w:t xml:space="preserve"> dos métodos (Tabela 2).</w:t>
      </w:r>
    </w:p>
    <w:p w14:paraId="35733213" w14:textId="77777777" w:rsidR="00FE7890" w:rsidRDefault="00000000">
      <w:pPr>
        <w:pStyle w:val="Corpodetexto"/>
      </w:pPr>
      <w:r>
        <w:t>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 (</w:t>
      </w:r>
      <w:proofErr w:type="spellStart"/>
      <w:r>
        <w:t>Surname</w:t>
      </w:r>
      <w:proofErr w:type="spellEnd"/>
      <w:r>
        <w:t xml:space="preserve"> &amp; </w:t>
      </w:r>
      <w:proofErr w:type="spellStart"/>
      <w:r>
        <w:t>Surname</w:t>
      </w:r>
      <w:proofErr w:type="spellEnd"/>
      <w:r>
        <w:t>, 2025).</w:t>
      </w:r>
    </w:p>
    <w:tbl>
      <w:tblPr>
        <w:tblStyle w:val="Table"/>
        <w:tblW w:w="5000" w:type="pct"/>
        <w:tblLayout w:type="fixed"/>
        <w:tblLook w:val="0020" w:firstRow="1" w:lastRow="0" w:firstColumn="0" w:lastColumn="0" w:noHBand="0" w:noVBand="0"/>
      </w:tblPr>
      <w:tblGrid>
        <w:gridCol w:w="578"/>
        <w:gridCol w:w="6360"/>
        <w:gridCol w:w="1900"/>
      </w:tblGrid>
      <w:tr w:rsidR="00FE7890" w14:paraId="35733217" w14:textId="77777777" w:rsidTr="00FE7890">
        <w:trPr>
          <w:tblHeader/>
        </w:trPr>
        <w:tc>
          <w:tcPr>
            <w:tcW w:w="518" w:type="dxa"/>
          </w:tcPr>
          <w:p w14:paraId="35733214" w14:textId="77777777" w:rsidR="00FE7890" w:rsidRDefault="00000000">
            <w:r>
              <w:lastRenderedPageBreak/>
              <w:t>Código</w:t>
            </w:r>
          </w:p>
        </w:tc>
        <w:tc>
          <w:tcPr>
            <w:tcW w:w="5699" w:type="dxa"/>
          </w:tcPr>
          <w:p w14:paraId="35733215" w14:textId="77777777" w:rsidR="00FE7890" w:rsidRDefault="00000000">
            <w:r>
              <w:t>Indicador</w:t>
            </w:r>
          </w:p>
        </w:tc>
        <w:tc>
          <w:tcPr>
            <w:tcW w:w="1702" w:type="dxa"/>
          </w:tcPr>
          <w:p w14:paraId="35733216" w14:textId="77777777" w:rsidR="00FE7890" w:rsidRDefault="00000000">
            <w:r>
              <w:t>Domínio</w:t>
            </w:r>
          </w:p>
        </w:tc>
      </w:tr>
      <w:tr w:rsidR="00FE7890" w14:paraId="3573321B" w14:textId="77777777">
        <w:tc>
          <w:tcPr>
            <w:tcW w:w="518" w:type="dxa"/>
          </w:tcPr>
          <w:p w14:paraId="35733218" w14:textId="77777777" w:rsidR="00FE7890" w:rsidRDefault="00000000">
            <w:r>
              <w:t>RIG</w:t>
            </w:r>
          </w:p>
        </w:tc>
        <w:tc>
          <w:tcPr>
            <w:tcW w:w="5699" w:type="dxa"/>
          </w:tcPr>
          <w:p w14:paraId="35733219" w14:textId="77777777" w:rsidR="00FE7890" w:rsidRDefault="00000000">
            <w:r>
              <w:t>Rigor metodológico na coleta e processamento de dados territoriais</w:t>
            </w:r>
          </w:p>
        </w:tc>
        <w:tc>
          <w:tcPr>
            <w:tcW w:w="1702" w:type="dxa"/>
          </w:tcPr>
          <w:p w14:paraId="3573321A" w14:textId="77777777" w:rsidR="00FE7890" w:rsidRDefault="00000000">
            <w:r>
              <w:t>Qualidade Territorial</w:t>
            </w:r>
          </w:p>
        </w:tc>
      </w:tr>
      <w:tr w:rsidR="00FE7890" w14:paraId="3573321F" w14:textId="77777777">
        <w:tc>
          <w:tcPr>
            <w:tcW w:w="518" w:type="dxa"/>
          </w:tcPr>
          <w:p w14:paraId="3573321C" w14:textId="77777777" w:rsidR="00FE7890" w:rsidRDefault="00000000">
            <w:r>
              <w:t>VAL</w:t>
            </w:r>
          </w:p>
        </w:tc>
        <w:tc>
          <w:tcPr>
            <w:tcW w:w="5699" w:type="dxa"/>
          </w:tcPr>
          <w:p w14:paraId="3573321D" w14:textId="77777777" w:rsidR="00FE7890" w:rsidRDefault="00000000">
            <w:r>
              <w:t>Validação técnica dos algoritmos com métricas apropriadas</w:t>
            </w:r>
          </w:p>
        </w:tc>
        <w:tc>
          <w:tcPr>
            <w:tcW w:w="1702" w:type="dxa"/>
          </w:tcPr>
          <w:p w14:paraId="3573321E" w14:textId="77777777" w:rsidR="00FE7890" w:rsidRDefault="00000000">
            <w:r>
              <w:t>Qualidade Computacional</w:t>
            </w:r>
          </w:p>
        </w:tc>
      </w:tr>
      <w:tr w:rsidR="00FE7890" w14:paraId="35733223" w14:textId="77777777">
        <w:tc>
          <w:tcPr>
            <w:tcW w:w="518" w:type="dxa"/>
          </w:tcPr>
          <w:p w14:paraId="35733220" w14:textId="77777777" w:rsidR="00FE7890" w:rsidRDefault="00000000">
            <w:r>
              <w:t>ETI</w:t>
            </w:r>
          </w:p>
        </w:tc>
        <w:tc>
          <w:tcPr>
            <w:tcW w:w="5699" w:type="dxa"/>
          </w:tcPr>
          <w:p w14:paraId="35733221" w14:textId="77777777" w:rsidR="00FE7890" w:rsidRDefault="00000000">
            <w:r>
              <w:t>Aderência a protocolos éticos para pesquisa com comunidades produtivas</w:t>
            </w:r>
          </w:p>
        </w:tc>
        <w:tc>
          <w:tcPr>
            <w:tcW w:w="1702" w:type="dxa"/>
          </w:tcPr>
          <w:p w14:paraId="35733222" w14:textId="77777777" w:rsidR="00FE7890" w:rsidRDefault="00000000">
            <w:r>
              <w:t>Qualidade Ética</w:t>
            </w:r>
          </w:p>
        </w:tc>
      </w:tr>
      <w:tr w:rsidR="00FE7890" w14:paraId="35733227" w14:textId="77777777">
        <w:tc>
          <w:tcPr>
            <w:tcW w:w="518" w:type="dxa"/>
          </w:tcPr>
          <w:p w14:paraId="35733224" w14:textId="77777777" w:rsidR="00FE7890" w:rsidRDefault="00000000">
            <w:r>
              <w:t>REP</w:t>
            </w:r>
          </w:p>
        </w:tc>
        <w:tc>
          <w:tcPr>
            <w:tcW w:w="5699" w:type="dxa"/>
          </w:tcPr>
          <w:p w14:paraId="35733225" w14:textId="77777777" w:rsidR="00FE7890" w:rsidRDefault="00000000">
            <w:r>
              <w:t>Reprodutibilidade dos experimentos computacionais</w:t>
            </w:r>
          </w:p>
        </w:tc>
        <w:tc>
          <w:tcPr>
            <w:tcW w:w="1702" w:type="dxa"/>
          </w:tcPr>
          <w:p w14:paraId="35733226" w14:textId="77777777" w:rsidR="00FE7890" w:rsidRDefault="00000000">
            <w:r>
              <w:t>Qualidade Técnica</w:t>
            </w:r>
          </w:p>
        </w:tc>
      </w:tr>
      <w:tr w:rsidR="00FE7890" w14:paraId="3573322B" w14:textId="77777777">
        <w:tc>
          <w:tcPr>
            <w:tcW w:w="518" w:type="dxa"/>
          </w:tcPr>
          <w:p w14:paraId="35733228" w14:textId="77777777" w:rsidR="00FE7890" w:rsidRDefault="00000000">
            <w:r>
              <w:t>INT</w:t>
            </w:r>
          </w:p>
        </w:tc>
        <w:tc>
          <w:tcPr>
            <w:tcW w:w="5699" w:type="dxa"/>
          </w:tcPr>
          <w:p w14:paraId="35733229" w14:textId="77777777" w:rsidR="00FE7890" w:rsidRDefault="00000000">
            <w:r>
              <w:t>Integração efetiva entre métodos quantitativos e qualitativos territoriais</w:t>
            </w:r>
          </w:p>
        </w:tc>
        <w:tc>
          <w:tcPr>
            <w:tcW w:w="1702" w:type="dxa"/>
          </w:tcPr>
          <w:p w14:paraId="3573322A" w14:textId="77777777" w:rsidR="00FE7890" w:rsidRDefault="00000000">
            <w:r>
              <w:t>Qualidade Metodológica</w:t>
            </w:r>
          </w:p>
        </w:tc>
      </w:tr>
      <w:tr w:rsidR="00FE7890" w14:paraId="3573322F" w14:textId="77777777">
        <w:tc>
          <w:tcPr>
            <w:tcW w:w="518" w:type="dxa"/>
          </w:tcPr>
          <w:p w14:paraId="3573322C" w14:textId="77777777" w:rsidR="00FE7890" w:rsidRDefault="00000000">
            <w:r>
              <w:t>IMP</w:t>
            </w:r>
          </w:p>
        </w:tc>
        <w:tc>
          <w:tcPr>
            <w:tcW w:w="5699" w:type="dxa"/>
          </w:tcPr>
          <w:p w14:paraId="3573322D" w14:textId="77777777" w:rsidR="00FE7890" w:rsidRDefault="00000000">
            <w:r>
              <w:t>Impacto e aplicabilidade dos resultados para sistemas de IG</w:t>
            </w:r>
          </w:p>
        </w:tc>
        <w:tc>
          <w:tcPr>
            <w:tcW w:w="1702" w:type="dxa"/>
          </w:tcPr>
          <w:p w14:paraId="3573322E" w14:textId="77777777" w:rsidR="00FE7890" w:rsidRDefault="00000000">
            <w:r>
              <w:t>Qualidade Social</w:t>
            </w:r>
          </w:p>
        </w:tc>
      </w:tr>
      <w:tr w:rsidR="00FE7890" w14:paraId="35733233" w14:textId="77777777">
        <w:tc>
          <w:tcPr>
            <w:tcW w:w="518" w:type="dxa"/>
          </w:tcPr>
          <w:p w14:paraId="35733230" w14:textId="77777777" w:rsidR="00FE7890" w:rsidRDefault="00000000">
            <w:r>
              <w:t>DOC</w:t>
            </w:r>
          </w:p>
        </w:tc>
        <w:tc>
          <w:tcPr>
            <w:tcW w:w="5699" w:type="dxa"/>
          </w:tcPr>
          <w:p w14:paraId="35733231" w14:textId="77777777" w:rsidR="00FE7890" w:rsidRDefault="00000000">
            <w:r>
              <w:t>Documentação completa dos algoritmos e procedimentos de certificação</w:t>
            </w:r>
          </w:p>
        </w:tc>
        <w:tc>
          <w:tcPr>
            <w:tcW w:w="1702" w:type="dxa"/>
          </w:tcPr>
          <w:p w14:paraId="35733232" w14:textId="77777777" w:rsidR="00FE7890" w:rsidRDefault="00000000">
            <w:r>
              <w:t>Qualidade Documental</w:t>
            </w:r>
          </w:p>
        </w:tc>
      </w:tr>
      <w:tr w:rsidR="00FE7890" w14:paraId="35733237" w14:textId="77777777">
        <w:tc>
          <w:tcPr>
            <w:tcW w:w="518" w:type="dxa"/>
          </w:tcPr>
          <w:p w14:paraId="35733234" w14:textId="77777777" w:rsidR="00FE7890" w:rsidRDefault="00000000">
            <w:r>
              <w:t>GEN</w:t>
            </w:r>
          </w:p>
        </w:tc>
        <w:tc>
          <w:tcPr>
            <w:tcW w:w="5699" w:type="dxa"/>
          </w:tcPr>
          <w:p w14:paraId="35733235" w14:textId="77777777" w:rsidR="00FE7890" w:rsidRDefault="00000000">
            <w:proofErr w:type="spellStart"/>
            <w:r>
              <w:t>Generalizabilidade</w:t>
            </w:r>
            <w:proofErr w:type="spellEnd"/>
            <w:r>
              <w:t xml:space="preserve"> e transferibilidade dos métodos propostos</w:t>
            </w:r>
          </w:p>
        </w:tc>
        <w:tc>
          <w:tcPr>
            <w:tcW w:w="1702" w:type="dxa"/>
          </w:tcPr>
          <w:p w14:paraId="35733236" w14:textId="77777777" w:rsidR="00FE7890" w:rsidRDefault="00000000">
            <w:r>
              <w:t>Qualidade Científica</w:t>
            </w:r>
          </w:p>
        </w:tc>
      </w:tr>
    </w:tbl>
    <w:p w14:paraId="35733238" w14:textId="77777777" w:rsidR="00FE7890" w:rsidRDefault="00000000">
      <w:pPr>
        <w:pStyle w:val="Corpodetexto"/>
      </w:pPr>
      <w:r>
        <w:rPr>
          <w:i/>
          <w:iCs/>
        </w:rPr>
        <w:t>Tabela 2. Indicadores de qualidade metodológica para estudos ML-Indicações Geográficas.</w:t>
      </w:r>
    </w:p>
    <w:p w14:paraId="35733239" w14:textId="77777777" w:rsidR="00FE7890" w:rsidRDefault="00000000">
      <w:pPr>
        <w:pStyle w:val="Ttulo3"/>
      </w:pPr>
      <w:bookmarkStart w:id="13" w:name="X26093f460acc1ad64d60305f75f283585ca96d1"/>
      <w:r>
        <w:t xml:space="preserve">2.5.1 Procedimentos de Consenso e Validação </w:t>
      </w:r>
      <w:proofErr w:type="spellStart"/>
      <w:r>
        <w:t>Interavaliadores</w:t>
      </w:r>
      <w:proofErr w:type="spellEnd"/>
    </w:p>
    <w:p w14:paraId="3573323A" w14:textId="77777777" w:rsidR="00FE7890" w:rsidRDefault="00000000">
      <w:r>
        <w:t>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14:paraId="3573323B" w14:textId="77777777" w:rsidR="00FE7890" w:rsidRDefault="00000000">
      <w:pPr>
        <w:pStyle w:val="Corpodetexto"/>
      </w:pPr>
      <w:r>
        <w:t>O coeficiente de correlação intraclasse foi calculado através da seguinte equação (</w:t>
      </w:r>
      <w:proofErr w:type="spellStart"/>
      <w:r>
        <w:t>Shrout</w:t>
      </w:r>
      <w:proofErr w:type="spellEnd"/>
      <w:r>
        <w:t xml:space="preserve"> &amp; </w:t>
      </w:r>
      <w:proofErr w:type="spellStart"/>
      <w:r>
        <w:t>Fleiss</w:t>
      </w:r>
      <w:proofErr w:type="spellEnd"/>
      <w:r>
        <w:t>, 1979):</w:t>
      </w:r>
    </w:p>
    <w:p w14:paraId="3573323C" w14:textId="77777777" w:rsidR="00FE7890" w:rsidRDefault="00000000">
      <w:pPr>
        <w:pStyle w:val="Corpodetexto"/>
      </w:pPr>
      <m:oMathPara>
        <m:oMathParaPr>
          <m:jc m:val="center"/>
        </m:oMathParaPr>
        <m:oMath>
          <m:r>
            <w:rPr>
              <w:rFonts w:ascii="Cambria Math" w:hAnsi="Cambria Math"/>
            </w:rPr>
            <m:t>ICC</m:t>
          </m:r>
          <m:r>
            <m:rPr>
              <m:sty m:val="p"/>
            </m:rPr>
            <w:rPr>
              <w:rFonts w:ascii="Cambria Math" w:hAnsi="Cambria Math"/>
            </w:rPr>
            <m:t>=</m:t>
          </m:r>
          <m:f>
            <m:fPr>
              <m:ctrlPr>
                <w:rPr>
                  <w:rFonts w:ascii="Cambria Math" w:hAnsi="Cambria Math"/>
                </w:rPr>
              </m:ctrlPr>
            </m:fPr>
            <m:num>
              <m:r>
                <w:rPr>
                  <w:rFonts w:ascii="Cambria Math" w:hAnsi="Cambria Math"/>
                </w:rPr>
                <m:t>BMS</m:t>
              </m:r>
              <m:r>
                <m:rPr>
                  <m:sty m:val="p"/>
                </m:rPr>
                <w:rPr>
                  <w:rFonts w:ascii="Cambria Math" w:hAnsi="Cambria Math"/>
                </w:rPr>
                <m:t>-</m:t>
              </m:r>
              <m:r>
                <w:rPr>
                  <w:rFonts w:ascii="Cambria Math" w:hAnsi="Cambria Math"/>
                </w:rPr>
                <m:t>EMS</m:t>
              </m:r>
            </m:num>
            <m:den>
              <m:r>
                <w:rPr>
                  <w:rFonts w:ascii="Cambria Math" w:hAnsi="Cambria Math"/>
                </w:rPr>
                <m:t>BMS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EMS</m:t>
              </m:r>
            </m:den>
          </m:f>
        </m:oMath>
      </m:oMathPara>
    </w:p>
    <w:p w14:paraId="3573323D" w14:textId="77777777" w:rsidR="00FE7890" w:rsidRDefault="00000000">
      <w:r>
        <w:t>Onde:</w:t>
      </w:r>
    </w:p>
    <w:p w14:paraId="3573323E" w14:textId="77777777" w:rsidR="00FE7890" w:rsidRDefault="00000000">
      <w:pPr>
        <w:numPr>
          <w:ilvl w:val="0"/>
          <w:numId w:val="28"/>
        </w:numPr>
      </w:pPr>
      <m:oMath>
        <m:r>
          <w:rPr>
            <w:rFonts w:ascii="Cambria Math" w:hAnsi="Cambria Math"/>
          </w:rPr>
          <m:t>BMS</m:t>
        </m:r>
      </m:oMath>
      <w:r>
        <w:t xml:space="preserve"> = quadrado médio entre avaliadores</w:t>
      </w:r>
    </w:p>
    <w:p w14:paraId="3573323F" w14:textId="77777777" w:rsidR="00FE7890" w:rsidRDefault="00000000">
      <w:pPr>
        <w:numPr>
          <w:ilvl w:val="0"/>
          <w:numId w:val="28"/>
        </w:numPr>
      </w:pPr>
      <m:oMath>
        <m:r>
          <w:rPr>
            <w:rFonts w:ascii="Cambria Math" w:hAnsi="Cambria Math"/>
          </w:rPr>
          <m:t>EMS</m:t>
        </m:r>
      </m:oMath>
      <w:r>
        <w:t xml:space="preserve"> = quadrado médio de erro</w:t>
      </w:r>
    </w:p>
    <w:p w14:paraId="35733240" w14:textId="77777777" w:rsidR="00FE7890" w:rsidRDefault="00000000">
      <w:pPr>
        <w:numPr>
          <w:ilvl w:val="0"/>
          <w:numId w:val="28"/>
        </w:numPr>
      </w:pPr>
      <m:oMath>
        <m:r>
          <w:rPr>
            <w:rFonts w:ascii="Cambria Math" w:hAnsi="Cambria Math"/>
          </w:rPr>
          <m:t>k</m:t>
        </m:r>
      </m:oMath>
      <w:r>
        <w:t xml:space="preserve"> = número de avaliadores</w:t>
      </w:r>
    </w:p>
    <w:p w14:paraId="35733241" w14:textId="77777777" w:rsidR="00FE7890" w:rsidRDefault="00000000">
      <w:r>
        <w:t>O coeficiente foi calculado obtendo-se ICC igual a 0,87 com intervalo de confiança de 95% entre 0,84 e 0,91, indicando boa concordância.</w:t>
      </w:r>
    </w:p>
    <w:p w14:paraId="35733242" w14:textId="77777777" w:rsidR="00FE7890" w:rsidRDefault="00000000">
      <w:pPr>
        <w:pStyle w:val="Ttulo3"/>
      </w:pPr>
      <w:bookmarkStart w:id="14" w:name="X70d12912f801c5a5a93265aac0cb875d994c51f"/>
      <w:bookmarkEnd w:id="13"/>
      <w:r>
        <w:t>2.5.2 Critérios Específicos para Estudos Interdisciplinares</w:t>
      </w:r>
    </w:p>
    <w:p w14:paraId="35733243" w14:textId="77777777" w:rsidR="00FE7890" w:rsidRDefault="00000000">
      <w:r>
        <w:t>Considerando a natureza interdisciplinar dos estudos analisados, foram estabelecidos critérios de qualidade que contemplaram:</w:t>
      </w:r>
    </w:p>
    <w:p w14:paraId="35733244" w14:textId="77777777" w:rsidR="00FE7890" w:rsidRDefault="00000000">
      <w:pPr>
        <w:numPr>
          <w:ilvl w:val="0"/>
          <w:numId w:val="29"/>
        </w:numPr>
      </w:pPr>
      <w:r>
        <w:rPr>
          <w:b/>
          <w:bCs/>
        </w:rPr>
        <w:t>Integração metodológica:</w:t>
      </w:r>
      <w:r>
        <w:t xml:space="preserve"> Avaliação da coerência entre métodos quantitativos e qualitativos territoriais, verificando se a aplicação de técnicas </w:t>
      </w:r>
      <w:r>
        <w:lastRenderedPageBreak/>
        <w:t>computacionais complementa adequadamente a investigação em Indicações Geográficas;</w:t>
      </w:r>
    </w:p>
    <w:p w14:paraId="35733245" w14:textId="77777777" w:rsidR="00FE7890" w:rsidRDefault="00000000">
      <w:pPr>
        <w:numPr>
          <w:ilvl w:val="0"/>
          <w:numId w:val="29"/>
        </w:numPr>
      </w:pPr>
      <w:r>
        <w:rPr>
          <w:b/>
          <w:bCs/>
        </w:rPr>
        <w:t>Validação territorial:</w:t>
      </w:r>
      <w:r>
        <w:t xml:space="preserve"> Verificação se os resultados computacionais foram validados em contextos geográficos diversos, garantindo legitimidade dos achados do ponto de vista territorial;</w:t>
      </w:r>
    </w:p>
    <w:p w14:paraId="35733246" w14:textId="77777777" w:rsidR="00FE7890" w:rsidRDefault="00000000">
      <w:pPr>
        <w:numPr>
          <w:ilvl w:val="0"/>
          <w:numId w:val="29"/>
        </w:numPr>
      </w:pPr>
      <w:r>
        <w:rPr>
          <w:b/>
          <w:bCs/>
        </w:rPr>
        <w:t>Transparência algorítmica:</w:t>
      </w:r>
      <w:r>
        <w:t xml:space="preserve"> Análise da documentação dos algoritmos utilizados, incluindo disponibilização de código, dados (quando eticamente apropriado) e procedimentos de reprodutibilidade;</w:t>
      </w:r>
    </w:p>
    <w:p w14:paraId="35733247" w14:textId="77777777" w:rsidR="00FE7890" w:rsidRDefault="00000000">
      <w:pPr>
        <w:numPr>
          <w:ilvl w:val="0"/>
          <w:numId w:val="29"/>
        </w:numPr>
      </w:pPr>
      <w:r>
        <w:rPr>
          <w:b/>
          <w:bCs/>
        </w:rPr>
        <w:t>Considerações éticas:</w:t>
      </w:r>
      <w:r>
        <w:t xml:space="preserve"> Avaliação da aderência a protocolos éticos específicos para pesquisa com comunidades produtivas, incluindo consentimento informado e respeito aos direitos territoriais;</w:t>
      </w:r>
    </w:p>
    <w:p w14:paraId="35733248" w14:textId="77777777" w:rsidR="00FE7890" w:rsidRDefault="00000000">
      <w:pPr>
        <w:numPr>
          <w:ilvl w:val="0"/>
          <w:numId w:val="29"/>
        </w:numPr>
      </w:pPr>
      <w:r>
        <w:rPr>
          <w:b/>
          <w:bCs/>
        </w:rPr>
        <w:t>Aplicabilidade prática:</w:t>
      </w:r>
      <w:r>
        <w:t xml:space="preserve"> Verificação se os resultados apresentam possibilidade de aplicação para os sistemas de Indicações Geográficas, considerando certificação e valorização territorial.</w:t>
      </w:r>
    </w:p>
    <w:p w14:paraId="35733249" w14:textId="77777777" w:rsidR="00FE7890" w:rsidRDefault="00000000">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w:t>
      </w:r>
      <w:proofErr w:type="spellStart"/>
      <w:r>
        <w:t>pts</w:t>
      </w:r>
      <w:proofErr w:type="spellEnd"/>
      <w:r>
        <w:t xml:space="preserve">), 2 de alta relevância (≥30 </w:t>
      </w:r>
      <w:proofErr w:type="spellStart"/>
      <w:r>
        <w:t>pts</w:t>
      </w:r>
      <w:proofErr w:type="spellEnd"/>
      <w:r>
        <w:t xml:space="preserve">) e 22 adequados (≥20 </w:t>
      </w:r>
      <w:proofErr w:type="spellStart"/>
      <w:r>
        <w:t>pts</w:t>
      </w:r>
      <w:proofErr w:type="spellEnd"/>
      <w:r>
        <w:t>).</w:t>
      </w:r>
    </w:p>
    <w:p w14:paraId="3573324A" w14:textId="77777777" w:rsidR="00FE7890" w:rsidRDefault="00000000">
      <w:pPr>
        <w:pStyle w:val="Ttulo2"/>
      </w:pPr>
      <w:bookmarkStart w:id="15" w:name="terceira-fase-análise-bibliométrica"/>
      <w:bookmarkEnd w:id="12"/>
      <w:bookmarkEnd w:id="14"/>
      <w:r>
        <w:t>2.6 Terceira Fase: Análise Bibliométrica</w:t>
      </w:r>
    </w:p>
    <w:p w14:paraId="3573324B" w14:textId="77777777" w:rsidR="00FE7890" w:rsidRDefault="00000000">
      <w:r>
        <w:t xml:space="preserve">Na terceira fase, foi analisada a produtividade científica através da Lei de </w:t>
      </w:r>
      <w:proofErr w:type="spellStart"/>
      <w:r>
        <w:t>Lotka</w:t>
      </w:r>
      <w:proofErr w:type="spellEnd"/>
      <w:r>
        <w:t xml:space="preserve"> (</w:t>
      </w:r>
      <w:proofErr w:type="spellStart"/>
      <w:r>
        <w:t>Lotka</w:t>
      </w:r>
      <w:proofErr w:type="spellEnd"/>
      <w:r>
        <w:t xml:space="preserve">, 1926), que examina a distribuição de autores segundo o número de publicações. A Lei de </w:t>
      </w:r>
      <w:proofErr w:type="spellStart"/>
      <w:r>
        <w:t>Lotka</w:t>
      </w:r>
      <w:proofErr w:type="spellEnd"/>
      <w:r>
        <w:t xml:space="preserve"> descreve a distribuição não-linear de produtividade entre autores, identificando se a produção científica segue padrão concentrado ou disperso.</w:t>
      </w:r>
    </w:p>
    <w:p w14:paraId="3573324C" w14:textId="77777777" w:rsidR="00FE7890" w:rsidRDefault="00000000">
      <w:pPr>
        <w:pStyle w:val="Corpodetexto"/>
      </w:pPr>
      <w:r>
        <w:t xml:space="preserve">A Lei de </w:t>
      </w:r>
      <w:proofErr w:type="spellStart"/>
      <w:r>
        <w:t>Lotka</w:t>
      </w:r>
      <w:proofErr w:type="spellEnd"/>
      <w:r>
        <w:t xml:space="preserve"> foi aplicada através da equação:</w:t>
      </w:r>
    </w:p>
    <w:p w14:paraId="3573324D" w14:textId="77777777" w:rsidR="00FE7890" w:rsidRDefault="00000000">
      <w:pPr>
        <w:pStyle w:val="Corpodetexto"/>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r>
                    <w:rPr>
                      <w:rFonts w:ascii="Cambria Math" w:hAnsi="Cambria Math"/>
                    </w:rPr>
                    <m:t>a</m:t>
                  </m:r>
                </m:e>
                <m:sup>
                  <m:r>
                    <w:rPr>
                      <w:rFonts w:ascii="Cambria Math" w:hAnsi="Cambria Math"/>
                    </w:rPr>
                    <m:t>n</m:t>
                  </m:r>
                </m:sup>
              </m:sSup>
            </m:den>
          </m:f>
        </m:oMath>
      </m:oMathPara>
    </w:p>
    <w:p w14:paraId="3573324E" w14:textId="77777777" w:rsidR="00FE7890" w:rsidRDefault="00000000">
      <w:r>
        <w:t>Onde:</w:t>
      </w:r>
    </w:p>
    <w:p w14:paraId="3573324F" w14:textId="77777777" w:rsidR="00FE7890" w:rsidRDefault="00000000">
      <w:pPr>
        <w:numPr>
          <w:ilvl w:val="0"/>
          <w:numId w:val="30"/>
        </w:numPr>
      </w:pP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 número de autores que publicaram exatamente </w:t>
      </w:r>
      <m:oMath>
        <m:r>
          <w:rPr>
            <w:rFonts w:ascii="Cambria Math" w:hAnsi="Cambria Math"/>
          </w:rPr>
          <m:t>a</m:t>
        </m:r>
      </m:oMath>
      <w:r>
        <w:t xml:space="preserve"> artigos</w:t>
      </w:r>
    </w:p>
    <w:p w14:paraId="35733250" w14:textId="77777777" w:rsidR="00FE7890" w:rsidRDefault="00000000">
      <w:pPr>
        <w:numPr>
          <w:ilvl w:val="0"/>
          <w:numId w:val="30"/>
        </w:numPr>
      </w:pPr>
      <m:oMath>
        <m:r>
          <w:rPr>
            <w:rFonts w:ascii="Cambria Math" w:hAnsi="Cambria Math"/>
          </w:rPr>
          <m:t>K</m:t>
        </m:r>
      </m:oMath>
      <w:r>
        <w:t xml:space="preserve"> = constante de proporcionalidade</w:t>
      </w:r>
    </w:p>
    <w:p w14:paraId="35733251" w14:textId="77777777" w:rsidR="00FE7890" w:rsidRDefault="00000000">
      <w:pPr>
        <w:numPr>
          <w:ilvl w:val="0"/>
          <w:numId w:val="30"/>
        </w:numPr>
      </w:pPr>
      <m:oMath>
        <m:r>
          <w:rPr>
            <w:rFonts w:ascii="Cambria Math" w:hAnsi="Cambria Math"/>
          </w:rPr>
          <m:t>a</m:t>
        </m:r>
      </m:oMath>
      <w:r>
        <w:t xml:space="preserve"> = número de artigos publicados por um autor</w:t>
      </w:r>
    </w:p>
    <w:p w14:paraId="35733252" w14:textId="77777777" w:rsidR="00FE7890" w:rsidRDefault="00000000">
      <w:pPr>
        <w:numPr>
          <w:ilvl w:val="0"/>
          <w:numId w:val="30"/>
        </w:numPr>
      </w:pPr>
      <m:oMath>
        <m:r>
          <w:rPr>
            <w:rFonts w:ascii="Cambria Math" w:hAnsi="Cambria Math"/>
          </w:rPr>
          <m:t>n</m:t>
        </m:r>
      </m:oMath>
      <w:r>
        <w:t xml:space="preserve"> = expoente (tipicamente aproximado a 2 para ciências)</w:t>
      </w:r>
    </w:p>
    <w:p w14:paraId="35733253" w14:textId="77777777" w:rsidR="00FE7890" w:rsidRDefault="00000000">
      <w:r>
        <w:t>A análise de cocitação e acoplamento bibliográfico não foram realizadas devido à ausência de campos de referências citadas nos arquivos bibliográficos disponíveis.</w:t>
      </w:r>
    </w:p>
    <w:p w14:paraId="35733254" w14:textId="77777777" w:rsidR="00FE7890" w:rsidRDefault="00000000">
      <w:pPr>
        <w:pStyle w:val="Ttulo2"/>
      </w:pPr>
      <w:bookmarkStart w:id="16" w:name="Xa73ec537bdf1c61b8c1fa0323e31fabdcd8342f"/>
      <w:bookmarkEnd w:id="15"/>
      <w:r>
        <w:lastRenderedPageBreak/>
        <w:t>2.7 Quarta Fase: Síntese Qualitativa e Integração com Análise Documental</w:t>
      </w:r>
    </w:p>
    <w:p w14:paraId="35733255" w14:textId="77777777" w:rsidR="00FE7890" w:rsidRDefault="00000000">
      <w:r>
        <w:t>Na quarta fase, foram integrados sistematicamente os achados das fases anteriores com análise documental de marcos regulatórios, fundamentando as recomendações metodológicas da revisão.</w:t>
      </w:r>
    </w:p>
    <w:p w14:paraId="35733256" w14:textId="77777777" w:rsidR="00FE7890" w:rsidRDefault="00000000">
      <w:pPr>
        <w:pStyle w:val="Corpodetexto"/>
      </w:pPr>
      <w:r>
        <w:t>A síntese final combinou análise qualitativa temática com seleção baseada no princípio de Pareto (80/20), priorizando os 20% dos artigos com maior pontuação combinada (40% qualidade metodológica, 35% relevância temática, 25% impacto bibliométrico).</w:t>
      </w:r>
    </w:p>
    <w:p w14:paraId="35733257" w14:textId="77777777" w:rsidR="00FE7890" w:rsidRDefault="00000000">
      <w:pPr>
        <w:pStyle w:val="Corpodetexto"/>
      </w:pPr>
      <w:r>
        <w:t>A pontuação combinada final foi calculada como:</w:t>
      </w:r>
    </w:p>
    <w:p w14:paraId="35733258" w14:textId="77777777" w:rsidR="00FE7890" w:rsidRDefault="00000000">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35733259" w14:textId="77777777" w:rsidR="00FE7890" w:rsidRDefault="00000000">
      <w:r>
        <w:t>Onde:</w:t>
      </w:r>
    </w:p>
    <w:p w14:paraId="3573325A" w14:textId="77777777" w:rsidR="00FE7890" w:rsidRDefault="00000000">
      <w:pPr>
        <w:numPr>
          <w:ilvl w:val="0"/>
          <w:numId w:val="31"/>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3573325B" w14:textId="77777777" w:rsidR="00FE7890" w:rsidRDefault="00000000">
      <w:pPr>
        <w:numPr>
          <w:ilvl w:val="0"/>
          <w:numId w:val="31"/>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3573325C" w14:textId="77777777" w:rsidR="00FE7890" w:rsidRDefault="00000000">
      <w:pPr>
        <w:numPr>
          <w:ilvl w:val="0"/>
          <w:numId w:val="31"/>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3573325D" w14:textId="77777777" w:rsidR="00FE7890" w:rsidRDefault="00000000">
      <w:pPr>
        <w:numPr>
          <w:ilvl w:val="0"/>
          <w:numId w:val="31"/>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3573325E" w14:textId="77777777" w:rsidR="00FE7890" w:rsidRDefault="00000000">
      <w:pPr>
        <w:pStyle w:val="Ttulo2"/>
      </w:pPr>
      <w:bookmarkStart w:id="17" w:name="análises-estatísticas"/>
      <w:bookmarkEnd w:id="16"/>
      <w:r>
        <w:t>2.8 Análises Estatísticas</w:t>
      </w:r>
    </w:p>
    <w:p w14:paraId="3573325F" w14:textId="77777777" w:rsidR="00FE7890" w:rsidRDefault="00000000">
      <w:r>
        <w:t xml:space="preserve">Para caracterizar sistematicamente o corpus bibliográfico e identificar padrões emergentes, as análises estatísticas foram implementadas no ambiente R (R. C. Team, 2024) utilizando o </w:t>
      </w:r>
      <w:proofErr w:type="spellStart"/>
      <w:r>
        <w:t>RStudio</w:t>
      </w:r>
      <w:proofErr w:type="spellEnd"/>
      <w:r>
        <w:t xml:space="preserve"> (Rs. Team, 2023) e pacotes específicos.</w:t>
      </w:r>
    </w:p>
    <w:p w14:paraId="35733260" w14:textId="77777777" w:rsidR="00FE7890" w:rsidRDefault="00000000">
      <w:pPr>
        <w:pStyle w:val="Ttulo3"/>
      </w:pPr>
      <w:bookmarkStart w:id="18" w:name="análise-de-correspondência-múltipla-mca"/>
      <w:r>
        <w:t>2.8.1 Análise de Correspondência Múltipla (MCA)</w:t>
      </w:r>
    </w:p>
    <w:p w14:paraId="35733261" w14:textId="77777777" w:rsidR="00FE7890" w:rsidRDefault="00000000">
      <w:r>
        <w:t xml:space="preserve">A Análise de Correspondência Múltipla (MCA) foi adotada para investigar associações entre as variáveis categóricas (algoritmos, produtos, </w:t>
      </w:r>
      <w:proofErr w:type="gramStart"/>
      <w:r>
        <w:t>regiões, etc.</w:t>
      </w:r>
      <w:proofErr w:type="gramEnd"/>
      <w:r>
        <w:t xml:space="preserve">), conforme metodologia consolidada por Lê et al. (2008) e </w:t>
      </w:r>
      <w:proofErr w:type="spellStart"/>
      <w:r>
        <w:t>Greenacre</w:t>
      </w:r>
      <w:proofErr w:type="spellEnd"/>
      <w:r>
        <w:t xml:space="preserve"> (2017). A análise, conduzida com o pacote </w:t>
      </w:r>
      <w:proofErr w:type="spellStart"/>
      <w:r>
        <w:t>FactoMineR</w:t>
      </w:r>
      <w:proofErr w:type="spellEnd"/>
      <w:r>
        <w:t xml:space="preserve"> para a interpretação das relações conceituais da área.</w:t>
      </w:r>
    </w:p>
    <w:p w14:paraId="35733262" w14:textId="77777777" w:rsidR="00FE7890" w:rsidRDefault="00000000">
      <w:pPr>
        <w:pStyle w:val="Ttulo3"/>
      </w:pPr>
      <w:bookmarkStart w:id="19" w:name="análise-de-redes-network-analysis"/>
      <w:bookmarkEnd w:id="18"/>
      <w:r>
        <w:t xml:space="preserve">2.8.2 Análise de Redes (Network </w:t>
      </w:r>
      <w:proofErr w:type="spellStart"/>
      <w:r>
        <w:t>Analysis</w:t>
      </w:r>
      <w:proofErr w:type="spellEnd"/>
      <w:r>
        <w:t>)</w:t>
      </w:r>
    </w:p>
    <w:p w14:paraId="35733263" w14:textId="77777777" w:rsidR="00FE7890" w:rsidRDefault="00000000">
      <w:r>
        <w:t xml:space="preserve">A análise de redes foi implementada para mapear </w:t>
      </w:r>
      <w:proofErr w:type="spellStart"/>
      <w:r>
        <w:t>co-ocorrências</w:t>
      </w:r>
      <w:proofErr w:type="spellEnd"/>
      <w:r>
        <w:t xml:space="preserve"> entre algoritmos, produtos e regiões, seguindo procedimentos de análise de redes complexas (</w:t>
      </w:r>
      <w:proofErr w:type="spellStart"/>
      <w:r>
        <w:t>Csárdi</w:t>
      </w:r>
      <w:proofErr w:type="spellEnd"/>
      <w:r>
        <w:t xml:space="preserve"> &amp; </w:t>
      </w:r>
      <w:proofErr w:type="spellStart"/>
      <w:r>
        <w:t>Nepusz</w:t>
      </w:r>
      <w:proofErr w:type="spellEnd"/>
      <w:r>
        <w:t xml:space="preserve">, 2006; </w:t>
      </w:r>
      <w:proofErr w:type="spellStart"/>
      <w:r>
        <w:t>Schoch</w:t>
      </w:r>
      <w:proofErr w:type="spellEnd"/>
      <w:r>
        <w:t xml:space="preserve">, 2020). Utilizando os pacotes </w:t>
      </w:r>
      <w:proofErr w:type="spellStart"/>
      <w:r>
        <w:t>igraph</w:t>
      </w:r>
      <w:proofErr w:type="spellEnd"/>
      <w:r>
        <w:t xml:space="preserve"> e </w:t>
      </w:r>
      <w:proofErr w:type="spellStart"/>
      <w:r>
        <w:t>ggraph</w:t>
      </w:r>
      <w:proofErr w:type="spellEnd"/>
      <w:r>
        <w:t xml:space="preserve">, foi construído um grafo não-direcionado, e a detecção de comunidades foi realizada com o algoritmo de </w:t>
      </w:r>
      <w:proofErr w:type="spellStart"/>
      <w:r>
        <w:t>Louvain</w:t>
      </w:r>
      <w:proofErr w:type="spellEnd"/>
      <w:r>
        <w:t xml:space="preserve"> (</w:t>
      </w:r>
      <w:proofErr w:type="spellStart"/>
      <w:r>
        <w:t>Blondel</w:t>
      </w:r>
      <w:proofErr w:type="spellEnd"/>
      <w:r>
        <w:t xml:space="preserve"> et al., 2008) para identificar módulos temáticos.</w:t>
      </w:r>
    </w:p>
    <w:p w14:paraId="35733264" w14:textId="77777777" w:rsidR="00FE7890" w:rsidRDefault="00000000">
      <w:pPr>
        <w:pStyle w:val="Ttulo3"/>
      </w:pPr>
      <w:bookmarkStart w:id="20" w:name="análise-temporal"/>
      <w:bookmarkEnd w:id="19"/>
      <w:r>
        <w:t>2.8.3 Análise Temporal</w:t>
      </w:r>
    </w:p>
    <w:p w14:paraId="35733265" w14:textId="77777777" w:rsidR="00FE7890" w:rsidRDefault="00000000">
      <w:r>
        <w:t xml:space="preserve">A evolução temporal das publicações (2010–2025) foi analisada por meio de séries temporais, empregando o teste de correlação de </w:t>
      </w:r>
      <w:proofErr w:type="spellStart"/>
      <w:r>
        <w:t>Spearman</w:t>
      </w:r>
      <w:proofErr w:type="spellEnd"/>
      <w:r>
        <w:t xml:space="preserve"> (</w:t>
      </w:r>
      <w:proofErr w:type="spellStart"/>
      <w:r>
        <w:t>Spearman</w:t>
      </w:r>
      <w:proofErr w:type="spellEnd"/>
      <w:r>
        <w:t xml:space="preserve">, 1904) para detectar tendências significativas. As visualizações foram geradas com o pacote </w:t>
      </w:r>
      <w:r>
        <w:lastRenderedPageBreak/>
        <w:t>ggplot2, utilizando suavização LOESS (Cleveland, 1979) para ilustrar a dinâmica de crescimento do campo e a adoção de diferentes tecnologias.</w:t>
      </w:r>
    </w:p>
    <w:p w14:paraId="35733266" w14:textId="77777777" w:rsidR="00FE7890" w:rsidRDefault="00000000">
      <w:pPr>
        <w:pStyle w:val="Ttulo2"/>
      </w:pPr>
      <w:bookmarkStart w:id="21" w:name="resultados-e-discussão"/>
      <w:bookmarkEnd w:id="17"/>
      <w:bookmarkEnd w:id="20"/>
      <w:r>
        <w:t>3. Resultados e Discussão</w:t>
      </w:r>
    </w:p>
    <w:p w14:paraId="35733267" w14:textId="77777777" w:rsidR="00FE7890" w:rsidRDefault="00000000">
      <w:pPr>
        <w:pStyle w:val="Ttulo2"/>
      </w:pPr>
      <w:bookmarkStart w:id="22" w:name="síntese-executiva-da-revisão-de-escopo"/>
      <w:bookmarkEnd w:id="21"/>
      <w:r>
        <w:t>3.1 Síntese Executiva da Revisão de Escopo</w:t>
      </w:r>
    </w:p>
    <w:p w14:paraId="35733268" w14:textId="77777777" w:rsidR="00FE7890" w:rsidRDefault="00000000">
      <w:r>
        <w:t>A revisão de escopo, estruturada segundo PRISMA-</w:t>
      </w:r>
      <w:proofErr w:type="spellStart"/>
      <w:r>
        <w:t>ScR</w:t>
      </w:r>
      <w:proofErr w:type="spellEnd"/>
      <w:r>
        <w:t xml:space="preserve">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 (Hu et al., 2024).</w:t>
      </w:r>
    </w:p>
    <w:p w14:paraId="35733269" w14:textId="77777777" w:rsidR="00FE7890" w:rsidRDefault="00000000">
      <w:bookmarkStart w:id="23" w:name="fig:prisma2020"/>
      <w:r>
        <w:rPr>
          <w:noProof/>
        </w:rPr>
        <w:drawing>
          <wp:inline distT="0" distB="0" distL="0" distR="0" wp14:anchorId="35733390" wp14:editId="35733391">
            <wp:extent cx="4480560" cy="2473085"/>
            <wp:effectExtent l="0" t="0" r="0" b="0"/>
            <wp:docPr id="42" name="Picture" descr="Fluxograma da revisão de Escopo sobre Aplicações de Machine Learning em Indicações Geográficas."/>
            <wp:cNvGraphicFramePr/>
            <a:graphic xmlns:a="http://schemas.openxmlformats.org/drawingml/2006/main">
              <a:graphicData uri="http://schemas.openxmlformats.org/drawingml/2006/picture">
                <pic:pic xmlns:pic="http://schemas.openxmlformats.org/drawingml/2006/picture">
                  <pic:nvPicPr>
                    <pic:cNvPr id="43" name="Picture" descr="2-FIGURAS/prisma_flowdiagram_portugues.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p>
    <w:p w14:paraId="3573326A" w14:textId="77777777" w:rsidR="00FE7890" w:rsidRDefault="00000000">
      <w:r>
        <w:t>Fluxograma da revisão de Escopo sobre Aplicações de Machine Learning em Indicações Geográficas.</w:t>
      </w:r>
    </w:p>
    <w:bookmarkEnd w:id="23"/>
    <w:p w14:paraId="3573326B" w14:textId="77777777" w:rsidR="00FE7890" w:rsidRDefault="00000000">
      <w:pPr>
        <w:pStyle w:val="Corpodetexto"/>
      </w:pPr>
      <w:r>
        <w:t xml:space="preserve">A filtragem automatizada por análise semântica e pontuação alcançou precisão temática de 94.2%, superando o limiar de 85% estabelecido. A abordagem de triagem computacional mostrou-se eficaz para revisões com grandes volumes bibliográficos, confirmando que sistemas automatizados calibrados reduzem vieses de seleção e aumentam </w:t>
      </w:r>
      <w:proofErr w:type="spellStart"/>
      <w:r>
        <w:t>reproducibilidade</w:t>
      </w:r>
      <w:proofErr w:type="spellEnd"/>
      <w:r>
        <w:t xml:space="preserve"> (</w:t>
      </w:r>
      <w:proofErr w:type="spellStart"/>
      <w:r>
        <w:t>Ofori-Boateng</w:t>
      </w:r>
      <w:proofErr w:type="spellEnd"/>
      <w:r>
        <w:t xml:space="preserve"> et al., 2024). A reprodutibilidade de 100% em execuções múltiplas do algoritmo, associada à concordância </w:t>
      </w:r>
      <w:proofErr w:type="spellStart"/>
      <w:r>
        <w:t>interavaliadores</w:t>
      </w:r>
      <w:proofErr w:type="spellEnd"/>
      <w:r>
        <w:t xml:space="preserve"> de κ = 0.89, garante que os achados refletem, com alta confiabilidade, o estado atual da literatura científica neste domínio.</w:t>
      </w:r>
    </w:p>
    <w:p w14:paraId="3573326C" w14:textId="77777777" w:rsidR="00FE7890" w:rsidRDefault="00000000">
      <w:pPr>
        <w:pStyle w:val="Corpodetexto"/>
      </w:pPr>
      <w:r>
        <w:t xml:space="preserve">A avaliação manual de qualidade metodológica alcançou coeficiente de correlação intraclasse (ICC) de 0,87 (intervalo de confiança de 95%: 0,84–0,91), </w:t>
      </w:r>
      <w:r>
        <w:lastRenderedPageBreak/>
        <w:t>confirmando boa concordância entre avaliadores e legitimando os critérios de inclusão utilizados (</w:t>
      </w:r>
      <w:proofErr w:type="spellStart"/>
      <w:r>
        <w:t>Streiner</w:t>
      </w:r>
      <w:proofErr w:type="spellEnd"/>
      <w:r>
        <w:t xml:space="preserve"> &amp; Norman, 2008). Esta validação assegura que os estudos selecionados para análise sintética atendem a requisitos adequados de rigor metodológico.</w:t>
      </w:r>
    </w:p>
    <w:p w14:paraId="3573326D" w14:textId="77777777" w:rsidR="00FE7890" w:rsidRDefault="00000000">
      <w:pPr>
        <w:pStyle w:val="Ttulo2"/>
      </w:pPr>
      <w:bookmarkStart w:id="24" w:name="X436b3ae93799519be02fd9051a8c628a7b063c7"/>
      <w:bookmarkEnd w:id="22"/>
      <w:r>
        <w:t>3.2 Análise Estrutural e Temporal do Corpus Científico</w:t>
      </w:r>
    </w:p>
    <w:p w14:paraId="3573326E" w14:textId="77777777" w:rsidR="00FE7890" w:rsidRDefault="00000000">
      <w:r>
        <w:t>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categóricas binárias), indicando uma estrutura conceitual diversificada no campo (Figura 3).</w:t>
      </w:r>
    </w:p>
    <w:p w14:paraId="3573326F" w14:textId="77777777" w:rsidR="00FE7890" w:rsidRDefault="00000000">
      <w:bookmarkStart w:id="25" w:name="fig:mca_temporal"/>
      <w:r>
        <w:rPr>
          <w:noProof/>
        </w:rPr>
        <w:drawing>
          <wp:inline distT="0" distB="0" distL="0" distR="0" wp14:anchorId="35733392" wp14:editId="35733393">
            <wp:extent cx="4480560" cy="3200206"/>
            <wp:effectExtent l="0" t="0" r="0" b="0"/>
            <wp:docPr id="47" name="Picture" descr="Biplot de Análise de Correspondência Múltipla (ACM) mostrando a evolução temporal das aplicações de aprendizado de máquina para autenticação de indicações geográficas (2010-2025)."/>
            <wp:cNvGraphicFramePr/>
            <a:graphic xmlns:a="http://schemas.openxmlformats.org/drawingml/2006/main">
              <a:graphicData uri="http://schemas.openxmlformats.org/drawingml/2006/picture">
                <pic:pic xmlns:pic="http://schemas.openxmlformats.org/drawingml/2006/picture">
                  <pic:nvPicPr>
                    <pic:cNvPr id="48" name="Picture" descr="2-FIGURAS/mca_biplot.png"/>
                    <pic:cNvPicPr>
                      <a:picLocks noChangeAspect="1" noChangeArrowheads="1"/>
                    </pic:cNvPicPr>
                  </pic:nvPicPr>
                  <pic:blipFill>
                    <a:blip r:embed="rId7"/>
                    <a:stretch>
                      <a:fillRect/>
                    </a:stretch>
                  </pic:blipFill>
                  <pic:spPr bwMode="auto">
                    <a:xfrm>
                      <a:off x="0" y="0"/>
                      <a:ext cx="4480560" cy="3200206"/>
                    </a:xfrm>
                    <a:prstGeom prst="rect">
                      <a:avLst/>
                    </a:prstGeom>
                    <a:noFill/>
                    <a:ln w="9525">
                      <a:noFill/>
                      <a:headEnd/>
                      <a:tailEnd/>
                    </a:ln>
                  </pic:spPr>
                </pic:pic>
              </a:graphicData>
            </a:graphic>
          </wp:inline>
        </w:drawing>
      </w:r>
    </w:p>
    <w:p w14:paraId="35733270" w14:textId="77777777" w:rsidR="00FE7890" w:rsidRDefault="00000000">
      <w:proofErr w:type="spellStart"/>
      <w:r>
        <w:t>Biplot</w:t>
      </w:r>
      <w:proofErr w:type="spellEnd"/>
      <w:r>
        <w:t xml:space="preserve"> de Análise de Correspondência Múltipla (ACM) mostrando a evolução temporal das aplicações de aprendizado de máquina para autenticação de indicações geográficas (2010-2025).</w:t>
      </w:r>
    </w:p>
    <w:bookmarkEnd w:id="25"/>
    <w:p w14:paraId="35733271" w14:textId="77777777" w:rsidR="00FE7890" w:rsidRDefault="00000000">
      <w:pPr>
        <w:pStyle w:val="Corpodetexto"/>
      </w:pPr>
      <w:r>
        <w:rPr>
          <w:i/>
          <w:iCs/>
        </w:rPr>
        <w:t>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t>
      </w:r>
      <w:proofErr w:type="spellStart"/>
      <w:r>
        <w:rPr>
          <w:i/>
          <w:iCs/>
        </w:rPr>
        <w:t>Wine</w:t>
      </w:r>
      <w:proofErr w:type="spellEnd"/>
      <w:r>
        <w:rPr>
          <w:i/>
          <w:iCs/>
        </w:rPr>
        <w:t xml:space="preserve">, </w:t>
      </w:r>
      <w:proofErr w:type="spellStart"/>
      <w:r>
        <w:rPr>
          <w:i/>
          <w:iCs/>
        </w:rPr>
        <w:t>Honey</w:t>
      </w:r>
      <w:proofErr w:type="spellEnd"/>
      <w:r>
        <w:rPr>
          <w:i/>
          <w:iCs/>
        </w:rPr>
        <w:t xml:space="preserve">, Olive, </w:t>
      </w:r>
      <w:proofErr w:type="spellStart"/>
      <w:r>
        <w:rPr>
          <w:i/>
          <w:iCs/>
        </w:rPr>
        <w:t>Coffee</w:t>
      </w:r>
      <w:proofErr w:type="spellEnd"/>
      <w:r>
        <w:rPr>
          <w:i/>
          <w:iCs/>
        </w:rPr>
        <w:t>) são exibidos sobre os pontos correspondentes. As dimensões 1 e 2 explicam 4,82% e 4,77% da variância total, respectivamente.</w:t>
      </w:r>
    </w:p>
    <w:p w14:paraId="35733272" w14:textId="77777777" w:rsidR="00FE7890" w:rsidRDefault="00000000">
      <w:pPr>
        <w:pStyle w:val="Corpodetexto"/>
      </w:pPr>
      <w:r>
        <w:lastRenderedPageBreak/>
        <w:t xml:space="preserve">A visualização temporal por meio das elipses de confiança demonstra uma expansão do campo ao longo do tempo. O período 2010-2018 apresenta-se como uma fase de consolidação metodológica, caracterizada por uma concentração de estudos em torno de produtos tradicionais europeus (especialmente vinhos) e o uso de técnicas espectroscópicas consolidadas (NIR, FTIR) associadas a algoritmos clássicos de </w:t>
      </w:r>
      <w:proofErr w:type="spellStart"/>
      <w:r>
        <w:t>quimiometria</w:t>
      </w:r>
      <w:proofErr w:type="spellEnd"/>
      <w:r>
        <w:t xml:space="preserve"> (PLS-</w:t>
      </w:r>
      <w:proofErr w:type="gramStart"/>
      <w:r>
        <w:t>DA, SVM</w:t>
      </w:r>
      <w:proofErr w:type="gramEnd"/>
      <w:r>
        <w:t>). A distribuição espacial compacta dos pontos neste período indica uma homogeneidade metodológica, refletindo um paradigma científico bem estabelecido focado na autenticação de produtos com Denominações de Origem Protegida (DOP) já certificadas (</w:t>
      </w:r>
      <w:proofErr w:type="spellStart"/>
      <w:r>
        <w:t>Mohammadi</w:t>
      </w:r>
      <w:proofErr w:type="spellEnd"/>
      <w:r>
        <w:t xml:space="preserve"> et al., 2024; </w:t>
      </w:r>
      <w:proofErr w:type="spellStart"/>
      <w:r>
        <w:t>Rebiai</w:t>
      </w:r>
      <w:proofErr w:type="spellEnd"/>
      <w:r>
        <w:t xml:space="preserve"> et al., 2022).</w:t>
      </w:r>
    </w:p>
    <w:p w14:paraId="35733273" w14:textId="77777777" w:rsidR="00FE7890" w:rsidRDefault="00000000">
      <w:pPr>
        <w:pStyle w:val="Corpodetexto"/>
      </w:pPr>
      <w:r>
        <w:t>O período intermediário 2019-2021 marca uma transição significativa, evidenciada pelo aumento da dispersão dos pontos no espaço multidimensional e pela diversificação dos produtos investigados. Esta fase corresponde à democratização de ferramentas de Machine Learning e à crescente acessibilidade de técnicas analíticas avançadas, permitindo a expansão geográfica das pesquisas para além do contexto europeu. Observa-se neste período a emergência de estudos asiáticos focados em produtos como chás e plantas medicinais, bem como a introdução gradual de algoritmos mais sofisticados como Random Forest e redes neurais artificiais (</w:t>
      </w:r>
      <w:proofErr w:type="spellStart"/>
      <w:r>
        <w:t>Liakos</w:t>
      </w:r>
      <w:proofErr w:type="spellEnd"/>
      <w:r>
        <w:t xml:space="preserve"> et al., 2018).</w:t>
      </w:r>
    </w:p>
    <w:p w14:paraId="35733274" w14:textId="77777777" w:rsidR="00FE7890" w:rsidRDefault="00000000">
      <w:pPr>
        <w:pStyle w:val="Corpodetexto"/>
      </w:pPr>
      <w:r>
        <w:t xml:space="preserve">O período mais recente (2022-2025) apresenta um aumento significativo na produção científica, com 95 estudos (64% do corpus) e diversidade metodológica crescente. A amplitude da elipse no </w:t>
      </w:r>
      <w:proofErr w:type="spellStart"/>
      <w:r>
        <w:t>biplot</w:t>
      </w:r>
      <w:proofErr w:type="spellEnd"/>
      <w:r>
        <w:t xml:space="preserve"> reflete a heterogeneidade do campo, integrando aplicações de Deep Learning para processamento de imagens </w:t>
      </w:r>
      <w:proofErr w:type="spellStart"/>
      <w:r>
        <w:t>hiperespectrais</w:t>
      </w:r>
      <w:proofErr w:type="spellEnd"/>
      <w:r>
        <w:t xml:space="preserve">, metabolômica </w:t>
      </w:r>
      <w:proofErr w:type="spellStart"/>
      <w:r>
        <w:t>untargeted</w:t>
      </w:r>
      <w:proofErr w:type="spellEnd"/>
      <w:r>
        <w:t xml:space="preserve"> com espectrometria de massas (LC-MS, GC-MS), abordagens multimodais e técnicas de </w:t>
      </w:r>
      <w:proofErr w:type="spellStart"/>
      <w:r>
        <w:t>transfer</w:t>
      </w:r>
      <w:proofErr w:type="spellEnd"/>
      <w:r>
        <w:t xml:space="preserve"> learning para lidar com escassez de dados rotulados (He et al., 2024; Liu et al., 2025; Wang et al., 2021). Essa diversidade resulta em trajetórias analíticas segmentadas, com estudos focados em instrumentação (quadrados) exploram capacidades analíticas, enquanto aqueles centrados em algoritmos (Figura 3) priorizam arquiteturas computacionais, sugerindo especializações disciplinares </w:t>
      </w:r>
      <w:proofErr w:type="gramStart"/>
      <w:r>
        <w:t>emergentes(</w:t>
      </w:r>
      <w:proofErr w:type="gramEnd"/>
      <w:r>
        <w:t>Feng et al., 2025; Peng et al., 2025).</w:t>
      </w:r>
    </w:p>
    <w:p w14:paraId="35733275" w14:textId="77777777" w:rsidR="00FE7890" w:rsidRDefault="00000000">
      <w:pPr>
        <w:pStyle w:val="Corpodetexto"/>
      </w:pPr>
      <w:r>
        <w:t>A distribuição por produto demonstra que vinhos servem como referência metodológica ao longo de todo o período. Mel e azeites concentram-se no intervalo intermediário, devido à maturidade de técnicas espectrais aplicadas a essas matrizes. Café evidencia crescimento recente, associado à adoção de técnicas de alta resolução e modelagem profunda. A categoria “Other” agrupa matrizes diversas (carnes, chás, frutas, plantas medicinais), indicando ampliação do escopo de ML em Indicações Geográficas e fragmentação amostral.</w:t>
      </w:r>
    </w:p>
    <w:p w14:paraId="35733276" w14:textId="77777777" w:rsidR="00FE7890" w:rsidRDefault="00000000">
      <w:pPr>
        <w:pStyle w:val="Ttulo3"/>
      </w:pPr>
      <w:bookmarkStart w:id="26" w:name="análise-de-redes"/>
      <w:r>
        <w:lastRenderedPageBreak/>
        <w:t>Análise de Redes</w:t>
      </w:r>
    </w:p>
    <w:p w14:paraId="35733277" w14:textId="77777777" w:rsidR="00FE7890" w:rsidRDefault="00000000">
      <w:r>
        <w:t xml:space="preserve">A análise de redes de </w:t>
      </w:r>
      <w:proofErr w:type="spellStart"/>
      <w:r>
        <w:t>co-ocorrência</w:t>
      </w:r>
      <w:proofErr w:type="spellEnd"/>
      <w:r>
        <w:t xml:space="preserve"> foi implementada para mapear a estrutura conceitual do campo, revelando as conexões entre algoritmos, produtos e técnicas analíticas (Figura 4). A rede completa, composta por 87 nós e 215 arestas, demonstra uma organização modular clara, onde a aplicação do algoritmo de </w:t>
      </w:r>
      <w:proofErr w:type="spellStart"/>
      <w:r>
        <w:t>Louvain</w:t>
      </w:r>
      <w:proofErr w:type="spellEnd"/>
      <w:r>
        <w:t xml:space="preserve">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14:paraId="35733278" w14:textId="77777777" w:rsidR="00FE7890" w:rsidRDefault="00000000">
      <w:pPr>
        <w:pStyle w:val="Corpodetexto"/>
      </w:pPr>
      <w:bookmarkStart w:id="27" w:name="fig:network_analysiss"/>
      <w:r>
        <w:rPr>
          <w:noProof/>
        </w:rPr>
        <w:drawing>
          <wp:inline distT="0" distB="0" distL="0" distR="0" wp14:anchorId="35733394" wp14:editId="35733395">
            <wp:extent cx="5600700" cy="2115405"/>
            <wp:effectExtent l="0" t="0" r="0" b="0"/>
            <wp:docPr id="51" name="Picture" descr="Análise de Redes de Co-ocorrência. (a) Rede completa mostrando as comunidades temáticas entre algoritmos, produtos e técnicas. (b) Rede focada na co-ocorrência entre algoritmos de ML e produtos."/>
            <wp:cNvGraphicFramePr/>
            <a:graphic xmlns:a="http://schemas.openxmlformats.org/drawingml/2006/main">
              <a:graphicData uri="http://schemas.openxmlformats.org/drawingml/2006/picture">
                <pic:pic xmlns:pic="http://schemas.openxmlformats.org/drawingml/2006/picture">
                  <pic:nvPicPr>
                    <pic:cNvPr id="52" name="Picture" descr="2-FIGURAS/network_ab.png"/>
                    <pic:cNvPicPr>
                      <a:picLocks noChangeAspect="1" noChangeArrowheads="1"/>
                    </pic:cNvPicPr>
                  </pic:nvPicPr>
                  <pic:blipFill>
                    <a:blip r:embed="rId8"/>
                    <a:stretch>
                      <a:fillRect/>
                    </a:stretch>
                  </pic:blipFill>
                  <pic:spPr bwMode="auto">
                    <a:xfrm>
                      <a:off x="0" y="0"/>
                      <a:ext cx="5600700" cy="2115405"/>
                    </a:xfrm>
                    <a:prstGeom prst="rect">
                      <a:avLst/>
                    </a:prstGeom>
                    <a:noFill/>
                    <a:ln w="9525">
                      <a:noFill/>
                      <a:headEnd/>
                      <a:tailEnd/>
                    </a:ln>
                  </pic:spPr>
                </pic:pic>
              </a:graphicData>
            </a:graphic>
          </wp:inline>
        </w:drawing>
      </w:r>
      <w:bookmarkEnd w:id="27"/>
      <w:r>
        <w:t xml:space="preserve"> {#fig:network_analysis_B}</w:t>
      </w:r>
    </w:p>
    <w:p w14:paraId="35733279" w14:textId="77777777" w:rsidR="00FE7890" w:rsidRDefault="00000000">
      <w:pPr>
        <w:pStyle w:val="Corpodetexto"/>
      </w:pPr>
      <w:r>
        <w:t>O primeiro módulo, representando o paradigma mais consolidado na literatura, conecta fortemente Vinhos e Azeites com algoritmos clássicos como PLS-DA e SVM, intrinsecamente ligados à Espectroscopia (NIR) para a autenticação de produtos europeus tradicionais. Em oposição, um segundo módulo, que representa a fronteira da pesquisa, agrupa Chás e Plantas Medicinais com algoritmos de Deep Learning (</w:t>
      </w:r>
      <w:proofErr w:type="spellStart"/>
      <w:r>
        <w:t>CNNs</w:t>
      </w:r>
      <w:proofErr w:type="spellEnd"/>
      <w:r>
        <w:t xml:space="preserve">) e técnicas de Metabolômica (LC-MS), focando na caracterização de produtos asiáticos emergentes. Dois módulos menores, </w:t>
      </w:r>
      <w:proofErr w:type="gramStart"/>
      <w:r>
        <w:t>porém</w:t>
      </w:r>
      <w:proofErr w:type="gramEnd"/>
      <w:r>
        <w:t xml:space="preserve"> distintos, destacam nichos de pesquisa focados em Carnes associadas à Análise Elementar (ICP-MS) e em Azeites combinados com Random Forest. A alta centralidade de “Vinhos” e “Espectroscopia” os posiciona como pontes conceituais, enquanto a visualização focada na </w:t>
      </w:r>
      <w:proofErr w:type="spellStart"/>
      <w:r>
        <w:t>co-ocorrência</w:t>
      </w:r>
      <w:proofErr w:type="spellEnd"/>
      <w:r>
        <w:t xml:space="preserve"> entre algoritmos e produtos (Figura 4b) esclarece as duplas de produto-algoritmo que definem as principais linhas de investigação atuais.</w:t>
      </w:r>
    </w:p>
    <w:p w14:paraId="3573327A" w14:textId="77777777" w:rsidR="00FE7890" w:rsidRDefault="00000000">
      <w:pPr>
        <w:pStyle w:val="Ttulo3"/>
      </w:pPr>
      <w:bookmarkStart w:id="28" w:name="X8475e794fd14284359f037eb4f0ee0a72f177fe"/>
      <w:bookmarkEnd w:id="26"/>
      <w:r>
        <w:t>Evolução da Produção Científica (Análise Temporal)</w:t>
      </w:r>
    </w:p>
    <w:p w14:paraId="3573327B" w14:textId="77777777" w:rsidR="00FE7890" w:rsidRDefault="00000000">
      <w:r>
        <w:t xml:space="preserve">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w:t>
      </w:r>
      <w:r>
        <w:lastRenderedPageBreak/>
        <w:t>catalisaram a transição de métodos puramente laboratoriais para abordagens computacionais integradas na autenticação de produtos (</w:t>
      </w:r>
      <w:proofErr w:type="spellStart"/>
      <w:r>
        <w:t>Liakos</w:t>
      </w:r>
      <w:proofErr w:type="spellEnd"/>
      <w:r>
        <w:t xml:space="preserve"> et al., 2018).</w:t>
      </w:r>
    </w:p>
    <w:p w14:paraId="3573327C" w14:textId="77777777" w:rsidR="00FE7890" w:rsidRDefault="00000000">
      <w:bookmarkStart w:id="29" w:name="fig:temporal_publicacoes"/>
      <w:r>
        <w:rPr>
          <w:noProof/>
        </w:rPr>
        <w:drawing>
          <wp:inline distT="0" distB="0" distL="0" distR="0" wp14:anchorId="35733396" wp14:editId="35733397">
            <wp:extent cx="4480560" cy="2613660"/>
            <wp:effectExtent l="0" t="0" r="0" b="0"/>
            <wp:docPr id="56" name="Picture" descr="Evolução temporal do número de publicações sobre ML em IGs (2010-2025) e a adoção relativa dos principais algoritmos."/>
            <wp:cNvGraphicFramePr/>
            <a:graphic xmlns:a="http://schemas.openxmlformats.org/drawingml/2006/main">
              <a:graphicData uri="http://schemas.openxmlformats.org/drawingml/2006/picture">
                <pic:pic xmlns:pic="http://schemas.openxmlformats.org/drawingml/2006/picture">
                  <pic:nvPicPr>
                    <pic:cNvPr id="57" name="Picture" descr="2-FIGURAS/temporal_publicacoes.png"/>
                    <pic:cNvPicPr>
                      <a:picLocks noChangeAspect="1" noChangeArrowheads="1"/>
                    </pic:cNvPicPr>
                  </pic:nvPicPr>
                  <pic:blipFill>
                    <a:blip r:embed="rId9"/>
                    <a:stretch>
                      <a:fillRect/>
                    </a:stretch>
                  </pic:blipFill>
                  <pic:spPr bwMode="auto">
                    <a:xfrm>
                      <a:off x="0" y="0"/>
                      <a:ext cx="4480560" cy="2613660"/>
                    </a:xfrm>
                    <a:prstGeom prst="rect">
                      <a:avLst/>
                    </a:prstGeom>
                    <a:noFill/>
                    <a:ln w="9525">
                      <a:noFill/>
                      <a:headEnd/>
                      <a:tailEnd/>
                    </a:ln>
                  </pic:spPr>
                </pic:pic>
              </a:graphicData>
            </a:graphic>
          </wp:inline>
        </w:drawing>
      </w:r>
    </w:p>
    <w:p w14:paraId="3573327D" w14:textId="77777777" w:rsidR="00FE7890" w:rsidRDefault="00000000">
      <w:r>
        <w:t xml:space="preserve">Evolução temporal do número de publicações sobre ML em </w:t>
      </w:r>
      <w:proofErr w:type="spellStart"/>
      <w:r>
        <w:t>IGs</w:t>
      </w:r>
      <w:proofErr w:type="spellEnd"/>
      <w:r>
        <w:t xml:space="preserve"> (2010-2025) e a adoção relativa dos principais algoritmos.</w:t>
      </w:r>
    </w:p>
    <w:bookmarkEnd w:id="29"/>
    <w:p w14:paraId="3573327E" w14:textId="77777777" w:rsidR="00FE7890" w:rsidRDefault="00000000">
      <w:pPr>
        <w:pStyle w:val="Corpodetexto"/>
      </w:pPr>
      <w:r>
        <w:t xml:space="preserve">Essa evolução quantitativa é acompanhada por uma clara transição qualitativa nos paradigmas algorítmicos empregados (Figura 6). Até aproximadamente 2018, o campo era dominado por métodos </w:t>
      </w:r>
      <w:proofErr w:type="spellStart"/>
      <w:r>
        <w:t>quimiométricos</w:t>
      </w:r>
      <w:proofErr w:type="spellEnd"/>
      <w:r>
        <w:t xml:space="preserve">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w:t>
      </w:r>
      <w:proofErr w:type="spellStart"/>
      <w:r>
        <w:t>metabolômicos</w:t>
      </w:r>
      <w:proofErr w:type="spellEnd"/>
      <w:r>
        <w:t xml:space="preserve"> (</w:t>
      </w:r>
      <w:proofErr w:type="spellStart"/>
      <w:r>
        <w:t>Lavine</w:t>
      </w:r>
      <w:proofErr w:type="spellEnd"/>
      <w:r>
        <w:t xml:space="preserve"> &amp; </w:t>
      </w:r>
      <w:proofErr w:type="spellStart"/>
      <w:r>
        <w:t>Workman</w:t>
      </w:r>
      <w:proofErr w:type="spellEnd"/>
      <w:r>
        <w:t>, 2005; Shah et al., 2019).</w:t>
      </w:r>
    </w:p>
    <w:p w14:paraId="3573327F" w14:textId="77777777" w:rsidR="00FE7890" w:rsidRDefault="00000000">
      <w:bookmarkStart w:id="30" w:name="fig:temporal_algoritmos"/>
      <w:r>
        <w:rPr>
          <w:noProof/>
        </w:rPr>
        <w:drawing>
          <wp:inline distT="0" distB="0" distL="0" distR="0" wp14:anchorId="35733398" wp14:editId="35733399">
            <wp:extent cx="4480560" cy="2560320"/>
            <wp:effectExtent l="0" t="0" r="0" b="0"/>
            <wp:docPr id="60" name="Picture" descr="Evolução temporal da adoção dos principais algoritmos de Machine Learning em estudos de IGs."/>
            <wp:cNvGraphicFramePr/>
            <a:graphic xmlns:a="http://schemas.openxmlformats.org/drawingml/2006/main">
              <a:graphicData uri="http://schemas.openxmlformats.org/drawingml/2006/picture">
                <pic:pic xmlns:pic="http://schemas.openxmlformats.org/drawingml/2006/picture">
                  <pic:nvPicPr>
                    <pic:cNvPr id="61" name="Picture" descr="2-FIGURAS/temporal_algoritmos.png"/>
                    <pic:cNvPicPr>
                      <a:picLocks noChangeAspect="1" noChangeArrowheads="1"/>
                    </pic:cNvPicPr>
                  </pic:nvPicPr>
                  <pic:blipFill>
                    <a:blip r:embed="rId10"/>
                    <a:stretch>
                      <a:fillRect/>
                    </a:stretch>
                  </pic:blipFill>
                  <pic:spPr bwMode="auto">
                    <a:xfrm>
                      <a:off x="0" y="0"/>
                      <a:ext cx="4480560" cy="2560320"/>
                    </a:xfrm>
                    <a:prstGeom prst="rect">
                      <a:avLst/>
                    </a:prstGeom>
                    <a:noFill/>
                    <a:ln w="9525">
                      <a:noFill/>
                      <a:headEnd/>
                      <a:tailEnd/>
                    </a:ln>
                  </pic:spPr>
                </pic:pic>
              </a:graphicData>
            </a:graphic>
          </wp:inline>
        </w:drawing>
      </w:r>
    </w:p>
    <w:p w14:paraId="35733280" w14:textId="77777777" w:rsidR="00FE7890" w:rsidRDefault="00000000">
      <w:r>
        <w:lastRenderedPageBreak/>
        <w:t xml:space="preserve">Evolução temporal da adoção dos principais algoritmos de Machine Learning em estudos de </w:t>
      </w:r>
      <w:proofErr w:type="spellStart"/>
      <w:r>
        <w:t>IGs</w:t>
      </w:r>
      <w:proofErr w:type="spellEnd"/>
      <w:r>
        <w:t>.</w:t>
      </w:r>
    </w:p>
    <w:bookmarkEnd w:id="30"/>
    <w:p w14:paraId="35733281" w14:textId="77777777" w:rsidR="00FE7890" w:rsidRDefault="00000000">
      <w:pPr>
        <w:pStyle w:val="Corpodetexto"/>
      </w:pPr>
      <w:r>
        <w:t xml:space="preserve">Mais recentemente, o crescimento exponencial na adoção de Redes Neurais e Deep Learning a partir de 2022 sinaliza a emergência de uma nova fronteira tecnológica, focada em extrair padrões de dados não estruturados ou de complexidade superior, como imagens </w:t>
      </w:r>
      <w:proofErr w:type="spellStart"/>
      <w:r>
        <w:t>hiperespectrais</w:t>
      </w:r>
      <w:proofErr w:type="spellEnd"/>
      <w:r>
        <w:t xml:space="preserve">. A coexistência dessas abordagens, com o uso esporádico de algoritmos como KNN e </w:t>
      </w:r>
      <w:proofErr w:type="spellStart"/>
      <w:r>
        <w:t>Decision</w:t>
      </w:r>
      <w:proofErr w:type="spellEnd"/>
      <w:r>
        <w:t xml:space="preserve"> </w:t>
      </w:r>
      <w:proofErr w:type="spellStart"/>
      <w:r>
        <w:t>Tree</w:t>
      </w:r>
      <w:proofErr w:type="spellEnd"/>
      <w:r>
        <w:t xml:space="preserve"> para nichos específicos, ilustra um ecossistema computacional em maturação, onde a seleção do algoritmo é cada vez mais orientada pela natureza do problema e pela estrutura dos dados.</w:t>
      </w:r>
    </w:p>
    <w:p w14:paraId="35733282" w14:textId="77777777" w:rsidR="00FE7890" w:rsidRDefault="00000000">
      <w:pPr>
        <w:pStyle w:val="Ttulo2"/>
      </w:pPr>
      <w:bookmarkStart w:id="31" w:name="X5c2d1980a76d19469d70002b9df752d0e93c628"/>
      <w:bookmarkEnd w:id="24"/>
      <w:bookmarkEnd w:id="28"/>
      <w:r>
        <w:t>3.3 Domínios de Aplicação, Produtos e Padrões de Distribuição Geográfica</w:t>
      </w:r>
    </w:p>
    <w:p w14:paraId="35733283" w14:textId="77777777" w:rsidR="00FE7890" w:rsidRDefault="00000000">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(Tabela 3). Esta distribuição reflete a convergência de múltiplos fatores estratégicos. Primeiro, mercados de elevada remuneração justificam investimentos em certificação e controle analítico. </w:t>
      </w:r>
      <w:proofErr w:type="gramStart"/>
      <w:r>
        <w:t>Segundo, fraude e adulteração</w:t>
      </w:r>
      <w:proofErr w:type="gramEnd"/>
      <w:r>
        <w:t xml:space="preserve"> constituem problemas econômicos relevantes que demandam detecção confiável. Terceiro, disponibilidade de métodos analíticos instrumentais como espectrometria e espectroscopia geram grandes volumes de dados multivariados adequados para processamento por ML.</w:t>
      </w:r>
    </w:p>
    <w:p w14:paraId="35733284" w14:textId="77777777" w:rsidR="00FE7890" w:rsidRDefault="00000000">
      <w:pPr>
        <w:pStyle w:val="Corpodetexto"/>
      </w:pPr>
      <w:r>
        <w:t>A Tabela 3 apresenta síntese dos principais produtos e regiões geográficas estudadas no corpus, destacando a prevalência de determinadas aplicações por categoria de produto.</w:t>
      </w:r>
    </w:p>
    <w:tbl>
      <w:tblPr>
        <w:tblStyle w:val="Table"/>
        <w:tblW w:w="5000" w:type="pct"/>
        <w:tblLayout w:type="fixed"/>
        <w:tblLook w:val="0020" w:firstRow="1" w:lastRow="0" w:firstColumn="0" w:lastColumn="0" w:noHBand="0" w:noVBand="0"/>
      </w:tblPr>
      <w:tblGrid>
        <w:gridCol w:w="1201"/>
        <w:gridCol w:w="2319"/>
        <w:gridCol w:w="2559"/>
        <w:gridCol w:w="1559"/>
        <w:gridCol w:w="1200"/>
      </w:tblGrid>
      <w:tr w:rsidR="00FE7890" w14:paraId="3573328A" w14:textId="77777777" w:rsidTr="00FE7890">
        <w:trPr>
          <w:tblHeader/>
        </w:trPr>
        <w:tc>
          <w:tcPr>
            <w:tcW w:w="1075" w:type="dxa"/>
          </w:tcPr>
          <w:p w14:paraId="35733285" w14:textId="77777777" w:rsidR="00FE7890" w:rsidRDefault="00000000">
            <w:r>
              <w:rPr>
                <w:b/>
                <w:bCs/>
              </w:rPr>
              <w:t>Categoria de Produto</w:t>
            </w:r>
          </w:p>
        </w:tc>
        <w:tc>
          <w:tcPr>
            <w:tcW w:w="2078" w:type="dxa"/>
          </w:tcPr>
          <w:p w14:paraId="35733286" w14:textId="77777777" w:rsidR="00FE7890" w:rsidRDefault="00000000">
            <w:r>
              <w:rPr>
                <w:b/>
                <w:bCs/>
              </w:rPr>
              <w:t>Exemplos Específicos</w:t>
            </w:r>
          </w:p>
        </w:tc>
        <w:tc>
          <w:tcPr>
            <w:tcW w:w="2293" w:type="dxa"/>
          </w:tcPr>
          <w:p w14:paraId="35733287" w14:textId="77777777" w:rsidR="00FE7890" w:rsidRDefault="00000000">
            <w:r>
              <w:rPr>
                <w:b/>
                <w:bCs/>
              </w:rPr>
              <w:t>Indicações Geográficas Primárias</w:t>
            </w:r>
          </w:p>
        </w:tc>
        <w:tc>
          <w:tcPr>
            <w:tcW w:w="1397" w:type="dxa"/>
          </w:tcPr>
          <w:p w14:paraId="35733288" w14:textId="77777777" w:rsidR="00FE7890" w:rsidRDefault="00000000">
            <w:r>
              <w:rPr>
                <w:b/>
                <w:bCs/>
              </w:rPr>
              <w:t>Técnicas ML Predominantes</w:t>
            </w:r>
          </w:p>
        </w:tc>
        <w:tc>
          <w:tcPr>
            <w:tcW w:w="1075" w:type="dxa"/>
          </w:tcPr>
          <w:p w14:paraId="35733289" w14:textId="77777777" w:rsidR="00FE7890" w:rsidRDefault="00000000">
            <w:r>
              <w:rPr>
                <w:b/>
                <w:bCs/>
              </w:rPr>
              <w:t>Frequência Relativa</w:t>
            </w:r>
          </w:p>
        </w:tc>
      </w:tr>
      <w:tr w:rsidR="00FE7890" w14:paraId="35733290" w14:textId="77777777">
        <w:tc>
          <w:tcPr>
            <w:tcW w:w="1075" w:type="dxa"/>
          </w:tcPr>
          <w:p w14:paraId="3573328B" w14:textId="77777777" w:rsidR="00FE7890" w:rsidRDefault="00000000">
            <w:r>
              <w:t>Vinhos e Bebidas Alcoólicas</w:t>
            </w:r>
          </w:p>
        </w:tc>
        <w:tc>
          <w:tcPr>
            <w:tcW w:w="2078" w:type="dxa"/>
          </w:tcPr>
          <w:p w14:paraId="3573328C" w14:textId="77777777" w:rsidR="00FE7890" w:rsidRDefault="00000000">
            <w:r>
              <w:t xml:space="preserve">Vinho tinto, branco, </w:t>
            </w:r>
            <w:proofErr w:type="spellStart"/>
            <w:r>
              <w:t>rosé</w:t>
            </w:r>
            <w:proofErr w:type="spellEnd"/>
            <w:r>
              <w:t>; destilados de frutas; vinagres</w:t>
            </w:r>
          </w:p>
        </w:tc>
        <w:tc>
          <w:tcPr>
            <w:tcW w:w="2293" w:type="dxa"/>
          </w:tcPr>
          <w:p w14:paraId="3573328D" w14:textId="77777777" w:rsidR="00FE7890" w:rsidRDefault="00000000">
            <w:r>
              <w:t>Douro, Rioja, Bordeaux, Denominação de Origem Controlada (DOC)</w:t>
            </w:r>
          </w:p>
        </w:tc>
        <w:tc>
          <w:tcPr>
            <w:tcW w:w="1397" w:type="dxa"/>
          </w:tcPr>
          <w:p w14:paraId="3573328E" w14:textId="77777777" w:rsidR="00FE7890" w:rsidRDefault="00000000">
            <w:r>
              <w:t>Random Forest, SVM, PLS-DA</w:t>
            </w:r>
          </w:p>
        </w:tc>
        <w:tc>
          <w:tcPr>
            <w:tcW w:w="1075" w:type="dxa"/>
          </w:tcPr>
          <w:p w14:paraId="3573328F" w14:textId="77777777" w:rsidR="00FE7890" w:rsidRDefault="00000000">
            <w:r>
              <w:t>34%</w:t>
            </w:r>
          </w:p>
        </w:tc>
      </w:tr>
      <w:tr w:rsidR="00FE7890" w14:paraId="35733296" w14:textId="77777777">
        <w:tc>
          <w:tcPr>
            <w:tcW w:w="1075" w:type="dxa"/>
          </w:tcPr>
          <w:p w14:paraId="35733291" w14:textId="77777777" w:rsidR="00FE7890" w:rsidRDefault="00000000">
            <w:r>
              <w:t>Chás</w:t>
            </w:r>
          </w:p>
        </w:tc>
        <w:tc>
          <w:tcPr>
            <w:tcW w:w="2078" w:type="dxa"/>
          </w:tcPr>
          <w:p w14:paraId="35733292" w14:textId="77777777" w:rsidR="00FE7890" w:rsidRPr="00B63B58" w:rsidRDefault="00000000">
            <w:pPr>
              <w:rPr>
                <w:lang w:val="en-US"/>
              </w:rPr>
            </w:pPr>
            <w:r w:rsidRPr="00B63B58">
              <w:rPr>
                <w:lang w:val="en-US"/>
              </w:rPr>
              <w:t xml:space="preserve">Wuyi Rock Tea, </w:t>
            </w:r>
            <w:proofErr w:type="spellStart"/>
            <w:r w:rsidRPr="00B63B58">
              <w:rPr>
                <w:lang w:val="en-US"/>
              </w:rPr>
              <w:t>Liupao</w:t>
            </w:r>
            <w:proofErr w:type="spellEnd"/>
            <w:r w:rsidRPr="00B63B58">
              <w:rPr>
                <w:lang w:val="en-US"/>
              </w:rPr>
              <w:t>, Oolong, Green Tea</w:t>
            </w:r>
          </w:p>
        </w:tc>
        <w:tc>
          <w:tcPr>
            <w:tcW w:w="2293" w:type="dxa"/>
          </w:tcPr>
          <w:p w14:paraId="35733293" w14:textId="77777777" w:rsidR="00FE7890" w:rsidRDefault="00000000">
            <w:r>
              <w:t>China (Fujian, Zhejiang, Yunnan)</w:t>
            </w:r>
          </w:p>
        </w:tc>
        <w:tc>
          <w:tcPr>
            <w:tcW w:w="1397" w:type="dxa"/>
          </w:tcPr>
          <w:p w14:paraId="35733294" w14:textId="77777777" w:rsidR="00FE7890" w:rsidRDefault="00000000">
            <w:r>
              <w:t>NIR + PLS-DA, GC-MS + ML</w:t>
            </w:r>
          </w:p>
        </w:tc>
        <w:tc>
          <w:tcPr>
            <w:tcW w:w="1075" w:type="dxa"/>
          </w:tcPr>
          <w:p w14:paraId="35733295" w14:textId="77777777" w:rsidR="00FE7890" w:rsidRDefault="00000000">
            <w:r>
              <w:t>18%</w:t>
            </w:r>
          </w:p>
        </w:tc>
      </w:tr>
      <w:tr w:rsidR="00FE7890" w14:paraId="3573329C" w14:textId="77777777">
        <w:tc>
          <w:tcPr>
            <w:tcW w:w="1075" w:type="dxa"/>
          </w:tcPr>
          <w:p w14:paraId="35733297" w14:textId="77777777" w:rsidR="00FE7890" w:rsidRDefault="00000000">
            <w:r>
              <w:t>Carnes Processadas</w:t>
            </w:r>
          </w:p>
        </w:tc>
        <w:tc>
          <w:tcPr>
            <w:tcW w:w="2078" w:type="dxa"/>
          </w:tcPr>
          <w:p w14:paraId="35733298" w14:textId="77777777" w:rsidR="00FE7890" w:rsidRDefault="00000000">
            <w:r>
              <w:t>Cordeiro, Presunto, Carne Bovina</w:t>
            </w:r>
          </w:p>
        </w:tc>
        <w:tc>
          <w:tcPr>
            <w:tcW w:w="2293" w:type="dxa"/>
          </w:tcPr>
          <w:p w14:paraId="35733299" w14:textId="77777777" w:rsidR="00FE7890" w:rsidRDefault="00000000">
            <w:proofErr w:type="spellStart"/>
            <w:r>
              <w:t>Jinhua</w:t>
            </w:r>
            <w:proofErr w:type="spellEnd"/>
            <w:r>
              <w:t xml:space="preserve"> (China), Cordeiro Europeu PGI, Carne </w:t>
            </w:r>
            <w:proofErr w:type="spellStart"/>
            <w:r>
              <w:t>Halal</w:t>
            </w:r>
            <w:proofErr w:type="spellEnd"/>
          </w:p>
        </w:tc>
        <w:tc>
          <w:tcPr>
            <w:tcW w:w="1397" w:type="dxa"/>
          </w:tcPr>
          <w:p w14:paraId="3573329A" w14:textId="77777777" w:rsidR="00FE7890" w:rsidRPr="00B63B58" w:rsidRDefault="00000000">
            <w:pPr>
              <w:rPr>
                <w:lang w:val="en-US"/>
              </w:rPr>
            </w:pPr>
            <w:r w:rsidRPr="00B63B58">
              <w:rPr>
                <w:lang w:val="en-US"/>
              </w:rPr>
              <w:t>Elemental Analysis + SVM, Deep Learning</w:t>
            </w:r>
          </w:p>
        </w:tc>
        <w:tc>
          <w:tcPr>
            <w:tcW w:w="1075" w:type="dxa"/>
          </w:tcPr>
          <w:p w14:paraId="3573329B" w14:textId="77777777" w:rsidR="00FE7890" w:rsidRDefault="00000000">
            <w:r>
              <w:t>15%</w:t>
            </w:r>
          </w:p>
        </w:tc>
      </w:tr>
      <w:tr w:rsidR="00FE7890" w14:paraId="357332A2" w14:textId="77777777">
        <w:tc>
          <w:tcPr>
            <w:tcW w:w="1075" w:type="dxa"/>
          </w:tcPr>
          <w:p w14:paraId="3573329D" w14:textId="77777777" w:rsidR="00FE7890" w:rsidRDefault="00000000">
            <w:r>
              <w:t>Frutas e Hortaliças</w:t>
            </w:r>
          </w:p>
        </w:tc>
        <w:tc>
          <w:tcPr>
            <w:tcW w:w="2078" w:type="dxa"/>
          </w:tcPr>
          <w:p w14:paraId="3573329E" w14:textId="77777777" w:rsidR="00FE7890" w:rsidRDefault="00000000">
            <w:r>
              <w:t xml:space="preserve">Citros, Cebola </w:t>
            </w:r>
            <w:proofErr w:type="spellStart"/>
            <w:r>
              <w:t>Tropea</w:t>
            </w:r>
            <w:proofErr w:type="spellEnd"/>
            <w:r>
              <w:t>, Frutos Vermelhos</w:t>
            </w:r>
          </w:p>
        </w:tc>
        <w:tc>
          <w:tcPr>
            <w:tcW w:w="2293" w:type="dxa"/>
          </w:tcPr>
          <w:p w14:paraId="3573329F" w14:textId="77777777" w:rsidR="00FE7890" w:rsidRDefault="00000000">
            <w:r>
              <w:t xml:space="preserve">Sicília, Calabria (Itália), </w:t>
            </w:r>
            <w:proofErr w:type="spellStart"/>
            <w:r>
              <w:t>Regions</w:t>
            </w:r>
            <w:proofErr w:type="spellEnd"/>
            <w:r>
              <w:t xml:space="preserve"> diversas</w:t>
            </w:r>
          </w:p>
        </w:tc>
        <w:tc>
          <w:tcPr>
            <w:tcW w:w="1397" w:type="dxa"/>
          </w:tcPr>
          <w:p w14:paraId="357332A0" w14:textId="77777777" w:rsidR="00FE7890" w:rsidRDefault="00000000">
            <w:r>
              <w:t>Metabolômica + Random Forest, NIR</w:t>
            </w:r>
          </w:p>
        </w:tc>
        <w:tc>
          <w:tcPr>
            <w:tcW w:w="1075" w:type="dxa"/>
          </w:tcPr>
          <w:p w14:paraId="357332A1" w14:textId="77777777" w:rsidR="00FE7890" w:rsidRDefault="00000000">
            <w:r>
              <w:t>12%</w:t>
            </w:r>
          </w:p>
        </w:tc>
      </w:tr>
      <w:tr w:rsidR="00FE7890" w14:paraId="357332A8" w14:textId="77777777">
        <w:tc>
          <w:tcPr>
            <w:tcW w:w="1075" w:type="dxa"/>
          </w:tcPr>
          <w:p w14:paraId="357332A3" w14:textId="77777777" w:rsidR="00FE7890" w:rsidRDefault="00000000">
            <w:r>
              <w:t>Plantas Medicinais</w:t>
            </w:r>
          </w:p>
        </w:tc>
        <w:tc>
          <w:tcPr>
            <w:tcW w:w="2078" w:type="dxa"/>
          </w:tcPr>
          <w:p w14:paraId="357332A4" w14:textId="77777777" w:rsidR="00FE7890" w:rsidRDefault="00000000">
            <w:proofErr w:type="spellStart"/>
            <w:r>
              <w:t>Panax</w:t>
            </w:r>
            <w:proofErr w:type="spellEnd"/>
            <w:r>
              <w:t xml:space="preserve"> </w:t>
            </w:r>
            <w:proofErr w:type="spellStart"/>
            <w:r>
              <w:t>notoginseng</w:t>
            </w:r>
            <w:proofErr w:type="spellEnd"/>
            <w:r>
              <w:t xml:space="preserve"> (</w:t>
            </w:r>
            <w:proofErr w:type="spellStart"/>
            <w:r>
              <w:t>Ginseng</w:t>
            </w:r>
            <w:proofErr w:type="spellEnd"/>
            <w:r>
              <w:t>), Ervas Medicinais</w:t>
            </w:r>
          </w:p>
        </w:tc>
        <w:tc>
          <w:tcPr>
            <w:tcW w:w="2293" w:type="dxa"/>
          </w:tcPr>
          <w:p w14:paraId="357332A5" w14:textId="77777777" w:rsidR="00FE7890" w:rsidRDefault="00000000">
            <w:r>
              <w:t>Yunnan (China), Regiões Ásia</w:t>
            </w:r>
          </w:p>
        </w:tc>
        <w:tc>
          <w:tcPr>
            <w:tcW w:w="1397" w:type="dxa"/>
          </w:tcPr>
          <w:p w14:paraId="357332A6" w14:textId="77777777" w:rsidR="00FE7890" w:rsidRDefault="00000000">
            <w:r>
              <w:t xml:space="preserve">Metabolômica </w:t>
            </w:r>
            <w:proofErr w:type="spellStart"/>
            <w:r>
              <w:t>Untargeted</w:t>
            </w:r>
            <w:proofErr w:type="spellEnd"/>
            <w:r>
              <w:t>, CNN</w:t>
            </w:r>
          </w:p>
        </w:tc>
        <w:tc>
          <w:tcPr>
            <w:tcW w:w="1075" w:type="dxa"/>
          </w:tcPr>
          <w:p w14:paraId="357332A7" w14:textId="77777777" w:rsidR="00FE7890" w:rsidRDefault="00000000">
            <w:r>
              <w:t>8%</w:t>
            </w:r>
          </w:p>
        </w:tc>
      </w:tr>
      <w:tr w:rsidR="00FE7890" w14:paraId="357332AE" w14:textId="77777777">
        <w:tc>
          <w:tcPr>
            <w:tcW w:w="1075" w:type="dxa"/>
          </w:tcPr>
          <w:p w14:paraId="357332A9" w14:textId="77777777" w:rsidR="00FE7890" w:rsidRDefault="00000000">
            <w:r>
              <w:t>Azeites</w:t>
            </w:r>
          </w:p>
        </w:tc>
        <w:tc>
          <w:tcPr>
            <w:tcW w:w="2078" w:type="dxa"/>
          </w:tcPr>
          <w:p w14:paraId="357332AA" w14:textId="77777777" w:rsidR="00FE7890" w:rsidRDefault="00000000">
            <w:r>
              <w:t>Azeite Extra Virgem, Azeite</w:t>
            </w:r>
          </w:p>
        </w:tc>
        <w:tc>
          <w:tcPr>
            <w:tcW w:w="2293" w:type="dxa"/>
          </w:tcPr>
          <w:p w14:paraId="357332AB" w14:textId="77777777" w:rsidR="00FE7890" w:rsidRDefault="00000000">
            <w:r>
              <w:t xml:space="preserve">Região Mediterrânea, </w:t>
            </w:r>
            <w:proofErr w:type="spellStart"/>
            <w:r>
              <w:t>Italia</w:t>
            </w:r>
            <w:proofErr w:type="spellEnd"/>
            <w:r>
              <w:t xml:space="preserve">, </w:t>
            </w:r>
            <w:proofErr w:type="spellStart"/>
            <w:r>
              <w:t>España</w:t>
            </w:r>
            <w:proofErr w:type="spellEnd"/>
          </w:p>
        </w:tc>
        <w:tc>
          <w:tcPr>
            <w:tcW w:w="1397" w:type="dxa"/>
          </w:tcPr>
          <w:p w14:paraId="357332AC" w14:textId="77777777" w:rsidR="00FE7890" w:rsidRDefault="00000000">
            <w:proofErr w:type="spellStart"/>
            <w:r>
              <w:t>Fingerprinting</w:t>
            </w:r>
            <w:proofErr w:type="spellEnd"/>
            <w:r>
              <w:t xml:space="preserve"> NIR, SVM</w:t>
            </w:r>
          </w:p>
        </w:tc>
        <w:tc>
          <w:tcPr>
            <w:tcW w:w="1075" w:type="dxa"/>
          </w:tcPr>
          <w:p w14:paraId="357332AD" w14:textId="77777777" w:rsidR="00FE7890" w:rsidRDefault="00000000">
            <w:r>
              <w:t>8%</w:t>
            </w:r>
          </w:p>
        </w:tc>
      </w:tr>
      <w:tr w:rsidR="00FE7890" w14:paraId="357332B4" w14:textId="77777777">
        <w:tc>
          <w:tcPr>
            <w:tcW w:w="1075" w:type="dxa"/>
          </w:tcPr>
          <w:p w14:paraId="357332AF" w14:textId="77777777" w:rsidR="00FE7890" w:rsidRDefault="00000000">
            <w:r>
              <w:lastRenderedPageBreak/>
              <w:t>Mel</w:t>
            </w:r>
          </w:p>
        </w:tc>
        <w:tc>
          <w:tcPr>
            <w:tcW w:w="2078" w:type="dxa"/>
          </w:tcPr>
          <w:p w14:paraId="357332B0" w14:textId="77777777" w:rsidR="00FE7890" w:rsidRDefault="00000000">
            <w:r>
              <w:t>Mel Floral, Mel Silvestre</w:t>
            </w:r>
          </w:p>
        </w:tc>
        <w:tc>
          <w:tcPr>
            <w:tcW w:w="2293" w:type="dxa"/>
          </w:tcPr>
          <w:p w14:paraId="357332B1" w14:textId="77777777" w:rsidR="00FE7890" w:rsidRDefault="00000000">
            <w:r>
              <w:t>Lages (Brasil), Regiões Europa</w:t>
            </w:r>
          </w:p>
        </w:tc>
        <w:tc>
          <w:tcPr>
            <w:tcW w:w="1397" w:type="dxa"/>
          </w:tcPr>
          <w:p w14:paraId="357332B2" w14:textId="77777777" w:rsidR="00FE7890" w:rsidRDefault="00000000">
            <w:r>
              <w:t>Espectrometria Elementar, PLS-DA</w:t>
            </w:r>
          </w:p>
        </w:tc>
        <w:tc>
          <w:tcPr>
            <w:tcW w:w="1075" w:type="dxa"/>
          </w:tcPr>
          <w:p w14:paraId="357332B3" w14:textId="77777777" w:rsidR="00FE7890" w:rsidRDefault="00000000">
            <w:r>
              <w:t>5%</w:t>
            </w:r>
          </w:p>
        </w:tc>
      </w:tr>
    </w:tbl>
    <w:p w14:paraId="357332B5" w14:textId="77777777" w:rsidR="00FE7890" w:rsidRDefault="00000000">
      <w:pPr>
        <w:pStyle w:val="Corpodetexto"/>
      </w:pPr>
      <w:r>
        <w:rPr>
          <w:i/>
          <w:iCs/>
        </w:rPr>
        <w:t>Tabela 3: Distribuição de produtos agroalimentares com Indicações Geográficas por categoria, regiões geográficas associadas, técnicas de Machine Learning predominantes e frequência relativa de estudos no corpus analisado (N=148).</w:t>
      </w:r>
    </w:p>
    <w:p w14:paraId="357332B6" w14:textId="77777777" w:rsidR="00FE7890" w:rsidRDefault="00000000">
      <w:pPr>
        <w:pStyle w:val="Corpodetexto"/>
      </w:pPr>
      <w:r>
        <w:t xml:space="preserve">A análise do corpus revelou que as aplicações de Machine Learning em Indicações Geográficas concentram-se predominantemente em produtos agroalimentares, com uma notável densidade de estudos na categoria de bebidas e bebidas alcoólicas. Investigações sobre vinhos de origem protegida, como os das denominações Douro, Rioja e Bordeaux, e chás com indicação geográfica, como o </w:t>
      </w:r>
      <w:proofErr w:type="spellStart"/>
      <w:r>
        <w:t>Wuyi</w:t>
      </w:r>
      <w:proofErr w:type="spellEnd"/>
      <w:r>
        <w:t xml:space="preserve"> Rock Tea da China, são recorrentes. Nesses estudos, a discriminação de origem é frequentemente explorada por meio de </w:t>
      </w:r>
      <w:proofErr w:type="spellStart"/>
      <w:r>
        <w:t>fingerprinting</w:t>
      </w:r>
      <w:proofErr w:type="spellEnd"/>
      <w:r>
        <w:t xml:space="preserve"> </w:t>
      </w:r>
      <w:proofErr w:type="spellStart"/>
      <w:r>
        <w:t>metabolômico</w:t>
      </w:r>
      <w:proofErr w:type="spellEnd"/>
      <w:r>
        <w:t xml:space="preserve"> e análise de traços elementares, demonstrando que o perfil químico das bebidas está intimamente acoplado às condições geográficas de produção e reflete os fatores ambientais associados ao terroir (Ramos et al., 2025; </w:t>
      </w:r>
      <w:proofErr w:type="spellStart"/>
      <w:r>
        <w:t>Xu</w:t>
      </w:r>
      <w:proofErr w:type="spellEnd"/>
      <w:r>
        <w:t xml:space="preserve"> et al., 2021).</w:t>
      </w:r>
    </w:p>
    <w:p w14:paraId="357332B7" w14:textId="77777777" w:rsidR="00FE7890" w:rsidRDefault="00000000">
      <w:pPr>
        <w:pStyle w:val="Corpodetexto"/>
      </w:pPr>
      <w:r>
        <w:t xml:space="preserve">Uma categoria secundária, é a de carnes e produtos cárneos, que abrange estudos sobre cordeiro de regiões específicas, o presunto de </w:t>
      </w:r>
      <w:proofErr w:type="spellStart"/>
      <w:r>
        <w:t>Jinhua</w:t>
      </w:r>
      <w:proofErr w:type="spellEnd"/>
      <w:r>
        <w:t xml:space="preserve"> e carnes com Indicação geográfica protegida. A aplicação de ML neste setor envolve, predominantemente, a discriminação de origem por meio da análise de traços elementares integrada a algoritmos de classificação supervisionada, como Random Forest e SVM, validando que as assinaturas isotópicas e elementares das carnes preservam informação geográfica rastreável (R. C. Chen et al., 2020). Segmentos como frutas, vegetais e plantas medicinais, também foram identificados. Nesses casos, o ML é utilizado para identificar a origem através de </w:t>
      </w:r>
      <w:proofErr w:type="spellStart"/>
      <w:r>
        <w:t>fingerprinting</w:t>
      </w:r>
      <w:proofErr w:type="spellEnd"/>
      <w:r>
        <w:t xml:space="preserve"> metabólico e análise de composição nutricional, explorando a hipótese de que a assinatura bioquímica desses produtos reflete condições edafoclimáticas específicas (Luan et al., 2020; Peng et al., 2025; Ramos et al., 2025). Para plantas medicinais como o </w:t>
      </w:r>
      <w:proofErr w:type="spellStart"/>
      <w:r>
        <w:t>Panax</w:t>
      </w:r>
      <w:proofErr w:type="spellEnd"/>
      <w:r>
        <w:t xml:space="preserve"> </w:t>
      </w:r>
      <w:proofErr w:type="spellStart"/>
      <w:r>
        <w:t>notoginseng</w:t>
      </w:r>
      <w:proofErr w:type="spellEnd"/>
      <w:r>
        <w:t>, a certificação de origem frequentemente implica a validação não apenas da autenticidade, mas também da potência farmacológica, reforçando o vínculo entre a localização geográfica e as propriedades bioativas (Feng et al., 2025).</w:t>
      </w:r>
    </w:p>
    <w:p w14:paraId="357332B8" w14:textId="77777777" w:rsidR="00FE7890" w:rsidRDefault="00000000">
      <w:pPr>
        <w:pStyle w:val="Corpodetexto"/>
      </w:pPr>
      <w:r>
        <w:t xml:space="preserve">A distribuição geográfica dos estudos mostra uma predominância de publicações originárias de instituições de pesquisa da Ásia, particularmente da China, seguidas pela Europa. Em menor proporção, aparecem estudos do Brasil e de outras economias emergentes. Essa assimetria reflete tanto os investimentos recentes da China em tecnologias de rastreabilidade de produtos (Wang et al., 2025) quanto a consolidação de uma cadeia de pesquisa e desenvolvimento em biotecnologia e análise </w:t>
      </w:r>
      <w:r>
        <w:lastRenderedPageBreak/>
        <w:t>instrumental em contextos chineses. Para o Brasil, esse padrão sublinha uma lacuna e, ao mesmo tempo, uma oportunidade para pesquisas orientadas à proteção e valorização das Indicações Geográficas brasileiras por meio de tecnologias computacionais.</w:t>
      </w:r>
    </w:p>
    <w:p w14:paraId="357332B9" w14:textId="77777777" w:rsidR="00FE7890" w:rsidRDefault="00000000">
      <w:pPr>
        <w:pStyle w:val="Ttulo3"/>
      </w:pPr>
      <w:bookmarkStart w:id="32" w:name="análise-bibliométrica"/>
      <w:r>
        <w:t>3.3.1 Análise Bibliométrica</w:t>
      </w:r>
    </w:p>
    <w:p w14:paraId="357332BA" w14:textId="77777777" w:rsidR="00FE7890" w:rsidRDefault="00000000">
      <w:r>
        <w:t xml:space="preserve">A Lei de </w:t>
      </w:r>
      <w:proofErr w:type="spellStart"/>
      <w:r>
        <w:t>Lotka</w:t>
      </w:r>
      <w:proofErr w:type="spellEnd"/>
      <w:r>
        <w:t xml:space="preserve">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w:t>
      </w:r>
      <w:proofErr w:type="spellStart"/>
      <w:r>
        <w:t>IGs</w:t>
      </w:r>
      <w:proofErr w:type="spellEnd"/>
      <w:r>
        <w:t xml:space="preserve"> é colaborativo, com muitos pesquisadores contribuindo esporadicamente, mas com alguns autores altamente produtivos, possivelmente especialistas em </w:t>
      </w:r>
      <w:proofErr w:type="spellStart"/>
      <w:r>
        <w:t>quimiometria</w:t>
      </w:r>
      <w:proofErr w:type="spellEnd"/>
      <w:r>
        <w:t xml:space="preserve"> ou análise instrumental.</w:t>
      </w:r>
    </w:p>
    <w:p w14:paraId="357332BB" w14:textId="77777777" w:rsidR="00FE7890" w:rsidRDefault="00000000">
      <w:pPr>
        <w:pStyle w:val="Corpodetexto"/>
      </w:pPr>
      <w:r>
        <w:t>A análise de cocitação não pôde ser realizada devido à ausência de campos de referências citadas (CR) no arquivo bibliográfico filtrado, limitando a identificação de clusters temáticos e redes de influência. Essa lacuna destaca a necessidade de bases de dados completas para futuras revisões, como Web of Science com campos de citações.</w:t>
      </w:r>
    </w:p>
    <w:p w14:paraId="357332BC" w14:textId="77777777" w:rsidR="00FE7890" w:rsidRDefault="00000000">
      <w:pPr>
        <w:pStyle w:val="Corpodetexto"/>
      </w:pPr>
      <w:r>
        <w:t>A aplicação do princípio de Pareto (80/20) resultou na seleção dos 20% dos artigos com maior pontuação combinada (40% qualidade metodológica, 35% relevância temática, 25% impacto bibliométrico). A Tabela 4 apresenta os 10 artigos selecionados com maior pontuação.</w:t>
      </w:r>
    </w:p>
    <w:tbl>
      <w:tblPr>
        <w:tblStyle w:val="Table"/>
        <w:tblW w:w="5000" w:type="pct"/>
        <w:tblLayout w:type="fixed"/>
        <w:tblLook w:val="0020" w:firstRow="1" w:lastRow="0" w:firstColumn="0" w:lastColumn="0" w:noHBand="0" w:noVBand="0"/>
      </w:tblPr>
      <w:tblGrid>
        <w:gridCol w:w="1419"/>
        <w:gridCol w:w="1309"/>
        <w:gridCol w:w="2837"/>
        <w:gridCol w:w="3273"/>
      </w:tblGrid>
      <w:tr w:rsidR="00FE7890" w14:paraId="357332C1" w14:textId="77777777" w:rsidTr="00FE7890">
        <w:trPr>
          <w:tblHeader/>
        </w:trPr>
        <w:tc>
          <w:tcPr>
            <w:tcW w:w="1271" w:type="dxa"/>
          </w:tcPr>
          <w:p w14:paraId="357332BD" w14:textId="77777777" w:rsidR="00FE7890" w:rsidRDefault="00000000">
            <w:r>
              <w:rPr>
                <w:b/>
                <w:bCs/>
              </w:rPr>
              <w:t>Posição</w:t>
            </w:r>
          </w:p>
        </w:tc>
        <w:tc>
          <w:tcPr>
            <w:tcW w:w="1173" w:type="dxa"/>
          </w:tcPr>
          <w:p w14:paraId="357332BE" w14:textId="77777777" w:rsidR="00FE7890" w:rsidRDefault="00000000">
            <w:r>
              <w:rPr>
                <w:b/>
                <w:bCs/>
              </w:rPr>
              <w:t>Artigo</w:t>
            </w:r>
          </w:p>
        </w:tc>
        <w:tc>
          <w:tcPr>
            <w:tcW w:w="2542" w:type="dxa"/>
          </w:tcPr>
          <w:p w14:paraId="357332BF" w14:textId="77777777" w:rsidR="00FE7890" w:rsidRDefault="00000000">
            <w:r>
              <w:rPr>
                <w:b/>
                <w:bCs/>
              </w:rPr>
              <w:t>Pontuação Combinada</w:t>
            </w:r>
          </w:p>
        </w:tc>
        <w:tc>
          <w:tcPr>
            <w:tcW w:w="2933" w:type="dxa"/>
          </w:tcPr>
          <w:p w14:paraId="357332C0" w14:textId="77777777" w:rsidR="00FE7890" w:rsidRDefault="00000000">
            <w:r>
              <w:rPr>
                <w:b/>
                <w:bCs/>
              </w:rPr>
              <w:t>Principais Contribuições</w:t>
            </w:r>
          </w:p>
        </w:tc>
      </w:tr>
      <w:tr w:rsidR="00FE7890" w14:paraId="357332C6" w14:textId="77777777">
        <w:tc>
          <w:tcPr>
            <w:tcW w:w="1271" w:type="dxa"/>
          </w:tcPr>
          <w:p w14:paraId="357332C2" w14:textId="77777777" w:rsidR="00FE7890" w:rsidRDefault="00000000">
            <w:r>
              <w:t>1</w:t>
            </w:r>
          </w:p>
        </w:tc>
        <w:tc>
          <w:tcPr>
            <w:tcW w:w="1173" w:type="dxa"/>
          </w:tcPr>
          <w:p w14:paraId="357332C3" w14:textId="77777777" w:rsidR="00FE7890" w:rsidRDefault="00000000">
            <w:r>
              <w:t>Li et al. (2025)</w:t>
            </w:r>
          </w:p>
        </w:tc>
        <w:tc>
          <w:tcPr>
            <w:tcW w:w="2542" w:type="dxa"/>
          </w:tcPr>
          <w:p w14:paraId="357332C4" w14:textId="77777777" w:rsidR="00FE7890" w:rsidRDefault="00000000">
            <w:r>
              <w:t>95.2</w:t>
            </w:r>
          </w:p>
        </w:tc>
        <w:tc>
          <w:tcPr>
            <w:tcW w:w="2933" w:type="dxa"/>
          </w:tcPr>
          <w:p w14:paraId="357332C5" w14:textId="77777777" w:rsidR="00FE7890" w:rsidRDefault="00000000">
            <w:r>
              <w:t>Deep Learning para autenticação de chás chineses</w:t>
            </w:r>
          </w:p>
        </w:tc>
      </w:tr>
      <w:tr w:rsidR="00FE7890" w14:paraId="357332CB" w14:textId="77777777">
        <w:tc>
          <w:tcPr>
            <w:tcW w:w="1271" w:type="dxa"/>
          </w:tcPr>
          <w:p w14:paraId="357332C7" w14:textId="77777777" w:rsidR="00FE7890" w:rsidRDefault="00000000">
            <w:r>
              <w:t>2</w:t>
            </w:r>
          </w:p>
        </w:tc>
        <w:tc>
          <w:tcPr>
            <w:tcW w:w="1173" w:type="dxa"/>
          </w:tcPr>
          <w:p w14:paraId="357332C8" w14:textId="77777777" w:rsidR="00FE7890" w:rsidRDefault="00000000">
            <w:r>
              <w:t>Wang et al. (2025)</w:t>
            </w:r>
          </w:p>
        </w:tc>
        <w:tc>
          <w:tcPr>
            <w:tcW w:w="2542" w:type="dxa"/>
          </w:tcPr>
          <w:p w14:paraId="357332C9" w14:textId="77777777" w:rsidR="00FE7890" w:rsidRDefault="00000000">
            <w:r>
              <w:t>92.8</w:t>
            </w:r>
          </w:p>
        </w:tc>
        <w:tc>
          <w:tcPr>
            <w:tcW w:w="2933" w:type="dxa"/>
          </w:tcPr>
          <w:p w14:paraId="357332CA" w14:textId="77777777" w:rsidR="00FE7890" w:rsidRDefault="00000000">
            <w:r>
              <w:t>Blockchain + ML para rastreabilidade</w:t>
            </w:r>
          </w:p>
        </w:tc>
      </w:tr>
      <w:tr w:rsidR="00FE7890" w14:paraId="357332D0" w14:textId="77777777">
        <w:tc>
          <w:tcPr>
            <w:tcW w:w="1271" w:type="dxa"/>
          </w:tcPr>
          <w:p w14:paraId="357332CC" w14:textId="77777777" w:rsidR="00FE7890" w:rsidRDefault="00000000">
            <w:r>
              <w:t>3</w:t>
            </w:r>
          </w:p>
        </w:tc>
        <w:tc>
          <w:tcPr>
            <w:tcW w:w="1173" w:type="dxa"/>
          </w:tcPr>
          <w:p w14:paraId="357332CD" w14:textId="77777777" w:rsidR="00FE7890" w:rsidRDefault="00000000">
            <w:r>
              <w:t>Ramos et al. (2025)</w:t>
            </w:r>
          </w:p>
        </w:tc>
        <w:tc>
          <w:tcPr>
            <w:tcW w:w="2542" w:type="dxa"/>
          </w:tcPr>
          <w:p w14:paraId="357332CE" w14:textId="77777777" w:rsidR="00FE7890" w:rsidRDefault="00000000">
            <w:r>
              <w:t>90.5</w:t>
            </w:r>
          </w:p>
        </w:tc>
        <w:tc>
          <w:tcPr>
            <w:tcW w:w="2933" w:type="dxa"/>
          </w:tcPr>
          <w:p w14:paraId="357332CF" w14:textId="77777777" w:rsidR="00FE7890" w:rsidRDefault="00000000">
            <w:r>
              <w:t xml:space="preserve">Metabolômica </w:t>
            </w:r>
            <w:proofErr w:type="spellStart"/>
            <w:r>
              <w:t>untargeted</w:t>
            </w:r>
            <w:proofErr w:type="spellEnd"/>
            <w:r>
              <w:t xml:space="preserve"> em vinhos</w:t>
            </w:r>
          </w:p>
        </w:tc>
      </w:tr>
      <w:tr w:rsidR="00FE7890" w14:paraId="357332D5" w14:textId="77777777">
        <w:tc>
          <w:tcPr>
            <w:tcW w:w="1271" w:type="dxa"/>
          </w:tcPr>
          <w:p w14:paraId="357332D1" w14:textId="77777777" w:rsidR="00FE7890" w:rsidRDefault="00000000">
            <w:r>
              <w:t>4</w:t>
            </w:r>
          </w:p>
        </w:tc>
        <w:tc>
          <w:tcPr>
            <w:tcW w:w="1173" w:type="dxa"/>
          </w:tcPr>
          <w:p w14:paraId="357332D2" w14:textId="77777777" w:rsidR="00FE7890" w:rsidRDefault="00000000">
            <w:r>
              <w:t>Peng et al. (2025)</w:t>
            </w:r>
          </w:p>
        </w:tc>
        <w:tc>
          <w:tcPr>
            <w:tcW w:w="2542" w:type="dxa"/>
          </w:tcPr>
          <w:p w14:paraId="357332D3" w14:textId="77777777" w:rsidR="00FE7890" w:rsidRDefault="00000000">
            <w:r>
              <w:t>88.9</w:t>
            </w:r>
          </w:p>
        </w:tc>
        <w:tc>
          <w:tcPr>
            <w:tcW w:w="2933" w:type="dxa"/>
          </w:tcPr>
          <w:p w14:paraId="357332D4" w14:textId="77777777" w:rsidR="00FE7890" w:rsidRDefault="00000000">
            <w:r>
              <w:t xml:space="preserve">CNN para imagens </w:t>
            </w:r>
            <w:proofErr w:type="spellStart"/>
            <w:r>
              <w:t>hiperespectrais</w:t>
            </w:r>
            <w:proofErr w:type="spellEnd"/>
          </w:p>
        </w:tc>
      </w:tr>
      <w:tr w:rsidR="00FE7890" w14:paraId="357332DA" w14:textId="77777777">
        <w:tc>
          <w:tcPr>
            <w:tcW w:w="1271" w:type="dxa"/>
          </w:tcPr>
          <w:p w14:paraId="357332D6" w14:textId="77777777" w:rsidR="00FE7890" w:rsidRDefault="00000000">
            <w:r>
              <w:t>5</w:t>
            </w:r>
          </w:p>
        </w:tc>
        <w:tc>
          <w:tcPr>
            <w:tcW w:w="1173" w:type="dxa"/>
          </w:tcPr>
          <w:p w14:paraId="357332D7" w14:textId="77777777" w:rsidR="00FE7890" w:rsidRDefault="00000000">
            <w:r>
              <w:t>Jiang et al. (2025)</w:t>
            </w:r>
          </w:p>
        </w:tc>
        <w:tc>
          <w:tcPr>
            <w:tcW w:w="2542" w:type="dxa"/>
          </w:tcPr>
          <w:p w14:paraId="357332D8" w14:textId="77777777" w:rsidR="00FE7890" w:rsidRDefault="00000000">
            <w:r>
              <w:t>87.3</w:t>
            </w:r>
          </w:p>
        </w:tc>
        <w:tc>
          <w:tcPr>
            <w:tcW w:w="2933" w:type="dxa"/>
          </w:tcPr>
          <w:p w14:paraId="357332D9" w14:textId="77777777" w:rsidR="00FE7890" w:rsidRDefault="00000000">
            <w:r>
              <w:t xml:space="preserve">Classificação </w:t>
            </w:r>
            <w:proofErr w:type="spellStart"/>
            <w:proofErr w:type="gramStart"/>
            <w:r>
              <w:t>multi-espectral</w:t>
            </w:r>
            <w:proofErr w:type="spellEnd"/>
            <w:proofErr w:type="gramEnd"/>
          </w:p>
        </w:tc>
      </w:tr>
      <w:tr w:rsidR="00FE7890" w14:paraId="357332DF" w14:textId="77777777">
        <w:tc>
          <w:tcPr>
            <w:tcW w:w="1271" w:type="dxa"/>
          </w:tcPr>
          <w:p w14:paraId="357332DB" w14:textId="77777777" w:rsidR="00FE7890" w:rsidRDefault="00000000">
            <w:r>
              <w:t>6</w:t>
            </w:r>
          </w:p>
        </w:tc>
        <w:tc>
          <w:tcPr>
            <w:tcW w:w="1173" w:type="dxa"/>
          </w:tcPr>
          <w:p w14:paraId="357332DC" w14:textId="77777777" w:rsidR="00FE7890" w:rsidRDefault="00000000">
            <w:proofErr w:type="spellStart"/>
            <w:r>
              <w:t>Xu</w:t>
            </w:r>
            <w:proofErr w:type="spellEnd"/>
            <w:r>
              <w:t xml:space="preserve"> et al. (2021)</w:t>
            </w:r>
          </w:p>
        </w:tc>
        <w:tc>
          <w:tcPr>
            <w:tcW w:w="2542" w:type="dxa"/>
          </w:tcPr>
          <w:p w14:paraId="357332DD" w14:textId="77777777" w:rsidR="00FE7890" w:rsidRDefault="00000000">
            <w:r>
              <w:t>85.7</w:t>
            </w:r>
          </w:p>
        </w:tc>
        <w:tc>
          <w:tcPr>
            <w:tcW w:w="2933" w:type="dxa"/>
          </w:tcPr>
          <w:p w14:paraId="357332DE" w14:textId="77777777" w:rsidR="00FE7890" w:rsidRDefault="00000000">
            <w:r>
              <w:t>Random Forest em perfis elementares</w:t>
            </w:r>
          </w:p>
        </w:tc>
      </w:tr>
      <w:tr w:rsidR="00FE7890" w14:paraId="357332E4" w14:textId="77777777">
        <w:tc>
          <w:tcPr>
            <w:tcW w:w="1271" w:type="dxa"/>
          </w:tcPr>
          <w:p w14:paraId="357332E0" w14:textId="77777777" w:rsidR="00FE7890" w:rsidRDefault="00000000">
            <w:r>
              <w:t>7</w:t>
            </w:r>
          </w:p>
        </w:tc>
        <w:tc>
          <w:tcPr>
            <w:tcW w:w="1173" w:type="dxa"/>
          </w:tcPr>
          <w:p w14:paraId="357332E1" w14:textId="77777777" w:rsidR="00FE7890" w:rsidRDefault="00000000">
            <w:r>
              <w:t>Chen et al. (2020)</w:t>
            </w:r>
          </w:p>
        </w:tc>
        <w:tc>
          <w:tcPr>
            <w:tcW w:w="2542" w:type="dxa"/>
          </w:tcPr>
          <w:p w14:paraId="357332E2" w14:textId="77777777" w:rsidR="00FE7890" w:rsidRDefault="00000000">
            <w:r>
              <w:t>84.1</w:t>
            </w:r>
          </w:p>
        </w:tc>
        <w:tc>
          <w:tcPr>
            <w:tcW w:w="2933" w:type="dxa"/>
          </w:tcPr>
          <w:p w14:paraId="357332E3" w14:textId="77777777" w:rsidR="00FE7890" w:rsidRDefault="00000000">
            <w:r>
              <w:t>SVM em carnes processadas</w:t>
            </w:r>
          </w:p>
        </w:tc>
      </w:tr>
      <w:tr w:rsidR="00FE7890" w14:paraId="357332E9" w14:textId="77777777">
        <w:tc>
          <w:tcPr>
            <w:tcW w:w="1271" w:type="dxa"/>
          </w:tcPr>
          <w:p w14:paraId="357332E5" w14:textId="77777777" w:rsidR="00FE7890" w:rsidRDefault="00000000">
            <w:r>
              <w:t>8</w:t>
            </w:r>
          </w:p>
        </w:tc>
        <w:tc>
          <w:tcPr>
            <w:tcW w:w="1173" w:type="dxa"/>
          </w:tcPr>
          <w:p w14:paraId="357332E6" w14:textId="77777777" w:rsidR="00FE7890" w:rsidRDefault="00000000">
            <w:proofErr w:type="spellStart"/>
            <w:r>
              <w:t>Mohammadi</w:t>
            </w:r>
            <w:proofErr w:type="spellEnd"/>
            <w:r>
              <w:t xml:space="preserve"> et al. (2024)</w:t>
            </w:r>
          </w:p>
        </w:tc>
        <w:tc>
          <w:tcPr>
            <w:tcW w:w="2542" w:type="dxa"/>
          </w:tcPr>
          <w:p w14:paraId="357332E7" w14:textId="77777777" w:rsidR="00FE7890" w:rsidRDefault="00000000">
            <w:r>
              <w:t>82.6</w:t>
            </w:r>
          </w:p>
        </w:tc>
        <w:tc>
          <w:tcPr>
            <w:tcW w:w="2933" w:type="dxa"/>
          </w:tcPr>
          <w:p w14:paraId="357332E8" w14:textId="77777777" w:rsidR="00FE7890" w:rsidRDefault="00000000">
            <w:r>
              <w:t>NIR + PLS-DA em azeites</w:t>
            </w:r>
          </w:p>
        </w:tc>
      </w:tr>
      <w:tr w:rsidR="00FE7890" w14:paraId="357332EE" w14:textId="77777777">
        <w:tc>
          <w:tcPr>
            <w:tcW w:w="1271" w:type="dxa"/>
          </w:tcPr>
          <w:p w14:paraId="357332EA" w14:textId="77777777" w:rsidR="00FE7890" w:rsidRDefault="00000000">
            <w:r>
              <w:t>9</w:t>
            </w:r>
          </w:p>
        </w:tc>
        <w:tc>
          <w:tcPr>
            <w:tcW w:w="1173" w:type="dxa"/>
          </w:tcPr>
          <w:p w14:paraId="357332EB" w14:textId="77777777" w:rsidR="00FE7890" w:rsidRDefault="00000000">
            <w:proofErr w:type="spellStart"/>
            <w:r>
              <w:t>Rebiai</w:t>
            </w:r>
            <w:proofErr w:type="spellEnd"/>
            <w:r>
              <w:t xml:space="preserve"> et al. (2022)</w:t>
            </w:r>
          </w:p>
        </w:tc>
        <w:tc>
          <w:tcPr>
            <w:tcW w:w="2542" w:type="dxa"/>
          </w:tcPr>
          <w:p w14:paraId="357332EC" w14:textId="77777777" w:rsidR="00FE7890" w:rsidRDefault="00000000">
            <w:r>
              <w:t>81.2</w:t>
            </w:r>
          </w:p>
        </w:tc>
        <w:tc>
          <w:tcPr>
            <w:tcW w:w="2933" w:type="dxa"/>
          </w:tcPr>
          <w:p w14:paraId="357332ED" w14:textId="77777777" w:rsidR="00FE7890" w:rsidRDefault="00000000">
            <w:r>
              <w:t>Espectroscopia em vinhos europeus</w:t>
            </w:r>
          </w:p>
        </w:tc>
      </w:tr>
      <w:tr w:rsidR="00FE7890" w14:paraId="357332F3" w14:textId="77777777">
        <w:tc>
          <w:tcPr>
            <w:tcW w:w="1271" w:type="dxa"/>
          </w:tcPr>
          <w:p w14:paraId="357332EF" w14:textId="77777777" w:rsidR="00FE7890" w:rsidRDefault="00000000">
            <w:r>
              <w:t>10</w:t>
            </w:r>
          </w:p>
        </w:tc>
        <w:tc>
          <w:tcPr>
            <w:tcW w:w="1173" w:type="dxa"/>
          </w:tcPr>
          <w:p w14:paraId="357332F0" w14:textId="77777777" w:rsidR="00FE7890" w:rsidRDefault="00000000">
            <w:r>
              <w:t>Feng et al. (2025)</w:t>
            </w:r>
          </w:p>
        </w:tc>
        <w:tc>
          <w:tcPr>
            <w:tcW w:w="2542" w:type="dxa"/>
          </w:tcPr>
          <w:p w14:paraId="357332F1" w14:textId="77777777" w:rsidR="00FE7890" w:rsidRDefault="00000000">
            <w:r>
              <w:t>79.8</w:t>
            </w:r>
          </w:p>
        </w:tc>
        <w:tc>
          <w:tcPr>
            <w:tcW w:w="2933" w:type="dxa"/>
          </w:tcPr>
          <w:p w14:paraId="357332F2" w14:textId="77777777" w:rsidR="00FE7890" w:rsidRDefault="00000000">
            <w:r>
              <w:t>Redes neurais em plantas medicinais</w:t>
            </w:r>
          </w:p>
        </w:tc>
      </w:tr>
    </w:tbl>
    <w:p w14:paraId="357332F4" w14:textId="77777777" w:rsidR="00FE7890" w:rsidRDefault="00000000">
      <w:pPr>
        <w:pStyle w:val="Corpodetexto"/>
      </w:pPr>
      <w:r>
        <w:rPr>
          <w:i/>
          <w:iCs/>
        </w:rPr>
        <w:lastRenderedPageBreak/>
        <w:t>Tabela 4: 10 artigos selecionados pelo princípio de Pareto (80/20) no corpus de 148 estudos.</w:t>
      </w:r>
    </w:p>
    <w:p w14:paraId="357332F5" w14:textId="77777777" w:rsidR="00FE7890" w:rsidRDefault="00000000">
      <w:pPr>
        <w:pStyle w:val="Ttulo2"/>
      </w:pPr>
      <w:bookmarkStart w:id="33" w:name="técnicas-de-machine-learning-empregadas"/>
      <w:bookmarkEnd w:id="31"/>
      <w:bookmarkEnd w:id="32"/>
      <w:r>
        <w:t>3.4 Técnicas de Machine Learning Empregadas</w:t>
      </w:r>
    </w:p>
    <w:p w14:paraId="357332F6" w14:textId="77777777" w:rsidR="00FE7890" w:rsidRDefault="00000000">
      <w:pPr>
        <w:pStyle w:val="Ttulo2"/>
      </w:pPr>
      <w:bookmarkStart w:id="34" w:name="X4964c4b002a6bcd9bc0fc69dad95c4397d6031b"/>
      <w:bookmarkEnd w:id="33"/>
      <w:r>
        <w:t xml:space="preserve">3.5 O Ecossistema Algorítmico na Autenticação de </w:t>
      </w:r>
      <w:proofErr w:type="spellStart"/>
      <w:r>
        <w:t>IGs</w:t>
      </w:r>
      <w:proofErr w:type="spellEnd"/>
    </w:p>
    <w:p w14:paraId="357332F7" w14:textId="77777777" w:rsidR="00FE7890" w:rsidRDefault="00000000">
      <w:r>
        <w:t xml:space="preserve">A análise do corpus bibliográfico revela uma diversidade nas abordagens algorítmicas empregadas, refletindo a natureza multidimensional do problema de autenticação de origem. Longe de indicar fragmentação, essa variedade demonstra que diferentes produtos, conjuntos de dados e contextos regulatórios demandam otimizações computacionais específicas. O ecossistema metodológico observado é dominado por algoritmos de classificação supervisionada, com Random Forest e </w:t>
      </w:r>
      <w:proofErr w:type="spellStart"/>
      <w:r>
        <w:t>Support</w:t>
      </w:r>
      <w:proofErr w:type="spellEnd"/>
      <w:r>
        <w:t xml:space="preserve"> Vector </w:t>
      </w:r>
      <w:proofErr w:type="spellStart"/>
      <w:r>
        <w:t>Machines</w:t>
      </w:r>
      <w:proofErr w:type="spellEnd"/>
      <w:r>
        <w:t xml:space="preserve"> (SVM) constituindo o núcleo das técnicas em aproximadamente 68% dos estudos. </w:t>
      </w:r>
      <w:proofErr w:type="spellStart"/>
      <w:r>
        <w:t>Xu</w:t>
      </w:r>
      <w:proofErr w:type="spellEnd"/>
      <w:r>
        <w:t xml:space="preserve"> et al. (2021) empregaram Random Forest para discriminação de origem de vinhos com base em perfis elementares, alcançando acurácia superior a 95%, enquanto </w:t>
      </w:r>
      <w:proofErr w:type="spellStart"/>
      <w:r>
        <w:t>Mohammadi</w:t>
      </w:r>
      <w:proofErr w:type="spellEnd"/>
      <w:r>
        <w:t xml:space="preserve"> et al. (2024) integraram SVM com kernel RBF para autenticação de azeites utilizando espectroscopia NIR, demonstrando robustez em cenários de alta dimensionalidade. A proeminência do Random Forest se justifica por sua capacidade de modelar interações não-lineares complexas em dados multivariados e sua robustez em cenários com classes desbalanceadas, comuns na certificação de </w:t>
      </w:r>
      <w:proofErr w:type="spellStart"/>
      <w:r>
        <w:t>IGs</w:t>
      </w:r>
      <w:proofErr w:type="spellEnd"/>
      <w:r>
        <w:t>. Adicionalmente, sua habilidade de gerar métricas de importância de variáveis (VIM) oferece interpretabilidade, permitindo a identificação de assinaturas analíticas que fundamentam as alegações de origem, como demonstrado por Y. Li et al. (2025) na identificação de marcadores territoriais em chás chineses. O SVM, por sua vez, é frequentemente empregado pela sua eficácia em espaços de características de alta dimensionalidade com poucas amostras (</w:t>
      </w:r>
      <m:oMath>
        <m:r>
          <w:rPr>
            <w:rFonts w:ascii="Cambria Math" w:hAnsi="Cambria Math"/>
          </w:rPr>
          <m:t>p</m:t>
        </m:r>
        <m:r>
          <m:rPr>
            <m:sty m:val="p"/>
          </m:rPr>
          <w:rPr>
            <w:rFonts w:ascii="Cambria Math" w:hAnsi="Cambria Math"/>
          </w:rPr>
          <m:t>≫</m:t>
        </m:r>
        <m:r>
          <w:rPr>
            <w:rFonts w:ascii="Cambria Math" w:hAnsi="Cambria Math"/>
          </w:rPr>
          <m:t>n</m:t>
        </m:r>
      </m:oMath>
      <w:r>
        <w:t xml:space="preserve">), uma condição típica em análises de </w:t>
      </w:r>
      <w:proofErr w:type="spellStart"/>
      <w:r>
        <w:rPr>
          <w:i/>
          <w:iCs/>
        </w:rPr>
        <w:t>fingerprinting</w:t>
      </w:r>
      <w:proofErr w:type="spellEnd"/>
      <w:r>
        <w:t xml:space="preserve"> espectrométrico. A escolha do kernel (por exemplo, linear ou RBF) permite ao SVM adaptar-se a diferentes graus de não-linearidade nos dados, embora a decisão entre RF e SVM frequentemente envolva uma troca entre a interpretabilidade do primeiro e a capacidade de generalização do segundo em dados </w:t>
      </w:r>
      <w:proofErr w:type="spellStart"/>
      <w:r>
        <w:t>ultra-dimensionais</w:t>
      </w:r>
      <w:proofErr w:type="spellEnd"/>
      <w:r>
        <w:t xml:space="preserve"> (</w:t>
      </w:r>
      <w:proofErr w:type="spellStart"/>
      <w:r>
        <w:t>Mohammadi</w:t>
      </w:r>
      <w:proofErr w:type="spellEnd"/>
      <w:r>
        <w:t xml:space="preserve"> et al., 2024; Salam et al., 2021).</w:t>
      </w:r>
    </w:p>
    <w:p w14:paraId="357332F8" w14:textId="77777777" w:rsidR="00FE7890" w:rsidRDefault="00000000">
      <w:pPr>
        <w:pStyle w:val="Corpodetexto"/>
      </w:pPr>
      <w:r>
        <w:t>Em paralelo a esses classificadores, técnicas especializadas são aplicadas a domínios de dados específicos. Modelos de Deep Learning, como Redes Neurais Convolucionais (</w:t>
      </w:r>
      <w:proofErr w:type="spellStart"/>
      <w:r>
        <w:t>CNNs</w:t>
      </w:r>
      <w:proofErr w:type="spellEnd"/>
      <w:r>
        <w:t xml:space="preserve">), são predominantes em aplicações que envolvem dados de imagem (23% dos estudos), onde sua capacidade de aprender representações hierárquicas de características visuais elimina a necessidade de engenharia manual de </w:t>
      </w:r>
      <w:r>
        <w:rPr>
          <w:i/>
          <w:iCs/>
        </w:rPr>
        <w:t>features</w:t>
      </w:r>
      <w:r>
        <w:t xml:space="preserve">. Peng et al. (2025) utilizaram </w:t>
      </w:r>
      <w:proofErr w:type="spellStart"/>
      <w:r>
        <w:t>CNNs</w:t>
      </w:r>
      <w:proofErr w:type="spellEnd"/>
      <w:r>
        <w:t xml:space="preserve"> para classificação de origem de chás baseada em imagens </w:t>
      </w:r>
      <w:proofErr w:type="spellStart"/>
      <w:r>
        <w:t>hiperespectrais</w:t>
      </w:r>
      <w:proofErr w:type="spellEnd"/>
      <w:r>
        <w:t xml:space="preserve">, alcançando discriminação precisa entre diferentes regiões produtoras, enquanto Feng et al. (2025) aplicaram arquiteturas de </w:t>
      </w:r>
      <w:r>
        <w:lastRenderedPageBreak/>
        <w:t xml:space="preserve">redes neurais profundas para autenticação visual de plantas medicinais. Para dados </w:t>
      </w:r>
      <w:proofErr w:type="spellStart"/>
      <w:r>
        <w:t>quimiométricos</w:t>
      </w:r>
      <w:proofErr w:type="spellEnd"/>
      <w:r>
        <w:t xml:space="preserve">, a Análise Discriminante por Mínimos Quadrados Parciais (PLS-DA) é a técnica de escolha em 47% dos trabalhos, dada sua robustez para tratar a </w:t>
      </w:r>
      <w:proofErr w:type="spellStart"/>
      <w:r>
        <w:t>multicolinearidade</w:t>
      </w:r>
      <w:proofErr w:type="spellEnd"/>
      <w:r>
        <w:t xml:space="preserve"> extrema e o cenário </w:t>
      </w:r>
      <m:oMath>
        <m:r>
          <w:rPr>
            <w:rFonts w:ascii="Cambria Math" w:hAnsi="Cambria Math"/>
          </w:rPr>
          <m:t>n</m:t>
        </m:r>
        <m:r>
          <m:rPr>
            <m:sty m:val="p"/>
          </m:rPr>
          <w:rPr>
            <w:rFonts w:ascii="Cambria Math" w:hAnsi="Cambria Math"/>
          </w:rPr>
          <m:t>&lt;</m:t>
        </m:r>
        <m:r>
          <w:rPr>
            <w:rFonts w:ascii="Cambria Math" w:hAnsi="Cambria Math"/>
          </w:rPr>
          <m:t>p</m:t>
        </m:r>
      </m:oMath>
      <w:r>
        <w:t xml:space="preserve"> característicos de dados espectrais. Rebiai et al. (2022) demonstraram a eficácia de PLS-DA integrada a espectroscopia NIR para discriminação de azeites de diferentes denominações de origem, estabelecendo um padrão metodológico consolidado em quimiometria. Diferentemente da Análise de Componentes Principais (PCA), a PLS-DA otimiza a separação entre classes, tornando-se um padrão consolidado em quimiometria para a discriminação de origem. O manejo da alta dimensionalidade é um desafio central, abordad</w:t>
      </w:r>
      <w:proofErr w:type="spellStart"/>
      <w:r>
        <w:t>o</w:t>
      </w:r>
      <w:proofErr w:type="spellEnd"/>
      <w:r>
        <w:t xml:space="preserve"> por meio de técnicas de pré-processamento e seleção de características. A PCA, aplicada em 58% dos estudos, é usada principalmente para redução de dimensionalidade, diminuição de ruído e visualização de dados antes da aplicação de classificadores supervisionados. Ramos et al. (2025) empregaram PCA como etapa de pré-processamento antes de aplicar Random Forest em dados </w:t>
      </w:r>
      <w:proofErr w:type="spellStart"/>
      <w:r>
        <w:t>metabolômicos</w:t>
      </w:r>
      <w:proofErr w:type="spellEnd"/>
      <w:r>
        <w:t xml:space="preserve"> de vinhos, reduzindo milhares de variáveis a componentes principais interpretáveis. Complementarmente, métodos de seleção de features como RF-RFE e o algoritmo </w:t>
      </w:r>
      <w:proofErr w:type="spellStart"/>
      <w:r>
        <w:t>Boruta</w:t>
      </w:r>
      <w:proofErr w:type="spellEnd"/>
      <w:r>
        <w:t xml:space="preserve"> (presentes em 34% dos estudos) são empregados para identificar subconjuntos de variáveis informativas. Salam et al. (2021) aplicaram o algoritmo </w:t>
      </w:r>
      <w:proofErr w:type="spellStart"/>
      <w:r>
        <w:t>Boruta</w:t>
      </w:r>
      <w:proofErr w:type="spellEnd"/>
      <w:r>
        <w:t xml:space="preserve"> para selecionar marcadores elementares discriminativos em carnes, reduzindo o espaço de características de 80 elementos para 15 marcadores territoriais críticos. Essa etapa é crucial não apenas para melhorar a generalização e reduzir o custo computacional, mas também para aumentar a interpretabilidade dos modelos, viabilizando a identificação de marcadores territoriais cientificamente válidos que conectam a assinatura do produto a fatores geográficos específicos.</w:t>
      </w:r>
    </w:p>
    <w:p w14:paraId="357332F9" w14:textId="77777777" w:rsidR="00FE7890" w:rsidRDefault="00000000">
      <w:pPr>
        <w:pStyle w:val="Ttulo2"/>
      </w:pPr>
      <w:bookmarkStart w:id="35" w:name="Xc5115bf368127d4bed898910de5c6bb2c9a4868"/>
      <w:bookmarkEnd w:id="34"/>
      <w:r>
        <w:t>3.6 Integração entre Técnicas Analíticas Instrumentais e Machine Learning</w:t>
      </w:r>
    </w:p>
    <w:p w14:paraId="357332FA" w14:textId="77777777" w:rsidR="00FE7890" w:rsidRDefault="00000000">
      <w:r>
        <w:t xml:space="preserve">A convergência entre instrumentação analítica e algoritmos de aprendizado estabelece o que </w:t>
      </w:r>
      <w:proofErr w:type="spellStart"/>
      <w:r>
        <w:t>Xu</w:t>
      </w:r>
      <w:proofErr w:type="spellEnd"/>
      <w:r>
        <w:t xml:space="preserve"> et al. (2021) e </w:t>
      </w:r>
      <w:proofErr w:type="spellStart"/>
      <w:r>
        <w:t>Ratnasekhar</w:t>
      </w:r>
      <w:proofErr w:type="spellEnd"/>
      <w:r>
        <w:t xml:space="preserve"> et al. (2025) designam como “análise </w:t>
      </w:r>
      <w:proofErr w:type="spellStart"/>
      <w:r>
        <w:t>multisensorial</w:t>
      </w:r>
      <w:proofErr w:type="spellEnd"/>
      <w:r>
        <w:t xml:space="preserve"> computacional”, um paradigma que integra aquisição de dados instrumentais multidimensionais, pré-processamento </w:t>
      </w:r>
      <w:proofErr w:type="spellStart"/>
      <w:r>
        <w:t>quimiométrico</w:t>
      </w:r>
      <w:proofErr w:type="spellEnd"/>
      <w:r>
        <w:t xml:space="preserve"> e classificação algorítmica para autenticação de origem. Esta arquitetura metodológica fundamenta-se na premissa de que a assinatura geográfica dos produtos se manifesta em múltiplas dimensões analíticas simultâneas, perfis elementares, </w:t>
      </w:r>
      <w:proofErr w:type="spellStart"/>
      <w:r>
        <w:t>metabolômicos</w:t>
      </w:r>
      <w:proofErr w:type="spellEnd"/>
      <w:r>
        <w:t xml:space="preserve"> e espectrais, que, quando processados por algoritmos apropriados, revelam padrões discriminativos robustos.</w:t>
      </w:r>
    </w:p>
    <w:p w14:paraId="357332FB" w14:textId="77777777" w:rsidR="00FE7890" w:rsidRDefault="00000000">
      <w:pPr>
        <w:pStyle w:val="Corpodetexto"/>
      </w:pPr>
      <w:r>
        <w:t xml:space="preserve">A espectrometria de massas domina o corpus analítico, estando presente em 54% dos estudos através de suas variantes </w:t>
      </w:r>
      <w:proofErr w:type="spellStart"/>
      <w:r>
        <w:t>Gas</w:t>
      </w:r>
      <w:proofErr w:type="spellEnd"/>
      <w:r>
        <w:t xml:space="preserve"> </w:t>
      </w:r>
      <w:proofErr w:type="spellStart"/>
      <w:r>
        <w:t>Chromatography</w:t>
      </w:r>
      <w:proofErr w:type="spellEnd"/>
      <w:r>
        <w:t xml:space="preserve">-Mass </w:t>
      </w:r>
      <w:proofErr w:type="spellStart"/>
      <w:r>
        <w:t>Spectrometry</w:t>
      </w:r>
      <w:proofErr w:type="spellEnd"/>
      <w:r>
        <w:t xml:space="preserve"> (GC-MS), </w:t>
      </w:r>
      <w:proofErr w:type="spellStart"/>
      <w:r>
        <w:t>Inductively</w:t>
      </w:r>
      <w:proofErr w:type="spellEnd"/>
      <w:r>
        <w:t xml:space="preserve"> </w:t>
      </w:r>
      <w:proofErr w:type="spellStart"/>
      <w:r>
        <w:t>Coupled</w:t>
      </w:r>
      <w:proofErr w:type="spellEnd"/>
      <w:r>
        <w:t xml:space="preserve"> Plasma Mass </w:t>
      </w:r>
      <w:proofErr w:type="spellStart"/>
      <w:r>
        <w:t>Spectrometry</w:t>
      </w:r>
      <w:proofErr w:type="spellEnd"/>
      <w:r>
        <w:t xml:space="preserve"> (ICP-MS) e </w:t>
      </w:r>
      <w:proofErr w:type="spellStart"/>
      <w:r>
        <w:t>Orbitrap</w:t>
      </w:r>
      <w:proofErr w:type="spellEnd"/>
      <w:r>
        <w:t xml:space="preserve"> de alta resolução. </w:t>
      </w:r>
      <w:proofErr w:type="spellStart"/>
      <w:r>
        <w:t>Xu</w:t>
      </w:r>
      <w:proofErr w:type="spellEnd"/>
      <w:r>
        <w:t xml:space="preserve"> et al. (2021) demonstraram que GC-MS, operando por separação </w:t>
      </w:r>
      <w:r>
        <w:lastRenderedPageBreak/>
        <w:t xml:space="preserve">cromatográfica seguida de fragmentação eletrônica e detecção por relação massa/carga, gera </w:t>
      </w:r>
      <w:proofErr w:type="spellStart"/>
      <w:r>
        <w:rPr>
          <w:i/>
          <w:iCs/>
        </w:rPr>
        <w:t>fingerprints</w:t>
      </w:r>
      <w:proofErr w:type="spellEnd"/>
      <w:r>
        <w:t xml:space="preserve"> bidimensionais que capturam centenas de compostos voláteis cuja distribuição reflete condições edafoclimáticas e práticas de processamento específicas de cada terroir.</w:t>
      </w:r>
    </w:p>
    <w:p w14:paraId="357332FC" w14:textId="77777777" w:rsidR="00FE7890" w:rsidRDefault="00000000">
      <w:pPr>
        <w:pStyle w:val="Corpodetexto"/>
      </w:pPr>
      <w:r>
        <w:t xml:space="preserve">A combinação cromatográfica-espectrométrica gera </w:t>
      </w:r>
      <w:proofErr w:type="spellStart"/>
      <w:r>
        <w:t>fingerprints</w:t>
      </w:r>
      <w:proofErr w:type="spellEnd"/>
      <w:r>
        <w:t xml:space="preserve"> bidimensionais (retenção cromatográfica × massa) que permitem identificação molecular e quantificação simultânea de centenas de compostos voláteis e semivoláteis (ésteres, aldeídos, cetonas, álcoois, compostos sulfurados). Em contextos de certificação, GC-MS é aplicada porque compostos voláteis frequentemente carregam informação de origem (óleos de região costeira têm composição diferente de óleos de altitude), além de serem </w:t>
      </w:r>
      <w:proofErr w:type="spellStart"/>
      <w:r>
        <w:t>bioinscritos</w:t>
      </w:r>
      <w:proofErr w:type="spellEnd"/>
      <w:r>
        <w:t xml:space="preserve"> por fatores ambientais e práticas culturais de processamento (por exemplo, temperatura e duração de fermentação em bebidas resultam em assinaturas características de voláteis) (Y. Li et al., 2025).</w:t>
      </w:r>
    </w:p>
    <w:p w14:paraId="357332FD" w14:textId="77777777" w:rsidR="00FE7890" w:rsidRDefault="00000000">
      <w:pPr>
        <w:pStyle w:val="Corpodetexto"/>
      </w:pPr>
      <w:r w:rsidRPr="00B63B58">
        <w:rPr>
          <w:lang w:val="de-DE"/>
        </w:rPr>
        <w:t xml:space="preserve">R. C. Chen et al. </w:t>
      </w:r>
      <w:r>
        <w:t>(2020) demonstraram que ICP-MS (</w:t>
      </w:r>
      <w:proofErr w:type="spellStart"/>
      <w:r>
        <w:t>Inductively</w:t>
      </w:r>
      <w:proofErr w:type="spellEnd"/>
      <w:r>
        <w:t xml:space="preserve"> </w:t>
      </w:r>
      <w:proofErr w:type="spellStart"/>
      <w:r>
        <w:t>Coupled</w:t>
      </w:r>
      <w:proofErr w:type="spellEnd"/>
      <w:r>
        <w:t xml:space="preserve"> Plasma Mass </w:t>
      </w:r>
      <w:proofErr w:type="spellStart"/>
      <w:r>
        <w:t>Spectrometry</w:t>
      </w:r>
      <w:proofErr w:type="spellEnd"/>
      <w:r>
        <w:t xml:space="preserve">), operando por ionização com plasma de argônio e separação de íons por relação massa/carga, permite análise </w:t>
      </w:r>
      <w:proofErr w:type="spellStart"/>
      <w:r>
        <w:t>multielementar</w:t>
      </w:r>
      <w:proofErr w:type="spellEnd"/>
      <w:r>
        <w:t xml:space="preserve"> de praticamente todos os elementos da tabela periódica. Os autores identificaram que concentrações de traços elementares, são sensíveis à geologia local, refletindo a mineralogia do solo que determina qual composição elemental é absorvida pela planta. Em seu estudo sobre autenticação de carnes, </w:t>
      </w:r>
      <w:proofErr w:type="spellStart"/>
      <w:r>
        <w:t>Ratnasekhar</w:t>
      </w:r>
      <w:proofErr w:type="spellEnd"/>
      <w:r>
        <w:t xml:space="preserve"> et al. (2025) exploraram razões entre elementos como lantânio vs. cério e estrôncio vs. bário, que variam entre regiões devido às diferenças geológicas. ICP-MS fornece tipicamente dados de 40-80 elementos simultâneos, gerando um espaço de características com dimensionalidade moderada particularmente adequado para classificadores como SVM e Random Forest. Esta dimensionalidade facilita não apenas a visualização de estruturas de dados, mas também a seleção de características discriminativas que refletem diferenças geológicas genuínas ao invés de artefatos instrumentais. </w:t>
      </w:r>
      <w:proofErr w:type="spellStart"/>
      <w:r>
        <w:t>Xu</w:t>
      </w:r>
      <w:proofErr w:type="spellEnd"/>
      <w:r>
        <w:t xml:space="preserve"> et al. (2021) e Y. Li et al. (2025) demonstraram essa complementaridade metodológica: ICP-MS fornece assinaturas multivariadas de traços elementares, enquanto Random Forest identifica padrões de distribuição elementar que viabilizam discriminação robusta de origem geográfica.</w:t>
      </w:r>
    </w:p>
    <w:p w14:paraId="357332FE" w14:textId="77777777" w:rsidR="00FE7890" w:rsidRDefault="00000000">
      <w:pPr>
        <w:pStyle w:val="Corpodetexto"/>
      </w:pPr>
      <w:r>
        <w:t xml:space="preserve">Z. Zhang (2024) introduziram a espectrometria de </w:t>
      </w:r>
      <w:proofErr w:type="spellStart"/>
      <w:r>
        <w:t>Orbitrap</w:t>
      </w:r>
      <w:proofErr w:type="spellEnd"/>
      <w:r>
        <w:t xml:space="preserve"> de alta resolução (</w:t>
      </w:r>
      <w:proofErr w:type="spellStart"/>
      <w:r>
        <w:t>Orbitrap</w:t>
      </w:r>
      <w:proofErr w:type="spellEnd"/>
      <w:r>
        <w:t xml:space="preserve">-HRAMS) na autenticação de cafés, combinando ionização por </w:t>
      </w:r>
      <w:proofErr w:type="spellStart"/>
      <w:r>
        <w:t>electrospray</w:t>
      </w:r>
      <w:proofErr w:type="spellEnd"/>
      <w:r>
        <w:t xml:space="preserve"> com analisador </w:t>
      </w:r>
      <w:proofErr w:type="spellStart"/>
      <w:r>
        <w:t>orbitrap</w:t>
      </w:r>
      <w:proofErr w:type="spellEnd"/>
      <w:r>
        <w:t xml:space="preserve"> que alcança resolução em massa de 140.000-240.000, contrastando com aproximadamente 1.000 em analisadores </w:t>
      </w:r>
      <w:proofErr w:type="spellStart"/>
      <w:r>
        <w:t>quadrupolares</w:t>
      </w:r>
      <w:proofErr w:type="spellEnd"/>
      <w:r>
        <w:t xml:space="preserve"> convencionais. Esta resolução extraordinária permite resolver fragmentos com diferenças decimais em massa, viabilizando a identificação inequívoca de compostos em matrizes complexas onde múltiplos sinais se sobrepõem. Luan et al. (2020) empregaram </w:t>
      </w:r>
      <w:proofErr w:type="spellStart"/>
      <w:r>
        <w:t>Orbitrap</w:t>
      </w:r>
      <w:proofErr w:type="spellEnd"/>
      <w:r>
        <w:t xml:space="preserve">-HRAMS em metabolômica </w:t>
      </w:r>
      <w:proofErr w:type="spellStart"/>
      <w:r>
        <w:t>untargeted</w:t>
      </w:r>
      <w:proofErr w:type="spellEnd"/>
      <w:r>
        <w:t xml:space="preserve"> de vinhos, demonstrando </w:t>
      </w:r>
      <w:r>
        <w:lastRenderedPageBreak/>
        <w:t xml:space="preserve">sua essencialidade na separação de metabolitos endógenos frequentemente isóbaros, que requerem resolução </w:t>
      </w:r>
      <w:proofErr w:type="spellStart"/>
      <w:r>
        <w:t>ultra-alta</w:t>
      </w:r>
      <w:proofErr w:type="spellEnd"/>
      <w:r>
        <w:t xml:space="preserve"> para discriminação analítica adequada.</w:t>
      </w:r>
    </w:p>
    <w:p w14:paraId="357332FF" w14:textId="77777777" w:rsidR="00FE7890" w:rsidRDefault="00000000">
      <w:pPr>
        <w:pStyle w:val="Corpodetexto"/>
      </w:pPr>
      <w:r>
        <w:t>Espectroscopia em suas múltiplas variantes, Near-</w:t>
      </w:r>
      <w:proofErr w:type="spellStart"/>
      <w:r>
        <w:t>Infrared</w:t>
      </w:r>
      <w:proofErr w:type="spellEnd"/>
      <w:r>
        <w:t xml:space="preserve"> </w:t>
      </w:r>
      <w:proofErr w:type="spellStart"/>
      <w:r>
        <w:t>Spectroscopy</w:t>
      </w:r>
      <w:proofErr w:type="spellEnd"/>
      <w:r>
        <w:t xml:space="preserve"> (NIR), </w:t>
      </w:r>
      <w:proofErr w:type="spellStart"/>
      <w:r>
        <w:t>Visible</w:t>
      </w:r>
      <w:proofErr w:type="spellEnd"/>
      <w:r>
        <w:t xml:space="preserve">-NIR (Vis-NIR), Fourier </w:t>
      </w:r>
      <w:proofErr w:type="spellStart"/>
      <w:r>
        <w:t>Transform</w:t>
      </w:r>
      <w:proofErr w:type="spellEnd"/>
      <w:r>
        <w:t xml:space="preserve"> NIR (FT-NIR), Nuclear </w:t>
      </w:r>
      <w:proofErr w:type="spellStart"/>
      <w:r>
        <w:t>Magnetic</w:t>
      </w:r>
      <w:proofErr w:type="spellEnd"/>
      <w:r>
        <w:t xml:space="preserve"> </w:t>
      </w:r>
      <w:proofErr w:type="spellStart"/>
      <w:r>
        <w:t>Resonance</w:t>
      </w:r>
      <w:proofErr w:type="spellEnd"/>
      <w:r>
        <w:t xml:space="preserve"> (NMR) e Raman </w:t>
      </w:r>
      <w:proofErr w:type="spellStart"/>
      <w:r>
        <w:t>Spectroscopy</w:t>
      </w:r>
      <w:proofErr w:type="spellEnd"/>
      <w:r>
        <w:t xml:space="preserve">, domina 61% dos estudos analisados. </w:t>
      </w:r>
      <w:proofErr w:type="spellStart"/>
      <w:r>
        <w:t>Mohammadi</w:t>
      </w:r>
      <w:proofErr w:type="spellEnd"/>
      <w:r>
        <w:t xml:space="preserve"> et al. (2024) e (</w:t>
      </w:r>
      <w:r>
        <w:rPr>
          <w:b/>
          <w:bCs/>
        </w:rPr>
        <w:t>Liu2024?</w:t>
      </w:r>
      <w:r>
        <w:t xml:space="preserve">) destacam a adequabilidade dessas técnicas para análise não-destrutiva, rápida e relativamente econômica em matrizes alimentares complexas. Espectrometrias de absorção (NIR, Vis-NIR) fundamentam-se na Lei de </w:t>
      </w:r>
      <w:proofErr w:type="spellStart"/>
      <w:r>
        <w:t>Beer</w:t>
      </w:r>
      <w:proofErr w:type="spellEnd"/>
      <w:r>
        <w:t xml:space="preserve">-Lambert, que descreve a atenuação da intensidade luminosa transmitida através da amostra: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εcl</m:t>
            </m:r>
          </m:sup>
        </m:sSup>
      </m:oMath>
      <w:r>
        <w:t xml:space="preserve">, onde </w:t>
      </w:r>
      <m:oMath>
        <m:sSub>
          <m:sSubPr>
            <m:ctrlPr>
              <w:rPr>
                <w:rFonts w:ascii="Cambria Math" w:hAnsi="Cambria Math"/>
              </w:rPr>
            </m:ctrlPr>
          </m:sSubPr>
          <m:e>
            <m:r>
              <w:rPr>
                <w:rFonts w:ascii="Cambria Math" w:hAnsi="Cambria Math"/>
              </w:rPr>
              <m:t>I</m:t>
            </m:r>
          </m:e>
          <m:sub>
            <m:r>
              <w:rPr>
                <w:rFonts w:ascii="Cambria Math" w:hAnsi="Cambria Math"/>
              </w:rPr>
              <m:t>0</m:t>
            </m:r>
          </m:sub>
        </m:sSub>
      </m:oMath>
      <w:r>
        <w:t xml:space="preserve"> representa intensidade incidente, </w:t>
      </w:r>
      <m:oMath>
        <m:r>
          <w:rPr>
            <w:rFonts w:ascii="Cambria Math" w:hAnsi="Cambria Math"/>
          </w:rPr>
          <m:t>ε</m:t>
        </m:r>
      </m:oMath>
      <w:r>
        <w:t xml:space="preserve"> o coeficiente de extinção molar, </w:t>
      </w:r>
      <m:oMath>
        <m:r>
          <w:rPr>
            <w:rFonts w:ascii="Cambria Math" w:hAnsi="Cambria Math"/>
          </w:rPr>
          <m:t>c</m:t>
        </m:r>
      </m:oMath>
      <w:r>
        <w:t xml:space="preserve"> a concentração do absorvedor e </w:t>
      </w:r>
      <m:oMath>
        <m:r>
          <w:rPr>
            <w:rFonts w:ascii="Cambria Math" w:hAnsi="Cambria Math"/>
          </w:rPr>
          <m:t>l</m:t>
        </m:r>
      </m:oMath>
      <w:r>
        <w:t xml:space="preserve"> o comprimento de caminho óptico. Peng et al. (2025) e Feng et al. (2025) demonstraram que na região do infravermelho próximo (780-2500 nm), a absorção é dominada por harmônicos e combinações de vibrações moleculares dos grupos C-H, O-H e N-H, fornecendo sensibilidade indireta à composição química (teor de água, gordura, proteína). A integração desta sensibilidade espectral com algoritmos de ML permite construir modelos preditivos sem necessidade de calibração prévia para cada analito específico.</w:t>
      </w:r>
    </w:p>
    <w:p w14:paraId="35733300" w14:textId="77777777" w:rsidR="00FE7890" w:rsidRDefault="00000000">
      <w:pPr>
        <w:pStyle w:val="Corpodetexto"/>
      </w:pPr>
      <w:r>
        <w:t xml:space="preserve">Y. Li et al. (2025) e </w:t>
      </w:r>
      <w:proofErr w:type="spellStart"/>
      <w:r>
        <w:t>Effrosynidis</w:t>
      </w:r>
      <w:proofErr w:type="spellEnd"/>
      <w:r>
        <w:t xml:space="preserve"> &amp; </w:t>
      </w:r>
      <w:proofErr w:type="spellStart"/>
      <w:r>
        <w:t>Arampatzis</w:t>
      </w:r>
      <w:proofErr w:type="spellEnd"/>
      <w:r>
        <w:t xml:space="preserve"> (2021) argumentam que NIR demonstra particular adequação em aplicações de rastreabilidade </w:t>
      </w:r>
      <w:proofErr w:type="spellStart"/>
      <w:r>
        <w:t>in-situ</w:t>
      </w:r>
      <w:proofErr w:type="spellEnd"/>
      <w:r>
        <w:t xml:space="preserve"> ou em pontos de venda, possibilitando portabilidade (espectrômetros NIR de campo disponíveis em dimensões reduzidas), análise não-destrutiva (preservação da integridade amostral) e rapidez analítica (medições em segundos). Embora a especificidade de NIR seja reduzida comparada a técnicas que mensuram absorção direta de ligações covalentes, como espectrometria infravermelha média, esta limitação é efetivamente mitigada por algoritmos de machine learning. Peng et al. (2025) e Feng et al. (2025) demonstraram que Random Forest e SVM capturam assinaturas espectrais de absorção indireta que discriminam origem mesmo sob sensibilidade analítica reduzida, transformando a aparente desvantagem instrumental em oportunidade metodológica através do reconhecimento de padrões multivariados.</w:t>
      </w:r>
    </w:p>
    <w:p w14:paraId="35733301" w14:textId="77777777" w:rsidR="00FE7890" w:rsidRDefault="00000000">
      <w:pPr>
        <w:pStyle w:val="Corpodetexto"/>
      </w:pPr>
      <w:r>
        <w:t xml:space="preserve">A variante FT-NIR (Fourier </w:t>
      </w:r>
      <w:proofErr w:type="spellStart"/>
      <w:r>
        <w:t>Transform</w:t>
      </w:r>
      <w:proofErr w:type="spellEnd"/>
      <w:r>
        <w:t xml:space="preserve"> NIR) emprega interferometria, coletando simultaneamente informação de interferência entre múltiplos comprimentos de onda e subsequentemente aplicando transformada de Fourier para obtenção do espectro de frequência. </w:t>
      </w:r>
      <w:proofErr w:type="spellStart"/>
      <w:r>
        <w:t>Meena</w:t>
      </w:r>
      <w:proofErr w:type="spellEnd"/>
      <w:r>
        <w:t xml:space="preserve"> et al. (2024) documentaram que FT-NIR, comparada a NIR dispersivo convencional, oferece resolução espectral superior (~2 </w:t>
      </w:r>
      <w:proofErr w:type="spellStart"/>
      <w:r>
        <w:t>nm</w:t>
      </w:r>
      <w:proofErr w:type="spellEnd"/>
      <w:r>
        <w:t xml:space="preserve"> versus ~20 </w:t>
      </w:r>
      <w:proofErr w:type="spellStart"/>
      <w:r>
        <w:t>nm</w:t>
      </w:r>
      <w:proofErr w:type="spellEnd"/>
      <w:r>
        <w:t xml:space="preserve">) e melhor razão sinal-ruído, facilitando detecção de absorções fracas e resolução de bandas espectrais sobrepostas. Em contextos de certificação que demandam discriminação de assinaturas espectrais sutis, FT-NIR demonstra-se instrumental </w:t>
      </w:r>
      <w:r>
        <w:lastRenderedPageBreak/>
        <w:t>pela sua capacidade de revelar diferenças espectrais que permaneceriam indistinguíveis em sistemas dispersivos convencionais.</w:t>
      </w:r>
    </w:p>
    <w:p w14:paraId="35733302" w14:textId="77777777" w:rsidR="00FE7890" w:rsidRDefault="00000000">
      <w:pPr>
        <w:pStyle w:val="Corpodetexto"/>
      </w:pPr>
      <w:r>
        <w:t xml:space="preserve">Luan et al. (2020) demonstraram que NMR (Nuclear </w:t>
      </w:r>
      <w:proofErr w:type="spellStart"/>
      <w:r>
        <w:t>Magnetic</w:t>
      </w:r>
      <w:proofErr w:type="spellEnd"/>
      <w:r>
        <w:t xml:space="preserve"> </w:t>
      </w:r>
      <w:proofErr w:type="spellStart"/>
      <w:r>
        <w:t>Resonance</w:t>
      </w:r>
      <w:proofErr w:type="spellEnd"/>
      <w:r>
        <w:t xml:space="preserve">) opera através de princípios físicos fundamentalmente distintos, inicialmente núcleos magnéticos (¹H, ¹³C, ¹⁵N) absorvem radiofrequência quando polarizados em campo magnético externo, permitindo observação do ambiente químico local e conectividade molecular. NMR fornece informação bidimensional extraordinariamente rica, deslocamento químico, acoplamento spin-spin, relaxação, viabilizando identificação de estruturas moleculares específicas e quantificação absoluta simultânea de múltiplos compostos. </w:t>
      </w:r>
      <w:proofErr w:type="spellStart"/>
      <w:r>
        <w:t>Effrosynidis</w:t>
      </w:r>
      <w:proofErr w:type="spellEnd"/>
      <w:r>
        <w:t xml:space="preserve"> &amp; </w:t>
      </w:r>
      <w:proofErr w:type="spellStart"/>
      <w:r>
        <w:t>Arampatzis</w:t>
      </w:r>
      <w:proofErr w:type="spellEnd"/>
      <w:r>
        <w:t xml:space="preserve"> (2021) e Ramos et al. (2025) aplicaram NMR especificamente para análise de assinaturas isotópicas (razões ¹²C/¹³C em sacarídeos, refletindo vegetação C3 versus C4 regional) e caracterização de compostos com padrão geográfico definido, como razões de </w:t>
      </w:r>
      <w:proofErr w:type="spellStart"/>
      <w:r>
        <w:t>enantiômeros</w:t>
      </w:r>
      <w:proofErr w:type="spellEnd"/>
      <w:r>
        <w:t xml:space="preserve"> em compostos quirais. Embora NMR apresente custo instrumental elevado e tempo de medição substancialmente maior (minutos a horas versus segundos para NIR), a riqueza informacional justifica sua presença em estudos que requerem resolução molecular </w:t>
      </w:r>
      <w:proofErr w:type="spellStart"/>
      <w:r>
        <w:t>ultra-alta</w:t>
      </w:r>
      <w:proofErr w:type="spellEnd"/>
      <w:r>
        <w:t xml:space="preserve"> e caracterização estrutural inequívoca.</w:t>
      </w:r>
    </w:p>
    <w:p w14:paraId="35733303" w14:textId="77777777" w:rsidR="00FE7890" w:rsidRDefault="00000000">
      <w:pPr>
        <w:pStyle w:val="Corpodetexto"/>
      </w:pPr>
      <w:r>
        <w:t xml:space="preserve">Raman </w:t>
      </w:r>
      <w:proofErr w:type="spellStart"/>
      <w:r>
        <w:t>Spectroscopy</w:t>
      </w:r>
      <w:proofErr w:type="spellEnd"/>
      <w:r>
        <w:t>, por sua vez, mensura espalhamento inelástico de luz onde fótons interagem com vibrações moleculares e transferem energia, resultando em fótons espalhados com frequência modificada. R. C. Chen et al. (2020) e (</w:t>
      </w:r>
      <w:r>
        <w:rPr>
          <w:b/>
          <w:bCs/>
        </w:rPr>
        <w:t>Liu2024?</w:t>
      </w:r>
      <w:r>
        <w:t>) demonstraram que a mudança em frequência Raman reflete energias de vibrações moleculares, fornecendo espectro vibracional particularmente informativo para moléculas com dipolos elétricos baixos, como estruturas moleculares simétricas. Os autores identificaram que Raman manifesta especial valor na detecção de compostos aromáticos, óleos essenciais e pigmentos, moléculas frequentemente caracterizadas por seções transversais de Raman elevadas. Em autenticação de bebidas, Luan et al. (2020) aplicaram Raman na detecção de pigmentos de antocianina em vinhos, enquanto Y. Li et al. (2025) empregaram a técnica na caracterização de carotenoides em azeite e melanina em café, demonstrando sua aplicabilidade em matrizes alimentares complexas onde compostos fenólicos e aromáticos desempenham papel discriminatório fundamental.</w:t>
      </w:r>
    </w:p>
    <w:p w14:paraId="35733304" w14:textId="77777777" w:rsidR="00FE7890" w:rsidRDefault="00000000">
      <w:pPr>
        <w:pStyle w:val="Corpodetexto"/>
      </w:pPr>
      <w:proofErr w:type="spellStart"/>
      <w:r>
        <w:t>Meena</w:t>
      </w:r>
      <w:proofErr w:type="spellEnd"/>
      <w:r>
        <w:t xml:space="preserve"> et al. (2024) argumentam que a integração entre espectroscopia e PLS-DA (</w:t>
      </w:r>
      <w:proofErr w:type="spellStart"/>
      <w:r>
        <w:rPr>
          <w:i/>
          <w:iCs/>
        </w:rPr>
        <w:t>Partial</w:t>
      </w:r>
      <w:proofErr w:type="spellEnd"/>
      <w:r>
        <w:rPr>
          <w:i/>
          <w:iCs/>
        </w:rPr>
        <w:t xml:space="preserve"> </w:t>
      </w:r>
      <w:proofErr w:type="spellStart"/>
      <w:r>
        <w:rPr>
          <w:i/>
          <w:iCs/>
        </w:rPr>
        <w:t>Least</w:t>
      </w:r>
      <w:proofErr w:type="spellEnd"/>
      <w:r>
        <w:rPr>
          <w:i/>
          <w:iCs/>
        </w:rPr>
        <w:t xml:space="preserve"> </w:t>
      </w:r>
      <w:proofErr w:type="spellStart"/>
      <w:r>
        <w:rPr>
          <w:i/>
          <w:iCs/>
        </w:rPr>
        <w:t>Squares</w:t>
      </w:r>
      <w:proofErr w:type="spellEnd"/>
      <w:r>
        <w:rPr>
          <w:i/>
          <w:iCs/>
        </w:rPr>
        <w:t xml:space="preserve"> </w:t>
      </w:r>
      <w:proofErr w:type="spellStart"/>
      <w:r>
        <w:rPr>
          <w:i/>
          <w:iCs/>
        </w:rPr>
        <w:t>Discriminant</w:t>
      </w:r>
      <w:proofErr w:type="spellEnd"/>
      <w:r>
        <w:rPr>
          <w:i/>
          <w:iCs/>
        </w:rPr>
        <w:t xml:space="preserve"> </w:t>
      </w:r>
      <w:proofErr w:type="spellStart"/>
      <w:r>
        <w:rPr>
          <w:i/>
          <w:iCs/>
        </w:rPr>
        <w:t>Analysis</w:t>
      </w:r>
      <w:proofErr w:type="spellEnd"/>
      <w:r>
        <w:t xml:space="preserve">), presente em 31% dos estudos com dados espectroscópicos, constitui padrão metodológico consolidado em </w:t>
      </w:r>
      <w:proofErr w:type="spellStart"/>
      <w:r>
        <w:t>quimiometria</w:t>
      </w:r>
      <w:proofErr w:type="spellEnd"/>
      <w:r>
        <w:t xml:space="preserve">. Esta combinação reflete robustez teórica fundamental para processamento de dados multivariados com </w:t>
      </w:r>
      <w:proofErr w:type="spellStart"/>
      <w:r>
        <w:t>multicolinearidade</w:t>
      </w:r>
      <w:proofErr w:type="spellEnd"/>
      <w:r>
        <w:t xml:space="preserve"> extrema em que, comprimentos de onda adjacentes em espectros manifestam correlação elevada, regime no qual PLS-DA supera métodos de classificação linear simples como LDA clássica pela sua capacidade de extrair direções latentes que maximizam covariância </w:t>
      </w:r>
      <w:r>
        <w:lastRenderedPageBreak/>
        <w:t xml:space="preserve">com classes discriminadas. </w:t>
      </w:r>
      <w:proofErr w:type="spellStart"/>
      <w:r>
        <w:t>Mohammadi</w:t>
      </w:r>
      <w:proofErr w:type="spellEnd"/>
      <w:r>
        <w:t xml:space="preserve"> et al. (2024) e </w:t>
      </w:r>
      <w:proofErr w:type="spellStart"/>
      <w:r>
        <w:t>Xu</w:t>
      </w:r>
      <w:proofErr w:type="spellEnd"/>
      <w:r>
        <w:t xml:space="preserve"> et al. (2021) demonstraram que essa arquitetura metodológica, acoplamento instrumental espectroscópico seguido de redução dimensional </w:t>
      </w:r>
      <w:proofErr w:type="spellStart"/>
      <w:r>
        <w:t>quimiométrica</w:t>
      </w:r>
      <w:proofErr w:type="spellEnd"/>
      <w:r>
        <w:t xml:space="preserve"> e classificação supervisionada, permite transformar dados </w:t>
      </w:r>
      <w:proofErr w:type="spellStart"/>
      <w:r>
        <w:t>hiperespectrais</w:t>
      </w:r>
      <w:proofErr w:type="spellEnd"/>
      <w:r>
        <w:t xml:space="preserve"> originalmente intratáveis em representações de baixa dimensionalidade onde estruturas de classe emergem de forma computacionalmente acessível e estatisticamente robusta.</w:t>
      </w:r>
    </w:p>
    <w:p w14:paraId="35733305" w14:textId="77777777" w:rsidR="00FE7890" w:rsidRDefault="00000000">
      <w:pPr>
        <w:pStyle w:val="Corpodetexto"/>
      </w:pPr>
      <w:r>
        <w:t xml:space="preserve">A metabolômica </w:t>
      </w:r>
      <w:proofErr w:type="spellStart"/>
      <w:r>
        <w:t>untargeted</w:t>
      </w:r>
      <w:proofErr w:type="spellEnd"/>
      <w:r>
        <w:t xml:space="preserve">, presente em 38% dos estudos analisados, representa abordagem de elevada dimensionalidade caracterizada pela aquisição de sinais espectrométricos sem especificação prévia dos compostos alvo. Luan et al. (2020) e Z. Zhang (2024) distinguem esta estratégia da metabolômica </w:t>
      </w:r>
      <w:proofErr w:type="spellStart"/>
      <w:r>
        <w:t>targeted</w:t>
      </w:r>
      <w:proofErr w:type="spellEnd"/>
      <w:r>
        <w:t>, onde compostos específicos são selecionados para quantificação via sondas isotópicas ou método MRM (</w:t>
      </w:r>
      <w:proofErr w:type="spellStart"/>
      <w:r>
        <w:t>Multiple</w:t>
      </w:r>
      <w:proofErr w:type="spellEnd"/>
      <w:r>
        <w:t xml:space="preserve"> </w:t>
      </w:r>
      <w:proofErr w:type="spellStart"/>
      <w:r>
        <w:t>Reaction</w:t>
      </w:r>
      <w:proofErr w:type="spellEnd"/>
      <w:r>
        <w:t xml:space="preserve"> </w:t>
      </w:r>
      <w:proofErr w:type="spellStart"/>
      <w:r>
        <w:t>Monitoring</w:t>
      </w:r>
      <w:proofErr w:type="spellEnd"/>
      <w:r>
        <w:t xml:space="preserve">), argumentando que a metabolômica </w:t>
      </w:r>
      <w:proofErr w:type="spellStart"/>
      <w:r>
        <w:t>untargeted</w:t>
      </w:r>
      <w:proofErr w:type="spellEnd"/>
      <w:r>
        <w:t xml:space="preserve"> captura o “</w:t>
      </w:r>
      <w:proofErr w:type="spellStart"/>
      <w:r>
        <w:t>metaboloma</w:t>
      </w:r>
      <w:proofErr w:type="spellEnd"/>
      <w:r>
        <w:t xml:space="preserve">” completo da amostra, englobando toda diversidade de moléculas de baixo peso molecular (&lt; 1500 Da) presentes em tecido ou líquido biológico. Tecnicamente, Y. Li et al. (2025) e </w:t>
      </w:r>
      <w:proofErr w:type="spellStart"/>
      <w:r>
        <w:t>Ratnasekhar</w:t>
      </w:r>
      <w:proofErr w:type="spellEnd"/>
      <w:r>
        <w:t xml:space="preserve"> et al. (2025) descrevem que amostras são submetidas a cromatografia líquida de ultra alta eficiência (UHPLC) ou GC acoplada a espectrometria de massas de alta resolução (Q-TOF, </w:t>
      </w:r>
      <w:proofErr w:type="spellStart"/>
      <w:r>
        <w:t>Orbitrap</w:t>
      </w:r>
      <w:proofErr w:type="spellEnd"/>
      <w:r>
        <w:t>), gerando matrizes de dados com tipicamente 5.000-30.000 features (picos cromatográficos × razões massa/carga), cada qual potencialmente representando composto não-identificado. Luan et al. (2020) documentaram que o número de features não-identificados frequentemente excede o número de features identificados em proporções de 10:1 ou superiores, dado que bancos de dados de compostos conhecidos contêm aproximadamente 200.000 entradas enquanto a natureza produz milhões de variantes estruturais possíveis de metabolitos.</w:t>
      </w:r>
    </w:p>
    <w:p w14:paraId="35733306" w14:textId="77777777" w:rsidR="00FE7890" w:rsidRDefault="00000000">
      <w:pPr>
        <w:pStyle w:val="Corpodetexto"/>
      </w:pPr>
      <w:r>
        <w:t xml:space="preserve">Outros autores como </w:t>
      </w:r>
      <w:proofErr w:type="spellStart"/>
      <w:r>
        <w:t>Xu</w:t>
      </w:r>
      <w:proofErr w:type="spellEnd"/>
      <w:r>
        <w:t xml:space="preserve"> et al. (2021) e </w:t>
      </w:r>
      <w:proofErr w:type="spellStart"/>
      <w:r>
        <w:t>Mohammadi</w:t>
      </w:r>
      <w:proofErr w:type="spellEnd"/>
      <w:r>
        <w:t xml:space="preserve"> et al. (2024) argumentam que a metabolômica </w:t>
      </w:r>
      <w:proofErr w:type="spellStart"/>
      <w:r>
        <w:t>untargeted</w:t>
      </w:r>
      <w:proofErr w:type="spellEnd"/>
      <w:r>
        <w:t xml:space="preserve"> cria regime extremo onde </w:t>
      </w:r>
      <m:oMath>
        <m:r>
          <w:rPr>
            <w:rFonts w:ascii="Cambria Math" w:hAnsi="Cambria Math"/>
          </w:rPr>
          <m:t>p</m:t>
        </m:r>
        <m:r>
          <m:rPr>
            <m:sty m:val="p"/>
          </m:rPr>
          <w:rPr>
            <w:rFonts w:ascii="Cambria Math" w:hAnsi="Cambria Math"/>
          </w:rPr>
          <m:t>≫</m:t>
        </m:r>
        <m:r>
          <w:rPr>
            <w:rFonts w:ascii="Cambria Math" w:hAnsi="Cambria Math"/>
          </w:rPr>
          <m:t>n</m:t>
        </m:r>
      </m:oMath>
      <w:r>
        <w:t xml:space="preserve"> (frequentemente </w:t>
      </w:r>
      <m:oMath>
        <m:r>
          <w:rPr>
            <w:rFonts w:ascii="Cambria Math" w:hAnsi="Cambria Math"/>
          </w:rPr>
          <m:t>p</m:t>
        </m:r>
        <m:r>
          <m:rPr>
            <m:sty m:val="p"/>
          </m:rPr>
          <w:rPr>
            <w:rFonts w:ascii="Cambria Math" w:hAnsi="Cambria Math"/>
          </w:rPr>
          <m:t>=</m:t>
        </m:r>
        <m:r>
          <w:rPr>
            <w:rFonts w:ascii="Cambria Math" w:hAnsi="Cambria Math"/>
          </w:rPr>
          <m:t>10.000</m:t>
        </m:r>
      </m:oMath>
      <w:r>
        <w:t xml:space="preserve"> e </w:t>
      </w:r>
      <m:oMath>
        <m:r>
          <w:rPr>
            <w:rFonts w:ascii="Cambria Math" w:hAnsi="Cambria Math"/>
          </w:rPr>
          <m:t>n</m:t>
        </m:r>
        <m:r>
          <m:rPr>
            <m:sty m:val="p"/>
          </m:rPr>
          <w:rPr>
            <w:rFonts w:ascii="Cambria Math" w:hAnsi="Cambria Math"/>
          </w:rPr>
          <m:t>=</m:t>
        </m:r>
        <m:r>
          <w:rPr>
            <w:rFonts w:ascii="Cambria Math" w:hAnsi="Cambria Math"/>
          </w:rPr>
          <m:t>50</m:t>
        </m:r>
      </m:oMath>
      <w:r>
        <w:t xml:space="preserve">), contexto no qual a maldição da dimensionalidade é severa e o sobreajuste representa risco existencial para a modelagem preditiva. Contudo, Y. Li et al. (2025) e Z. Zhang (2024) demonstram que, paradoxalmente, pois a assinatura geográfica do produto é codificada em padrões de metabolitos que refletem interações gene × ambiente × microbiota específicas de cada região. Autores como Ratnasekhar et al. (2025) documentaram que metabolitos discriminativos refletem não apenas composição de solo, mas também microbiota edáfica, práticas agrícolas específicas (adubação, irrigação, uso de pesticidas) e processos de transformação (fermentação, envelhecimento, processamento térmico), elementos determinados cultural e geograficamente. A integração entre metabolômica </w:t>
      </w:r>
      <w:proofErr w:type="spellStart"/>
      <w:r>
        <w:t>untargeted</w:t>
      </w:r>
      <w:proofErr w:type="spellEnd"/>
      <w:r>
        <w:t xml:space="preserve"> e algoritmos de redução dimensional como PCA-TSVD (Principal </w:t>
      </w:r>
      <w:proofErr w:type="spellStart"/>
      <w:r>
        <w:t>Component</w:t>
      </w:r>
      <w:proofErr w:type="spellEnd"/>
      <w:r>
        <w:t xml:space="preserve"> </w:t>
      </w:r>
      <w:proofErr w:type="spellStart"/>
      <w:r>
        <w:t>Analysis</w:t>
      </w:r>
      <w:proofErr w:type="spellEnd"/>
      <w:r>
        <w:t xml:space="preserve"> truncado com Singular Value </w:t>
      </w:r>
      <w:proofErr w:type="spellStart"/>
      <w:r>
        <w:t>Decomposition</w:t>
      </w:r>
      <w:proofErr w:type="spellEnd"/>
      <w:r>
        <w:t xml:space="preserve">) seguida por classificadores robustos como Random Forest permite, segundo Luan et al. (2020), identificar conjuntos </w:t>
      </w:r>
      <w:r>
        <w:lastRenderedPageBreak/>
        <w:t>discriminativos de metabolitos. Y. Li et al. (2025) demonstraram que seleção posterior de features (</w:t>
      </w:r>
      <w:proofErr w:type="spellStart"/>
      <w:r>
        <w:t>Boruta</w:t>
      </w:r>
      <w:proofErr w:type="spellEnd"/>
      <w:r>
        <w:t>, RF-RFE) frequentemente reduz 10.000 features originais para 50-200 features relevantes, sendo que estas features interpretam-se como metabolitos que refletem origem específica.</w:t>
      </w:r>
    </w:p>
    <w:p w14:paraId="35733307" w14:textId="77777777" w:rsidR="00FE7890" w:rsidRDefault="00000000">
      <w:pPr>
        <w:pStyle w:val="Corpodetexto"/>
      </w:pPr>
      <w:r>
        <w:t xml:space="preserve">Ainda, Luan et al. (2020), Y. Li et al. (2025), </w:t>
      </w:r>
      <w:proofErr w:type="spellStart"/>
      <w:r>
        <w:t>Ratnasekhar</w:t>
      </w:r>
      <w:proofErr w:type="spellEnd"/>
      <w:r>
        <w:t xml:space="preserve"> et al. (2025) e Z. Zhang (2024) designam este paradigma como “</w:t>
      </w:r>
      <w:proofErr w:type="spellStart"/>
      <w:r>
        <w:t>metabolomics-driven</w:t>
      </w:r>
      <w:proofErr w:type="spellEnd"/>
      <w:r>
        <w:t xml:space="preserve"> </w:t>
      </w:r>
      <w:proofErr w:type="spellStart"/>
      <w:r>
        <w:t>origin</w:t>
      </w:r>
      <w:proofErr w:type="spellEnd"/>
      <w:r>
        <w:t xml:space="preserve"> </w:t>
      </w:r>
      <w:proofErr w:type="spellStart"/>
      <w:r>
        <w:t>authentication</w:t>
      </w:r>
      <w:proofErr w:type="spellEnd"/>
      <w:r>
        <w:t xml:space="preserve">”, tendência metodológica de impacto elevado que demonstra consistentemente capacidade de alcançar acurácias superiores a 95% em discriminação de origem, particularmente em produtos com </w:t>
      </w:r>
      <w:proofErr w:type="spellStart"/>
      <w:r>
        <w:t>metabolomas</w:t>
      </w:r>
      <w:proofErr w:type="spellEnd"/>
      <w:r>
        <w:t xml:space="preserve"> estabelecidos e bem caracterizados como vinho, azeite, mel e café. </w:t>
      </w:r>
      <w:proofErr w:type="spellStart"/>
      <w:r>
        <w:t>Xu</w:t>
      </w:r>
      <w:proofErr w:type="spellEnd"/>
      <w:r>
        <w:t xml:space="preserve"> et al. (2021) e </w:t>
      </w:r>
      <w:proofErr w:type="spellStart"/>
      <w:r>
        <w:t>Mohammadi</w:t>
      </w:r>
      <w:proofErr w:type="spellEnd"/>
      <w:r>
        <w:t xml:space="preserve"> et al. (2024) argumentam que este sucesso reflete fato biológico em que, o </w:t>
      </w:r>
      <w:proofErr w:type="spellStart"/>
      <w:r>
        <w:t>metaboloma</w:t>
      </w:r>
      <w:proofErr w:type="spellEnd"/>
      <w:r>
        <w:t xml:space="preserve"> constitui “assinatura integrada” de todos os fatores ambientais e biológicos que influenciam formação do produto. Z. Zhang (2024) sustentam que a precisão alcançável é </w:t>
      </w:r>
      <w:proofErr w:type="gramStart"/>
      <w:r>
        <w:t>teórico</w:t>
      </w:r>
      <w:proofErr w:type="gramEnd"/>
      <w:r>
        <w:t xml:space="preserve">-biologicamente justificada a partir de dois produtos de origem distinta manifestam </w:t>
      </w:r>
      <w:proofErr w:type="spellStart"/>
      <w:r>
        <w:t>metabolomas</w:t>
      </w:r>
      <w:proofErr w:type="spellEnd"/>
      <w:r>
        <w:t xml:space="preserve"> que divergem em centenas a milhares de dimensões moleculares, enquanto dois produtos de mesma origem, mesmo processados por produtores diferentes, convergem metabolicamente porque origem geográfica funciona como fator determinístico dominante na expressão metabólica final.</w:t>
      </w:r>
    </w:p>
    <w:p w14:paraId="35733308" w14:textId="77777777" w:rsidR="00FE7890" w:rsidRDefault="00000000">
      <w:pPr>
        <w:pStyle w:val="Ttulo2"/>
      </w:pPr>
      <w:bookmarkStart w:id="36" w:name="desempenho-preditivo-dos-modelos"/>
      <w:bookmarkEnd w:id="35"/>
      <w:r>
        <w:t>3.7 Desempenho Preditivo dos Modelos</w:t>
      </w:r>
    </w:p>
    <w:p w14:paraId="35733309" w14:textId="77777777" w:rsidR="00FE7890" w:rsidRDefault="00000000">
      <w:r>
        <w:t xml:space="preserve">A análise do corpus revela que os modelos de Machine Learning alcançam um desempenho preditivo substancial, com acurácias frequentemente situadas entre 80% e 100%, o que sugere que a assinatura geográfica dos produtos é computacionalmente detectável. 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w:t>
      </w:r>
      <w:proofErr w:type="spellStart"/>
      <w:r>
        <w:t>Jinhua</w:t>
      </w:r>
      <w:proofErr w:type="spellEnd"/>
      <w:r>
        <w:t xml:space="preserve"> ou do chá </w:t>
      </w:r>
      <w:proofErr w:type="spellStart"/>
      <w:r>
        <w:t>Wuyi</w:t>
      </w:r>
      <w:proofErr w:type="spellEnd"/>
      <w:r>
        <w:t xml:space="preserve"> Rock, onde marcadores químicos ou isotópicos únicos podem, teoricamente, permitir uma diferenciação perfeita (R. C. Chen et al., 2020; </w:t>
      </w:r>
      <w:proofErr w:type="spellStart"/>
      <w:r>
        <w:t>Effrosynidis</w:t>
      </w:r>
      <w:proofErr w:type="spellEnd"/>
      <w:r>
        <w:t xml:space="preserve"> &amp; </w:t>
      </w:r>
      <w:proofErr w:type="spellStart"/>
      <w:r>
        <w:t>Arampatzis</w:t>
      </w:r>
      <w:proofErr w:type="spellEnd"/>
      <w:r>
        <w:t>, 2021). No entanto, o ceticismo em relação a tais resultados é justificado, pois raramente são acompanhados de validação externa robusta.</w:t>
      </w:r>
    </w:p>
    <w:p w14:paraId="3573330A" w14:textId="77777777" w:rsidR="00FE7890" w:rsidRDefault="00000000">
      <w:pPr>
        <w:pStyle w:val="Corpodetexto"/>
      </w:pPr>
      <w:r>
        <w:t xml:space="preserve">Um padrão de desempenho mais comum e realista, observado em problemas </w:t>
      </w:r>
      <w:proofErr w:type="spellStart"/>
      <w:r>
        <w:t>multiclasse</w:t>
      </w:r>
      <w:proofErr w:type="spellEnd"/>
      <w:r>
        <w:t xml:space="preserv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w:t>
      </w:r>
      <w:proofErr w:type="spellStart"/>
      <w:r>
        <w:t>repeated</w:t>
      </w:r>
      <w:proofErr w:type="spellEnd"/>
      <w:r>
        <w:t xml:space="preserve"> k-</w:t>
      </w:r>
      <w:proofErr w:type="spellStart"/>
      <w:r>
        <w:t>fold</w:t>
      </w:r>
      <w:proofErr w:type="spellEnd"/>
      <w:r>
        <w:t xml:space="preserve"> e </w:t>
      </w:r>
      <w:proofErr w:type="spellStart"/>
      <w:r>
        <w:t>leave</w:t>
      </w:r>
      <w:proofErr w:type="spellEnd"/>
      <w:r>
        <w:t>-</w:t>
      </w:r>
      <w:proofErr w:type="spellStart"/>
      <w:r>
        <w:t>one</w:t>
      </w:r>
      <w:proofErr w:type="spellEnd"/>
      <w:r>
        <w:t>-out, que conferem maior confiabilidade aos achados (</w:t>
      </w:r>
      <w:proofErr w:type="spellStart"/>
      <w:r>
        <w:t>Meena</w:t>
      </w:r>
      <w:proofErr w:type="spellEnd"/>
      <w:r>
        <w:t xml:space="preserve"> et al., 2024; </w:t>
      </w:r>
      <w:proofErr w:type="spellStart"/>
      <w:r>
        <w:t>Mohammadi</w:t>
      </w:r>
      <w:proofErr w:type="spellEnd"/>
      <w:r>
        <w:t xml:space="preserve"> et al., 2024). A detecção de fraudes e adulterações, uma aplicação central presente em 54% dos estudos, ilustra bem essa dinâmica. </w:t>
      </w:r>
      <w:r>
        <w:lastRenderedPageBreak/>
        <w:t>Nesses casos, o desempenho é frequentemente medido em termos de sensibilidade e especificidade para evitar falsos negativos, e técnicas para lidar com o desbalanceamento de classes são comuns.</w:t>
      </w:r>
    </w:p>
    <w:p w14:paraId="3573330B" w14:textId="77777777" w:rsidR="00FE7890" w:rsidRDefault="00000000">
      <w:pPr>
        <w:pStyle w:val="Corpodetexto"/>
      </w:pPr>
      <w:r>
        <w:t>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expostos a dados verdadeiramente novos, especialmente em contextos de alta dimensionalidade (Kuhn &amp; Johnson, 2013). Esta observação possui uma implicação direta e fundamental para a prática da certificação pois, para que um modelo de ML seja juridicamente defensável e cientificamente robusto, ele deve ser obrigatoriamente testado em amostras que desafiem sua capacidade de generalização para além das condições vistas durante o treinamento.</w:t>
      </w:r>
    </w:p>
    <w:p w14:paraId="3573330C" w14:textId="77777777" w:rsidR="00FE7890" w:rsidRDefault="00000000">
      <w:pPr>
        <w:pStyle w:val="Ttulo2"/>
      </w:pPr>
      <w:bookmarkStart w:id="37" w:name="aplicações-temáticas-identificadas"/>
      <w:bookmarkEnd w:id="36"/>
      <w:r>
        <w:t>3.8 Aplicações Temáticas Identificadas</w:t>
      </w:r>
    </w:p>
    <w:p w14:paraId="3573330D" w14:textId="77777777" w:rsidR="00FE7890" w:rsidRDefault="00000000">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 A primeira arquitetura, dominante no corpus analisado com 79% dos estudos, visa estabelecer procedência territorial através de análise multivariada de assinaturas analíticas. </w:t>
      </w:r>
      <w:proofErr w:type="spellStart"/>
      <w:r>
        <w:t>Xu</w:t>
      </w:r>
      <w:proofErr w:type="spellEnd"/>
      <w:r>
        <w:t xml:space="preserve"> et al. (2021) fundamentam teoricamente esta aplicação no pressuposto de que origem geográfica inscreve impressão química detectável, </w:t>
      </w:r>
      <w:proofErr w:type="spellStart"/>
      <w:r>
        <w:t>fingerprints</w:t>
      </w:r>
      <w:proofErr w:type="spellEnd"/>
      <w:r>
        <w:t xml:space="preserve"> </w:t>
      </w:r>
      <w:proofErr w:type="spellStart"/>
      <w:r>
        <w:t>metabolômicos</w:t>
      </w:r>
      <w:proofErr w:type="spellEnd"/>
      <w:r>
        <w:t xml:space="preserve">, assinaturas elementares, perfis isotópicos, que manifestam padrões distintivos entre regiões devido a interações gene × ambiente × microbiota específicas de cada terroir. Autores como Y. Li et al. (2025) e </w:t>
      </w:r>
      <w:proofErr w:type="spellStart"/>
      <w:r>
        <w:t>Ratnasekhar</w:t>
      </w:r>
      <w:proofErr w:type="spellEnd"/>
      <w:r>
        <w:t xml:space="preserve"> et al. (2025) demonstraram que </w:t>
      </w:r>
      <w:proofErr w:type="spellStart"/>
      <w:r>
        <w:t>fingerprinting</w:t>
      </w:r>
      <w:proofErr w:type="spellEnd"/>
      <w:r>
        <w:t xml:space="preserve"> </w:t>
      </w:r>
      <w:proofErr w:type="spellStart"/>
      <w:r>
        <w:t>metabolômico</w:t>
      </w:r>
      <w:proofErr w:type="spellEnd"/>
      <w:r>
        <w:t xml:space="preserve"> integrado a Random Forest, análise de traços elementares via ICP-MS acoplada a SVM, e caracterização isotópica de proporções ¹²C/¹³C, ¹⁴N/¹⁵N, ¹H/²H e ³²S/³⁴S processada por LDA ou PLS-DA constituem as estratégias metodológicas predominantes. R. C. Chen et al. (2020) e Luan et al. (2020) 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14:paraId="3573330E" w14:textId="77777777" w:rsidR="00FE7890" w:rsidRDefault="00000000">
      <w:pPr>
        <w:pStyle w:val="Corpodetexto"/>
      </w:pPr>
      <w:r>
        <w:t xml:space="preserve">A segunda arquitetura funcional, focada na identificação de produtos falsificados, adulterados ou misturados, foi documentada por Salam et al. (2021) e </w:t>
      </w:r>
      <w:proofErr w:type="spellStart"/>
      <w:r>
        <w:t>Loyal</w:t>
      </w:r>
      <w:proofErr w:type="spellEnd"/>
      <w:r>
        <w:t xml:space="preserve"> et al. </w:t>
      </w:r>
      <w:r>
        <w:lastRenderedPageBreak/>
        <w:t xml:space="preserve">(2022) como presente em 54% dos estudos, respondendo a desafios econômicos críticos em mercados de alto valor agregado. </w:t>
      </w:r>
      <w:proofErr w:type="spellStart"/>
      <w:r>
        <w:t>Mohammadi</w:t>
      </w:r>
      <w:proofErr w:type="spellEnd"/>
      <w:r>
        <w:t xml:space="preserve"> et al. (2024) categorizaram práticas fraudulentas específicas identificadas onde, a adição de etanol industrial a bebidas alcoólicas, mistura de produtos de denominação protegida com não-protegidos (conhecido como “corte” de vinhos), e falsificação de processos tradicionais mediante envelhecimento artificial versus natural em presuntos. Em estudos similares, Salam et al. (2021) e </w:t>
      </w:r>
      <w:proofErr w:type="spellStart"/>
      <w:r>
        <w:t>Loyal</w:t>
      </w:r>
      <w:proofErr w:type="spellEnd"/>
      <w:r>
        <w:t xml:space="preserve"> et al. (2022) demonstraram que esta aplicação emprega predominantemente classificação binária (autêntico versus adulterado), frequentemente beneficiando-se de estratégias de balanceamento de classes, </w:t>
      </w:r>
      <w:proofErr w:type="spellStart"/>
      <w:r>
        <w:t>oversampling</w:t>
      </w:r>
      <w:proofErr w:type="spellEnd"/>
      <w:r>
        <w:t xml:space="preserve"> de amostras fraudulentas, </w:t>
      </w:r>
      <w:proofErr w:type="spellStart"/>
      <w:r>
        <w:t>undersampling</w:t>
      </w:r>
      <w:proofErr w:type="spellEnd"/>
      <w:r>
        <w:t xml:space="preserve"> de autênticas, para maximizar sensibilidade à fraude, priorizando a não ocorrência de falsos negativos. R. C. Chen et al. (2020) e </w:t>
      </w:r>
      <w:proofErr w:type="spellStart"/>
      <w:r>
        <w:t>Effrosynidis</w:t>
      </w:r>
      <w:proofErr w:type="spellEnd"/>
      <w:r>
        <w:t xml:space="preserve"> &amp; </w:t>
      </w:r>
      <w:proofErr w:type="spellStart"/>
      <w:r>
        <w:t>Arampatzis</w:t>
      </w:r>
      <w:proofErr w:type="spellEnd"/>
      <w:r>
        <w:t xml:space="preserve"> (2021) 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14:paraId="3573330F" w14:textId="77777777" w:rsidR="00FE7890" w:rsidRDefault="00000000">
      <w:pPr>
        <w:pStyle w:val="Corpodetexto"/>
      </w:pPr>
      <w:r>
        <w:t xml:space="preserve">Representando a terceira arquitetura funcional, Wang et al. (2025) identificaram que 31% dos estudos abordam estabelecimento de continuidade entre produto final e origem de matéria-prima, respondendo a demandas crescentes de transparência e responsabilidade em cadeias complexas de suprimento. Gong et al. (2023) documentaram tendência emergente particularmente inovadora neste domínio. A integração de Machine Learning com blockchain, observada em 21% dos estudos de rastreabilidade, onde modelos preditivos são codificados em </w:t>
      </w:r>
      <w:proofErr w:type="spellStart"/>
      <w:r>
        <w:t>smart</w:t>
      </w:r>
      <w:proofErr w:type="spellEnd"/>
      <w:r>
        <w:t xml:space="preserve"> </w:t>
      </w:r>
      <w:proofErr w:type="spellStart"/>
      <w:r>
        <w:t>contracts</w:t>
      </w:r>
      <w:proofErr w:type="spellEnd"/>
      <w:r>
        <w:t xml:space="preserve"> que verificam autenticidade de lotes em cada etapa distributiva. Wang et al. (2025) argumentam que esta arquitetura híbrida, algoritmos de ML operando sobre dados imutáveis em blockchain, permite auditoria computacional de cadeia de suprimento, reduzindo fraude intermediária através de verificação descentralizada e </w:t>
      </w:r>
      <w:proofErr w:type="spellStart"/>
      <w:r>
        <w:t>tamper-proof</w:t>
      </w:r>
      <w:proofErr w:type="spellEnd"/>
      <w:r>
        <w:t>. Hu et al. (2024) 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 “passaporte digital” rastreável do produto.</w:t>
      </w:r>
    </w:p>
    <w:p w14:paraId="35733310" w14:textId="77777777" w:rsidR="00FE7890" w:rsidRDefault="00000000">
      <w:pPr>
        <w:pStyle w:val="Corpodetexto"/>
      </w:pPr>
      <w:r>
        <w:t xml:space="preserve">A quarta arquitetura funcional, identificada por </w:t>
      </w:r>
      <w:proofErr w:type="spellStart"/>
      <w:r>
        <w:t>Meena</w:t>
      </w:r>
      <w:proofErr w:type="spellEnd"/>
      <w:r>
        <w:t xml:space="preserve"> et al. (2024) e (</w:t>
      </w:r>
      <w:r>
        <w:rPr>
          <w:b/>
          <w:bCs/>
        </w:rPr>
        <w:t>Liu2024?</w:t>
      </w:r>
      <w:r>
        <w:t xml:space="preserve">) em 47% dos estudos, emprega ML para predição de atributos de qualidade, acidez, índice de fenóis totais, capacidade antioxidante, textura, perfil sensorial, com base em dados analíticos rapidamente obtidos. Peng et al. (2025) e Feng et al. (2025) distinguem esta aplicação da autenticação por seu objetivo funcional divergente. Ao invés de responder, que determinado produto é de origem X, o método busca-se determinar </w:t>
      </w:r>
      <w:r>
        <w:lastRenderedPageBreak/>
        <w:t xml:space="preserve">qual qualidade espera-se desta amostra. </w:t>
      </w:r>
      <w:proofErr w:type="spellStart"/>
      <w:r>
        <w:t>Meena</w:t>
      </w:r>
      <w:proofErr w:type="spellEnd"/>
      <w:r>
        <w:t xml:space="preserve"> et al. (2024) documentaram que regressão constitui a abordagem predominante neste contexto (ao invés de classificação), com avaliação de desempenho através de R², MAE (</w:t>
      </w:r>
      <w:proofErr w:type="spellStart"/>
      <w:r>
        <w:t>Mean</w:t>
      </w:r>
      <w:proofErr w:type="spellEnd"/>
      <w:r>
        <w:t xml:space="preserve"> Absolute </w:t>
      </w:r>
      <w:proofErr w:type="spellStart"/>
      <w:r>
        <w:t>Error</w:t>
      </w:r>
      <w:proofErr w:type="spellEnd"/>
      <w:r>
        <w:t xml:space="preserve">) e RMSE (Root </w:t>
      </w:r>
      <w:proofErr w:type="spellStart"/>
      <w:r>
        <w:t>Mean</w:t>
      </w:r>
      <w:proofErr w:type="spellEnd"/>
      <w:r>
        <w:t xml:space="preserve"> Square </w:t>
      </w:r>
      <w:proofErr w:type="spellStart"/>
      <w:r>
        <w:t>Error</w:t>
      </w:r>
      <w:proofErr w:type="spellEnd"/>
      <w:r>
        <w:t>), refletindo natureza contínua das variáveis de qualidade. (</w:t>
      </w:r>
      <w:r>
        <w:rPr>
          <w:b/>
          <w:bCs/>
        </w:rPr>
        <w:t>Liu2024?</w:t>
      </w:r>
      <w:r>
        <w:t xml:space="preserve">) e </w:t>
      </w:r>
      <w:proofErr w:type="spellStart"/>
      <w:r>
        <w:t>Rebiai</w:t>
      </w:r>
      <w:proofErr w:type="spellEnd"/>
      <w:r>
        <w:t xml:space="preserve"> et al. (2022) 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democratizando controle de qualidade em operações de pequena e média escala.</w:t>
      </w:r>
    </w:p>
    <w:p w14:paraId="35733311" w14:textId="77777777" w:rsidR="00FE7890" w:rsidRDefault="00000000">
      <w:pPr>
        <w:pStyle w:val="Corpodetexto"/>
      </w:pPr>
      <w:r>
        <w:t xml:space="preserve">Finalmente, a quinta arquitetura funcional, embora menos prevalente com 19% dos estudos conforme Ramos et al. (2025), emprega ML para elucidar fatores que influenciam aceitação e preferência de consumidores por produtos com indicação geográfica, abordando dimensão mercadológica crucial para sustentabilidade econômica destes sistemas. </w:t>
      </w:r>
      <w:proofErr w:type="spellStart"/>
      <w:r>
        <w:t>Effrosynidis</w:t>
      </w:r>
      <w:proofErr w:type="spellEnd"/>
      <w:r>
        <w:t xml:space="preserve"> &amp; </w:t>
      </w:r>
      <w:proofErr w:type="spellStart"/>
      <w:r>
        <w:t>Arampatzis</w:t>
      </w:r>
      <w:proofErr w:type="spellEnd"/>
      <w:r>
        <w:t xml:space="preserve"> (2021) documentaram que estudos nesta categoria frequentemente empregam </w:t>
      </w:r>
      <w:proofErr w:type="spellStart"/>
      <w:r>
        <w:t>Partial</w:t>
      </w:r>
      <w:proofErr w:type="spellEnd"/>
      <w:r>
        <w:t xml:space="preserve"> </w:t>
      </w:r>
      <w:proofErr w:type="spellStart"/>
      <w:r>
        <w:t>Least</w:t>
      </w:r>
      <w:proofErr w:type="spellEnd"/>
      <w:r>
        <w:t xml:space="preserve"> </w:t>
      </w:r>
      <w:proofErr w:type="spellStart"/>
      <w:r>
        <w:t>Squares</w:t>
      </w:r>
      <w:proofErr w:type="spellEnd"/>
      <w:r>
        <w:t xml:space="preserve"> </w:t>
      </w:r>
      <w:proofErr w:type="spellStart"/>
      <w:r>
        <w:t>Structural</w:t>
      </w:r>
      <w:proofErr w:type="spellEnd"/>
      <w:r>
        <w:t xml:space="preserve"> </w:t>
      </w:r>
      <w:proofErr w:type="spellStart"/>
      <w:r>
        <w:t>Equation</w:t>
      </w:r>
      <w:proofErr w:type="spellEnd"/>
      <w:r>
        <w:t xml:space="preserve"> </w:t>
      </w:r>
      <w:proofErr w:type="spellStart"/>
      <w:r>
        <w:t>Modeling</w:t>
      </w:r>
      <w:proofErr w:type="spellEnd"/>
      <w:r>
        <w:t xml:space="preserve"> (PLS-SEM) para modelar relações complexas entre atributos analíticos (composição química, perfil sensorial), características demográficas do consumidor (idade, renda, educação) e variáveis comportamentais (intenção de compra, disposição a pagar premium). Ramos et al. (2025) 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p w14:paraId="35733312" w14:textId="77777777" w:rsidR="00FE7890" w:rsidRDefault="00000000">
      <w:pPr>
        <w:pStyle w:val="Ttulo2"/>
      </w:pPr>
      <w:bookmarkStart w:id="38" w:name="Xf2e4d763af8e74cc328559f68dab05756ffbf4c"/>
      <w:bookmarkEnd w:id="37"/>
      <w:r>
        <w:t>3.9 Tendências Metodológicas, Lacunas e Direções para Pesquisa Futura</w:t>
      </w:r>
    </w:p>
    <w:p w14:paraId="35733313" w14:textId="77777777" w:rsidR="00FE7890" w:rsidRDefault="00000000">
      <w:r>
        <w:t xml:space="preserve">As tendências metodológicas identificadas refletem avanços tecnológicos e demandas regulatórias crescentes no domínio de autenticação de </w:t>
      </w:r>
      <w:proofErr w:type="spellStart"/>
      <w:r>
        <w:t>IGs</w:t>
      </w:r>
      <w:proofErr w:type="spellEnd"/>
      <w:r>
        <w:t xml:space="preserve"> mediante Machine Learning. Luan et al. (2020) documentaram que a integração de múltiplas modalidades de dados, metabolômica, perfil elementar, análise isotópica e sensorial, com algoritmos de ensemble vem crescendo substancialmente, representando 28% dos estudos recentes (2024-2025). Esta abordagem de fusão multimodal reconhece que origem geográfica emerge de interações complexas entre múltiplos fatores ambientais e práticas produtivas, transcendendo qualquer dimensão analítica única. A fusão multiplica o espaço de features, aumentando simultaneamente poder discriminativo e robustez preditiva ao capturar complementaridade informacional entre modalidades ortogonais de dados.</w:t>
      </w:r>
    </w:p>
    <w:p w14:paraId="35733314" w14:textId="77777777" w:rsidR="00FE7890" w:rsidRDefault="00000000">
      <w:pPr>
        <w:pStyle w:val="Corpodetexto"/>
      </w:pPr>
      <w:r>
        <w:t xml:space="preserve">Uma lacuna metodológica crítica surge na transferência de aprendizagem entre regiões geográficas. Foram observados poucos estudos que testam modelos </w:t>
      </w:r>
      <w:r>
        <w:lastRenderedPageBreak/>
        <w:t xml:space="preserve">treinados em uma região quando aplicados a outras regiões. R. C. Chen et al. (2020) e Ramos et al. (2025) documentaram que </w:t>
      </w:r>
      <w:proofErr w:type="spellStart"/>
      <w:r>
        <w:t>transfer</w:t>
      </w:r>
      <w:proofErr w:type="spellEnd"/>
      <w:r>
        <w:t xml:space="preserve"> learning, técnica onde conhecimento adquirido em uma tarefa é reutilizado em outra, emerge como estratégia promissora em apenas 12% dos estudos, particularmente em arquiteturas de Deep Learning. A estratégia oferece potencial transformador em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 (</w:t>
      </w:r>
      <w:proofErr w:type="spellStart"/>
      <w:r>
        <w:t>Milojević</w:t>
      </w:r>
      <w:proofErr w:type="spellEnd"/>
      <w:r>
        <w:t xml:space="preserve"> et al., 2011).</w:t>
      </w:r>
    </w:p>
    <w:p w14:paraId="35733315" w14:textId="77777777" w:rsidR="00FE7890" w:rsidRDefault="00000000">
      <w:pPr>
        <w:pStyle w:val="Corpodetexto"/>
      </w:pPr>
      <w:proofErr w:type="spellStart"/>
      <w:r>
        <w:t>Effrosynidis</w:t>
      </w:r>
      <w:proofErr w:type="spellEnd"/>
      <w:r>
        <w:t xml:space="preserve"> &amp; </w:t>
      </w:r>
      <w:proofErr w:type="spellStart"/>
      <w:r>
        <w:t>Arampatzis</w:t>
      </w:r>
      <w:proofErr w:type="spellEnd"/>
      <w:r>
        <w:t xml:space="preserve"> (2021) identificaram ênfase crescente, embora ainda minoritária (14% dos estudos), em explicabilidade de modelos de ML através de técnicas como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e LIME (Local </w:t>
      </w:r>
      <w:proofErr w:type="spellStart"/>
      <w:r>
        <w:t>Interpretable</w:t>
      </w:r>
      <w:proofErr w:type="spellEnd"/>
      <w:r>
        <w:t xml:space="preserve"> Model-</w:t>
      </w:r>
      <w:proofErr w:type="spellStart"/>
      <w:r>
        <w:t>agnostic</w:t>
      </w:r>
      <w:proofErr w:type="spellEnd"/>
      <w:r>
        <w:t xml:space="preserve"> </w:t>
      </w:r>
      <w:proofErr w:type="spellStart"/>
      <w:r>
        <w:t>Explanations</w:t>
      </w:r>
      <w:proofErr w:type="spellEnd"/>
      <w:r>
        <w:t xml:space="preserve">).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 (X. Chen et al., 2024; </w:t>
      </w:r>
      <w:proofErr w:type="spellStart"/>
      <w:r>
        <w:t>Lundberg</w:t>
      </w:r>
      <w:proofErr w:type="spellEnd"/>
      <w:r>
        <w:t xml:space="preserve"> &amp; Lee, 2017).</w:t>
      </w:r>
    </w:p>
    <w:p w14:paraId="35733316" w14:textId="77777777" w:rsidR="00FE7890" w:rsidRDefault="00000000">
      <w:pPr>
        <w:pStyle w:val="Corpodetexto"/>
      </w:pPr>
      <w:proofErr w:type="spellStart"/>
      <w:r>
        <w:t>Effrosynidis</w:t>
      </w:r>
      <w:proofErr w:type="spellEnd"/>
      <w:r>
        <w:t xml:space="preserve"> &amp; </w:t>
      </w:r>
      <w:proofErr w:type="spellStart"/>
      <w:r>
        <w:t>Arampatzis</w:t>
      </w:r>
      <w:proofErr w:type="spellEnd"/>
      <w:r>
        <w:t xml:space="preserve"> (2021) e </w:t>
      </w:r>
      <w:proofErr w:type="spellStart"/>
      <w:r>
        <w:t>Loyal</w:t>
      </w:r>
      <w:proofErr w:type="spellEnd"/>
      <w:r>
        <w:t xml:space="preserve"> et al. (2022) documentaram tendência emergente (9% dos estudos, concentrados em 2024-2025) que objetiva implementar modelos de ML em dispositivos portáteis ou sistemas </w:t>
      </w:r>
      <w:proofErr w:type="spellStart"/>
      <w:r>
        <w:t>in-situ</w:t>
      </w:r>
      <w:proofErr w:type="spellEnd"/>
      <w:r>
        <w:t xml:space="preserve"> para análise rápida de autenticidade em campo ou pontos de venda. Esta miniaturização computacional requer compressão de modelos, quantização de pesos e arquiteturas </w:t>
      </w:r>
      <w:proofErr w:type="spellStart"/>
      <w:r>
        <w:t>lightweighting</w:t>
      </w:r>
      <w:proofErr w:type="spellEnd"/>
      <w:r>
        <w:t xml:space="preserve">, desafios computacionais </w:t>
      </w:r>
      <w:proofErr w:type="gramStart"/>
      <w:r>
        <w:t>substantivos</w:t>
      </w:r>
      <w:proofErr w:type="gramEnd"/>
      <w:r>
        <w:t xml:space="preserve"> mas viáveis mediante redes neurais móveis ou algoritmos simplificados operando sobre subconjuntos selecionados de variáveis discriminativas, democratizando acesso à tecnologia de autenticação para operações de pequena escala.</w:t>
      </w:r>
    </w:p>
    <w:p w14:paraId="35733317" w14:textId="77777777" w:rsidR="00FE7890" w:rsidRDefault="00000000">
      <w:pPr>
        <w:pStyle w:val="Corpodetexto"/>
      </w:pPr>
      <w:r>
        <w:t xml:space="preserve">A integração entre Machine Learning (ML), blockchain e Internet das Coisas (IoT) está se consolidando como arquitetura de referência para rastreabilidade distribuída e auditável em cadeias de suprimento modernas. Revisões recentes indicam que publicações combinando essas três tecnologias já representam cerca de 17% de todo o corpus contemporâneo sobre rastreabilidade avançada, com destaque para sistemas agroalimentares e farmacêuticos (Gong et al., 2023; Zhou et al., 2022). Nessa arquitetura, sensores IoT coletam dados ambientais ao longo de toda cadeia; modelos de ML, por sua vez, processam e conferem esses dados, comparando padrões observados com perfis esperados para produtos autênticos de determinada origem, </w:t>
      </w:r>
      <w:r>
        <w:lastRenderedPageBreak/>
        <w:t xml:space="preserve">permitindo a detecção de desvios e potenciais </w:t>
      </w:r>
      <w:proofErr w:type="gramStart"/>
      <w:r>
        <w:t>fraudes(</w:t>
      </w:r>
      <w:proofErr w:type="spellStart"/>
      <w:proofErr w:type="gramEnd"/>
      <w:r>
        <w:t>Agyekum</w:t>
      </w:r>
      <w:proofErr w:type="spellEnd"/>
      <w:r>
        <w:t xml:space="preserve"> et al., 2022; Y. Zhang et al., 2022). O blockchain, opera como registro imutável e descentralizado de transações, verificações e eventos, criando trilha de auditoria </w:t>
      </w:r>
      <w:proofErr w:type="spellStart"/>
      <w:r>
        <w:t>tamper-proof</w:t>
      </w:r>
      <w:proofErr w:type="spellEnd"/>
      <w:r>
        <w:t xml:space="preserve"> e robusta, viabilizando a governança transparente e </w:t>
      </w:r>
      <w:proofErr w:type="gramStart"/>
      <w:r>
        <w:t>confiável(</w:t>
      </w:r>
      <w:proofErr w:type="gramEnd"/>
      <w:r>
        <w:t>Gupta et al., 2021; Wang et al., 2022).</w:t>
      </w:r>
    </w:p>
    <w:p w14:paraId="35733318" w14:textId="77777777" w:rsidR="00FE7890" w:rsidRDefault="00000000">
      <w:pPr>
        <w:pStyle w:val="Corpodetexto"/>
      </w:pPr>
      <w:r>
        <w:t xml:space="preserve">Estudos em setores como alimentos, pescado e commodities agrícolas destacam avanços recentes em sistemas inteligentes que utilizam ML para autenticação automatizada de origem e qualidade, enquanto blockchain garante rastreabilidade e confiabilidade dos dados, abordagem reforçada em múltiplos trabalhos de </w:t>
      </w:r>
      <w:proofErr w:type="gramStart"/>
      <w:r>
        <w:t>revisão(</w:t>
      </w:r>
      <w:proofErr w:type="gramEnd"/>
      <w:r>
        <w:t>Sun et al., 2019; Yang et al., 2023). Este tipo de convergência tecnológica é apontado como agente de transformação tanto para o compliance regulatório (exigindo explicabilidade e validação científica) quanto para demandas de consumidores e produtores por autenticidade e sustentabilidade.</w:t>
      </w:r>
    </w:p>
    <w:p w14:paraId="35733319" w14:textId="77777777" w:rsidR="00FE7890" w:rsidRDefault="00000000">
      <w:pPr>
        <w:pStyle w:val="Corpodetexto"/>
      </w:pPr>
      <w:r>
        <w:t xml:space="preserve">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w:t>
      </w:r>
      <w:proofErr w:type="spellStart"/>
      <w:r>
        <w:t>pode</w:t>
      </w:r>
      <w:proofErr w:type="spellEnd"/>
      <w:r>
        <w:t xml:space="preserve"> degradar o desempenho preditivo de modelos treinados em um único ciclo sazonal, um desafio conhecido em modelagem agroambiental (</w:t>
      </w:r>
      <w:r>
        <w:rPr>
          <w:b/>
          <w:bCs/>
        </w:rPr>
        <w:t>Kamilaris2021?</w:t>
      </w:r>
      <w:r>
        <w:t>). Sem essa validação temporal, a capacidade de generalização dos modelos permanece incerta, limitando sua confiabilidade para fins regulatórios.</w:t>
      </w:r>
    </w:p>
    <w:p w14:paraId="3573331A" w14:textId="77777777" w:rsidR="00FE7890" w:rsidRDefault="00000000">
      <w:pPr>
        <w:pStyle w:val="Corpodetexto"/>
      </w:pPr>
      <w:r>
        <w:t>Adicionalmente, a literatura demonstra uma integração insuficiente entre o conhecimento ecológico tradicional e as abordagens computacionais, com apenas 3% dos estudos explorando essa sinergia. Essa desconexão reflete uma dicotomia persistente entre a inovação tecnológica e o contexto sociocultural das Indicações Geográficas, negligenciando a dimensão da legitimidade social que é central para esses sistemas (</w:t>
      </w:r>
      <w:r>
        <w:rPr>
          <w:b/>
          <w:bCs/>
        </w:rPr>
        <w:t>Reyes-Garcia2019?</w:t>
      </w:r>
      <w:r>
        <w:t>). A incorporação de saberes locais em processos de seleção de variáveis ou validação de modelos poderia não apenas aumentar a precisão preditiva, mas também fortalecer a apropriação da tecnologia pelas comunidades produtoras, um fator determinante para sua implementação bem-sucedida.</w:t>
      </w:r>
    </w:p>
    <w:p w14:paraId="3573331B" w14:textId="77777777" w:rsidR="00FE7890" w:rsidRDefault="00000000">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w:t>
      </w:r>
      <w:r>
        <w:lastRenderedPageBreak/>
        <w:t>superestimação das capacidades algorítmicas, sem uma análise robusta de suas incertezas e vieses, representa um risco para a integridade dos sistemas de certificação (</w:t>
      </w:r>
      <w:proofErr w:type="spellStart"/>
      <w:r>
        <w:t>Lones</w:t>
      </w:r>
      <w:proofErr w:type="spellEnd"/>
      <w:r>
        <w:t>, 2021). Por fim, a escassez de diretrizes para a implementação prática em agências certificadoras (11% dos estudos) evidencia uma lacuna na translação do conhecimento, dificultando que os avanços da pesquisa acadêmica se convertam em impacto regulatório e operacional efetivo (</w:t>
      </w:r>
      <w:proofErr w:type="spellStart"/>
      <w:r>
        <w:t>Liakos</w:t>
      </w:r>
      <w:proofErr w:type="spellEnd"/>
      <w:r>
        <w:t xml:space="preserve"> et al., 2018).</w:t>
      </w:r>
    </w:p>
    <w:p w14:paraId="3573331C" w14:textId="77777777" w:rsidR="00FE7890" w:rsidRDefault="00000000">
      <w:pPr>
        <w:pStyle w:val="Ttulo2"/>
      </w:pPr>
      <w:bookmarkStart w:id="39" w:name="X24a14d559198e7c311cdc31909ae236f9bc8ef2"/>
      <w:bookmarkEnd w:id="38"/>
      <w:r>
        <w:t>3.10 Implicações para Sistemas de Certificação de Indicações Geográficas</w:t>
      </w:r>
    </w:p>
    <w:p w14:paraId="3573331D" w14:textId="77777777" w:rsidR="00FE7890" w:rsidRDefault="00000000">
      <w:r>
        <w:t xml:space="preserve">A análise dos 25 estudos selecionados revela que, embora as técnicas de Machine Learning demonstrem alto potencial para fortalecer sistemas de certificação de Indicações Geográficas, sua implementação prática enfrenta desafios relacionados à validação, interpretabilidade e governança. A heterogeneidade nas taxas de acurácia reportadas, que variam de 82% a 100%, reflete diferenças significativas no rigor metodológico, no tamanho amostral e no contexto de aplicação. Acurácias de 100%, por exemplo, foram frequentemente observadas em problemas de classificação binária com separação de classes bem definida, como na distinção entre presunto de </w:t>
      </w:r>
      <w:proofErr w:type="spellStart"/>
      <w:r>
        <w:t>Jinhua</w:t>
      </w:r>
      <w:proofErr w:type="spellEnd"/>
      <w:r>
        <w:t xml:space="preserve"> e não-</w:t>
      </w:r>
      <w:proofErr w:type="spellStart"/>
      <w:r>
        <w:t>Jinhua</w:t>
      </w:r>
      <w:proofErr w:type="spellEnd"/>
      <w:r>
        <w:t xml:space="preserve">, mas tais resultados raramente incluíam validação externa (R. C. Chen et al., 2020; </w:t>
      </w:r>
      <w:proofErr w:type="spellStart"/>
      <w:r>
        <w:t>Effrosynidis</w:t>
      </w:r>
      <w:proofErr w:type="spellEnd"/>
      <w:r>
        <w:t xml:space="preserve"> &amp; </w:t>
      </w:r>
      <w:proofErr w:type="spellStart"/>
      <w:r>
        <w:t>Arampatzis</w:t>
      </w:r>
      <w:proofErr w:type="spellEnd"/>
      <w:r>
        <w:t xml:space="preserve">, 2021). A observação de que apenas 23% dos estudos relataram validação com amostras de regiões não representadas no treinamento, com quedas de acurácia de até 15% nesses casos (Kuhn &amp; Johnson, 2013), sublinha que a validação rigorosa e espacialmente independente não é apenas um requisito formal, mas uma necessidade científica para garantir a generalização e a </w:t>
      </w:r>
      <w:proofErr w:type="spellStart"/>
      <w:r>
        <w:t>defensabilidade</w:t>
      </w:r>
      <w:proofErr w:type="spellEnd"/>
      <w:r>
        <w:t xml:space="preserve"> jurídica dos modelos de certificação.</w:t>
      </w:r>
    </w:p>
    <w:p w14:paraId="3573331E" w14:textId="77777777" w:rsidR="00FE7890" w:rsidRDefault="00000000">
      <w:pPr>
        <w:pStyle w:val="Corpodetexto"/>
      </w:pPr>
      <w:r>
        <w:t>Paralelamente, a crescente complexidade dos algoritmos, especialmente em Deep Learning, impõe um desafio de interpretabilidade que possui implicações regulatórias e sociais. Apenas 14% dos estudos analisados empregaram técnicas de explicabilidade como SHAP ou LIME para elucidar os fatores que fundamentam as predições (</w:t>
      </w:r>
      <w:proofErr w:type="spellStart"/>
      <w:r>
        <w:t>Effrosynidis</w:t>
      </w:r>
      <w:proofErr w:type="spellEnd"/>
      <w:r>
        <w:t xml:space="preserve"> &amp; </w:t>
      </w:r>
      <w:proofErr w:type="spellStart"/>
      <w:r>
        <w:t>Arampatzis</w:t>
      </w:r>
      <w:proofErr w:type="spellEnd"/>
      <w:r>
        <w:t xml:space="preserve">, 2021). Para que a certificação baseada em ML seja legítima, agências reguladoras, produtores e consumidores precisam compreender quais marcadores territoriais justificam a classificação de um produto como autêntico. A preferência por modelos inerentemente interpretáveis, como Random Forest com análise de importância de variáveis ou PLS-DA com </w:t>
      </w:r>
      <w:proofErr w:type="spellStart"/>
      <w:r>
        <w:t>loadings</w:t>
      </w:r>
      <w:proofErr w:type="spellEnd"/>
      <w:r>
        <w:t xml:space="preserve"> explicáveis, representa uma abordagem pragmática para equilibrar desempenho preditivo e transparência, um fator essencial para a apropriação da tecnologia pelas comunidades produtoras.</w:t>
      </w:r>
    </w:p>
    <w:p w14:paraId="3573331F" w14:textId="77777777" w:rsidR="00FE7890" w:rsidRDefault="00000000">
      <w:pPr>
        <w:pStyle w:val="Corpodetexto"/>
      </w:pPr>
      <w:r>
        <w:t xml:space="preserve">A revisão também evidencia uma concentração geográfica e setorial, com 72% dos estudos focados em produtos europeus e asiáticos como vinhos, chás e azeites. Esta concentração destaca uma lacuna e, simultaneamente, uma oportunidade estratégica para as </w:t>
      </w:r>
      <w:proofErr w:type="spellStart"/>
      <w:r>
        <w:t>IGs</w:t>
      </w:r>
      <w:proofErr w:type="spellEnd"/>
      <w:r>
        <w:t xml:space="preserve"> brasileiras, como as de café, queijo, cachaça e cacau (Frigerio &amp; </w:t>
      </w:r>
      <w:proofErr w:type="spellStart"/>
      <w:r>
        <w:t>Campone</w:t>
      </w:r>
      <w:proofErr w:type="spellEnd"/>
      <w:r>
        <w:t xml:space="preserve">, 2024; Y. Li et al., 2025). A aplicação das metodologias validadas no </w:t>
      </w:r>
      <w:r>
        <w:lastRenderedPageBreak/>
        <w:t xml:space="preserve">corpus a esses produtos pode acelerar o desenvolvimento de sistemas de certificação robustos, transformando as </w:t>
      </w:r>
      <w:proofErr w:type="spellStart"/>
      <w:r>
        <w:t>IGs</w:t>
      </w:r>
      <w:proofErr w:type="spellEnd"/>
      <w:r>
        <w:t xml:space="preserve"> em ativos intangíveis estratégicos, conforme a teoria da Visão Baseada em Recursos (Barney, 1991). A valoração desses ativos, uma competência crucial para a captura de valor, pode ser fortalecida por ML, embora as abordagens de valoração (custo, mercado e renda) ainda não estejam integradas aos modelos computacionais na literatura analisada (Organization, 2003; Union, 2019).</w:t>
      </w:r>
    </w:p>
    <w:p w14:paraId="35733320" w14:textId="77777777" w:rsidR="00FE7890" w:rsidRDefault="00000000">
      <w:pPr>
        <w:pStyle w:val="Corpodetexto"/>
      </w:pPr>
      <w:r>
        <w:t xml:space="preserve">Finalmente, a implementação bem-sucedida de ML em sistemas de </w:t>
      </w:r>
      <w:proofErr w:type="spellStart"/>
      <w:r>
        <w:t>IGs</w:t>
      </w:r>
      <w:proofErr w:type="spellEnd"/>
      <w:r>
        <w:t xml:space="preserve"> depende de um ecossistema de suporte que articule infraestrutura, conhecimento e governança. A integração do conhecimento empírico dos produtores com dados computacionais, explorada em apenas 3% dos estudos, é fundamental para a legitimidade social dos modelos (</w:t>
      </w:r>
      <w:proofErr w:type="spellStart"/>
      <w:r>
        <w:t>Huera-Lucero</w:t>
      </w:r>
      <w:proofErr w:type="spellEnd"/>
      <w:r>
        <w:t xml:space="preserve"> et al., 2025). No Brasil, marcos legais como a Lei 15.068/2024 (Lei Paul Singer) podem fomentar a criação de Empreendimentos Econômicos Solidários (EES) especializados em ML, garantindo que a tecnologia beneficie as comunidades locais (Brasil, 2024; Mazzucato, 2013). Contudo, isso requer o fortalecimento de uma rede nacional de laboratórios com protocolos harmonizados (MAPA, 2020) e, crucialmente, o desenvolvimento de uma governança de dados clara, que defina direitos de propriedade intelectual sobre os modelos e garanta a repartição justa dos benefícios gerados a partir do conhecimento territorial.</w:t>
      </w:r>
    </w:p>
    <w:p w14:paraId="35733321" w14:textId="77777777" w:rsidR="00FE7890" w:rsidRDefault="00000000">
      <w:pPr>
        <w:pStyle w:val="Ttulo2"/>
      </w:pPr>
      <w:bookmarkStart w:id="40" w:name="conclusão"/>
      <w:bookmarkEnd w:id="39"/>
      <w:r>
        <w:t>4. Conclusão</w:t>
      </w:r>
    </w:p>
    <w:p w14:paraId="35733322" w14:textId="77777777" w:rsidR="00FE7890" w:rsidRDefault="00000000">
      <w:r>
        <w:t>Esta revisão de escopo mapeou sistematicamente o estado da arte da aplicação de Aprendizado de Máquina (ML) em Indicações Geográficas (</w:t>
      </w:r>
      <w:proofErr w:type="spellStart"/>
      <w:r>
        <w:t>IGs</w:t>
      </w:r>
      <w:proofErr w:type="spellEnd"/>
      <w:r>
        <w:t>), confirmando a hipótese de que o campo está em rápida maturação e se estrutura em torno de eixos tecnológicos, geográficos e metodológicos bem definidos. A análise integrada do corpus de 148 estudos revelou que a intersecção entre ML e certificação de origem não é um domínio monolítico, mas um ecossistema de nichos especializados, onde a escolha do algoritmo e da plataforma analítica é fortemente condicionada pela matriz do produto, seu valor de mercado e o estágio de consolidação de sua IG.</w:t>
      </w:r>
    </w:p>
    <w:p w14:paraId="35733323" w14:textId="77777777" w:rsidR="00FE7890" w:rsidRDefault="00000000">
      <w:pPr>
        <w:pStyle w:val="Corpodetexto"/>
      </w:pPr>
      <w:r>
        <w:t>A Análise de Correspondência Múltipla (MCA) desvelou a principal dualidade estrutural do campo, opondo um polo de consolidação, que associa produtos europeus tradicionais (vinhos, azeites) a algoritmos clássicos (PLS-</w:t>
      </w:r>
      <w:proofErr w:type="gramStart"/>
      <w:r>
        <w:t>DA, SVM</w:t>
      </w:r>
      <w:proofErr w:type="gramEnd"/>
      <w:r>
        <w:t>) para fins de autenticação, a uma fronteira de inovação, que conecta produtos asiáticos emergentes (chás, plantas medicinais) a técnicas de alta resolução (metabolômica) e Deep Learning para a descoberta de marcadores. Essa oposição evidencia uma transição de paradigmas, de uma abordagem puramente confirmatória para uma exploratória, impulsionada pela complexidade de novas matrizes e pela busca por diferenciais competitivos.</w:t>
      </w:r>
    </w:p>
    <w:p w14:paraId="35733324" w14:textId="77777777" w:rsidR="00FE7890" w:rsidRDefault="00000000">
      <w:pPr>
        <w:pStyle w:val="Corpodetexto"/>
      </w:pPr>
      <w:r>
        <w:lastRenderedPageBreak/>
        <w:t xml:space="preserve">A análise de redes e a análise temporal reforçaram essa interpretação. A primeira identificou módulos temáticos que funcionam como ecossistemas tecnológicos coesos, com “Vinhos” e “Espectroscopia” atuando como pilares conceituais. A segunda quantificou a dinâmica de evolução do campo, demonstrando um crescimento exponencial de publicações e uma transição clara de algoritmos </w:t>
      </w:r>
      <w:proofErr w:type="spellStart"/>
      <w:r>
        <w:t>quimiométricos</w:t>
      </w:r>
      <w:proofErr w:type="spellEnd"/>
      <w:r>
        <w:t xml:space="preserve"> tradicionais para modelos mais flexíveis, como Random Forest, e, mais recentemente, para arquiteturas de Deep Learning. O Aprendizado de Máquina, portanto, deixou de ser uma ferramenta auxiliar para se tornar um componente central na governança de Indicações Geográficas na era digital.</w:t>
      </w:r>
    </w:p>
    <w:p w14:paraId="35733325" w14:textId="77777777" w:rsidR="00FE7890" w:rsidRDefault="00000000">
      <w:pPr>
        <w:pStyle w:val="Corpodetexto"/>
      </w:pPr>
      <w:r>
        <w:t xml:space="preserve">Recomenda-se que pesquisas futuras se concentrem na integração de dados multimodais, no desenvolvimento de modelos interpretáveis (XAI) para apoiar decisões regulatórias e na aplicação dessas tecnologias para </w:t>
      </w:r>
      <w:proofErr w:type="spellStart"/>
      <w:r>
        <w:t>IGs</w:t>
      </w:r>
      <w:proofErr w:type="spellEnd"/>
      <w:r>
        <w:t xml:space="preserve"> de países em desenvolvimento, como o Brasil. A convergência entre ciência de dados e certificação territorial estabelece, assim, uma nova fronteira para a proteção da propriedade intelectual e o desenvolvimento regional sustentável.</w:t>
      </w:r>
    </w:p>
    <w:p w14:paraId="35733326" w14:textId="77777777" w:rsidR="00FE7890" w:rsidRDefault="00000000">
      <w:pPr>
        <w:pStyle w:val="Ttulo2"/>
      </w:pPr>
      <w:bookmarkStart w:id="41" w:name="financiamento"/>
      <w:bookmarkEnd w:id="40"/>
      <w:r>
        <w:t>Financiamento</w:t>
      </w:r>
    </w:p>
    <w:p w14:paraId="35733327" w14:textId="77777777" w:rsidR="00FE7890" w:rsidRDefault="00000000">
      <w:r>
        <w:t>A publicação deste artigo foi financiada pelo Instituto Federal de Sergipe (IFS), por meio do Edital nº 29/2025/DPP/PROPEX/IFS.</w:t>
      </w:r>
    </w:p>
    <w:p w14:paraId="35733328" w14:textId="77777777" w:rsidR="00FE7890" w:rsidRDefault="00000000">
      <w:pPr>
        <w:pStyle w:val="Ttulo2"/>
      </w:pPr>
      <w:bookmarkStart w:id="42" w:name="agradecimentos"/>
      <w:bookmarkEnd w:id="41"/>
      <w:r>
        <w:t>Agradecimentos</w:t>
      </w:r>
    </w:p>
    <w:p w14:paraId="35733329" w14:textId="77777777" w:rsidR="00FE7890" w:rsidRDefault="00000000">
      <w:r>
        <w:t>Os autores agradecem à Universidade Federal de Sergipe (UFS), à Universidade Estadual de Feira de Santana (UEFS) e ao Instituto Federal de Sergipe (IFS) pelo apoio institucional e infraestrutural que viabilizou a realização desta pesquisa.</w:t>
      </w:r>
    </w:p>
    <w:p w14:paraId="3573332A" w14:textId="77777777" w:rsidR="00FE7890" w:rsidRDefault="00000000">
      <w:pPr>
        <w:pStyle w:val="Ttulo2"/>
      </w:pPr>
      <w:bookmarkStart w:id="43" w:name="conflitos-de-interesse"/>
      <w:bookmarkEnd w:id="42"/>
      <w:r>
        <w:t>Conflitos de Interesse</w:t>
      </w:r>
    </w:p>
    <w:p w14:paraId="3573332B" w14:textId="77777777" w:rsidR="00FE7890" w:rsidRDefault="00000000">
      <w:r>
        <w:t>Os autores declaram não haver conflitos de interesse.</w:t>
      </w:r>
    </w:p>
    <w:p w14:paraId="3573332C" w14:textId="77777777" w:rsidR="00FE7890" w:rsidRDefault="00000000">
      <w:pPr>
        <w:pStyle w:val="Ttulo2"/>
      </w:pPr>
      <w:bookmarkStart w:id="44" w:name="declaração-de-disponibilidade-de-dados"/>
      <w:bookmarkEnd w:id="43"/>
      <w:r>
        <w:t>Declaração de Disponibilidade de Dados</w:t>
      </w:r>
    </w:p>
    <w:p w14:paraId="3573332D" w14:textId="77777777" w:rsidR="00FE7890" w:rsidRDefault="00000000">
      <w:r>
        <w:t>O conjunto de dados completo que suporta os resultados deste estudo, incluindo o corpus bibliográfico, os scripts de análise e os resultados intermediários, está publicamente disponível no repositório Open Science Framework (OSF) sob o DOI: https://doi.org/10.17605/OSF.IO/2EKYQ.</w:t>
      </w:r>
    </w:p>
    <w:p w14:paraId="3573332E" w14:textId="77777777" w:rsidR="00FE7890" w:rsidRDefault="00000000" w:rsidP="00D9222E">
      <w:pPr>
        <w:pStyle w:val="Ttulo2"/>
        <w:spacing w:before="0" w:after="120"/>
      </w:pPr>
      <w:bookmarkStart w:id="45" w:name="referências"/>
      <w:bookmarkEnd w:id="44"/>
      <w:r>
        <w:t>Referências</w:t>
      </w:r>
    </w:p>
    <w:p w14:paraId="3573332F" w14:textId="77777777" w:rsidR="00FE7890" w:rsidRPr="00B63B58" w:rsidRDefault="00000000" w:rsidP="00D9222E">
      <w:pPr>
        <w:pStyle w:val="Bibliografia"/>
        <w:spacing w:after="120"/>
        <w:rPr>
          <w:lang w:val="en-US"/>
        </w:rPr>
      </w:pPr>
      <w:bookmarkStart w:id="46" w:name="ref-acquarelli2021"/>
      <w:bookmarkStart w:id="47" w:name="refs"/>
      <w:proofErr w:type="spellStart"/>
      <w:r>
        <w:t>Acquarelli</w:t>
      </w:r>
      <w:proofErr w:type="spellEnd"/>
      <w:r>
        <w:t xml:space="preserve">, R., Marini, F., &amp; </w:t>
      </w:r>
      <w:proofErr w:type="spellStart"/>
      <w:r>
        <w:t>Carbonaro</w:t>
      </w:r>
      <w:proofErr w:type="spellEnd"/>
      <w:r>
        <w:t xml:space="preserve">, L. (2021). </w:t>
      </w:r>
      <w:r w:rsidRPr="00B63B58">
        <w:rPr>
          <w:lang w:val="en-US"/>
        </w:rPr>
        <w:t xml:space="preserve">Data fusion of spectra and chemical information for rapid fraud detection in food. </w:t>
      </w:r>
      <w:proofErr w:type="spellStart"/>
      <w:r w:rsidRPr="00B63B58">
        <w:rPr>
          <w:i/>
          <w:iCs/>
          <w:lang w:val="en-US"/>
        </w:rPr>
        <w:t>TrAC</w:t>
      </w:r>
      <w:proofErr w:type="spellEnd"/>
      <w:r w:rsidRPr="00B63B58">
        <w:rPr>
          <w:i/>
          <w:iCs/>
          <w:lang w:val="en-US"/>
        </w:rPr>
        <w:t xml:space="preserve"> Trends in Analytical Chemistry</w:t>
      </w:r>
      <w:r w:rsidRPr="00B63B58">
        <w:rPr>
          <w:lang w:val="en-US"/>
        </w:rPr>
        <w:t xml:space="preserve">, </w:t>
      </w:r>
      <w:r w:rsidRPr="00B63B58">
        <w:rPr>
          <w:i/>
          <w:iCs/>
          <w:lang w:val="en-US"/>
        </w:rPr>
        <w:t>134</w:t>
      </w:r>
      <w:r w:rsidRPr="00B63B58">
        <w:rPr>
          <w:lang w:val="en-US"/>
        </w:rPr>
        <w:t xml:space="preserve">, 116140. </w:t>
      </w:r>
      <w:hyperlink r:id="rId11">
        <w:r w:rsidR="00FE7890" w:rsidRPr="00B63B58">
          <w:rPr>
            <w:rStyle w:val="Hyperlink"/>
            <w:lang w:val="en-US"/>
          </w:rPr>
          <w:t>https://doi.org/10.1016/j.trac.2020.116140</w:t>
        </w:r>
      </w:hyperlink>
    </w:p>
    <w:p w14:paraId="35733330" w14:textId="77777777" w:rsidR="00FE7890" w:rsidRPr="00B63B58" w:rsidRDefault="00000000" w:rsidP="00D9222E">
      <w:pPr>
        <w:pStyle w:val="Bibliografia"/>
        <w:spacing w:after="120"/>
        <w:rPr>
          <w:lang w:val="en-US"/>
        </w:rPr>
      </w:pPr>
      <w:bookmarkStart w:id="48" w:name="ref-trips1994"/>
      <w:bookmarkEnd w:id="46"/>
      <w:r w:rsidRPr="00B63B58">
        <w:rPr>
          <w:i/>
          <w:iCs/>
          <w:lang w:val="en-US"/>
        </w:rPr>
        <w:lastRenderedPageBreak/>
        <w:t>Agreement on Trade-Related Aspects of Intellectual Property Rights (TRIPS)</w:t>
      </w:r>
      <w:r w:rsidRPr="00B63B58">
        <w:rPr>
          <w:lang w:val="en-US"/>
        </w:rPr>
        <w:t xml:space="preserve">. (1994). World Trade Organization (WTO). </w:t>
      </w:r>
      <w:hyperlink r:id="rId12">
        <w:r w:rsidR="00FE7890" w:rsidRPr="00B63B58">
          <w:rPr>
            <w:rStyle w:val="Hyperlink"/>
            <w:lang w:val="en-US"/>
          </w:rPr>
          <w:t>https://www.wto.org/english/docs_e/legal_e/27-trips.pdf</w:t>
        </w:r>
      </w:hyperlink>
    </w:p>
    <w:p w14:paraId="35733331" w14:textId="77777777" w:rsidR="00FE7890" w:rsidRDefault="00000000" w:rsidP="00D9222E">
      <w:pPr>
        <w:pStyle w:val="Bibliografia"/>
        <w:spacing w:after="120"/>
      </w:pPr>
      <w:bookmarkStart w:id="49" w:name="ref-Agyekum2022"/>
      <w:bookmarkEnd w:id="48"/>
      <w:proofErr w:type="spellStart"/>
      <w:r w:rsidRPr="00B63B58">
        <w:rPr>
          <w:lang w:val="de-DE"/>
        </w:rPr>
        <w:t>Agyekum</w:t>
      </w:r>
      <w:proofErr w:type="spellEnd"/>
      <w:r w:rsidRPr="00B63B58">
        <w:rPr>
          <w:lang w:val="de-DE"/>
        </w:rPr>
        <w:t xml:space="preserve">, K., </w:t>
      </w:r>
      <w:proofErr w:type="spellStart"/>
      <w:r w:rsidRPr="00B63B58">
        <w:rPr>
          <w:lang w:val="de-DE"/>
        </w:rPr>
        <w:t>Dadzie</w:t>
      </w:r>
      <w:proofErr w:type="spellEnd"/>
      <w:r w:rsidRPr="00B63B58">
        <w:rPr>
          <w:lang w:val="de-DE"/>
        </w:rPr>
        <w:t xml:space="preserve">, J. K. A., &amp; </w:t>
      </w:r>
      <w:proofErr w:type="spellStart"/>
      <w:r w:rsidRPr="00B63B58">
        <w:rPr>
          <w:lang w:val="de-DE"/>
        </w:rPr>
        <w:t>Asiedu</w:t>
      </w:r>
      <w:proofErr w:type="spellEnd"/>
      <w:r w:rsidRPr="00B63B58">
        <w:rPr>
          <w:lang w:val="de-DE"/>
        </w:rPr>
        <w:t xml:space="preserve">, R. O. (2022). </w:t>
      </w:r>
      <w:r w:rsidRPr="00B63B58">
        <w:rPr>
          <w:lang w:val="en-US"/>
        </w:rPr>
        <w:t xml:space="preserve">A Systematic Literature Review of Blockchain-Enabled Supply Chain Traceability Implementations. </w:t>
      </w:r>
      <w:r>
        <w:rPr>
          <w:i/>
          <w:iCs/>
        </w:rPr>
        <w:t>Sustainability</w:t>
      </w:r>
      <w:r>
        <w:t xml:space="preserve">, </w:t>
      </w:r>
      <w:r>
        <w:rPr>
          <w:i/>
          <w:iCs/>
        </w:rPr>
        <w:t>14</w:t>
      </w:r>
      <w:r>
        <w:t xml:space="preserve">(4), 2420. </w:t>
      </w:r>
      <w:hyperlink r:id="rId13">
        <w:r w:rsidR="00FE7890">
          <w:rPr>
            <w:rStyle w:val="Hyperlink"/>
          </w:rPr>
          <w:t>https://doi.org/10.3390/su14042420</w:t>
        </w:r>
      </w:hyperlink>
    </w:p>
    <w:p w14:paraId="35733332" w14:textId="77777777" w:rsidR="00FE7890" w:rsidRPr="00B63B58" w:rsidRDefault="00000000" w:rsidP="00D9222E">
      <w:pPr>
        <w:pStyle w:val="Bibliografia"/>
        <w:spacing w:after="120"/>
        <w:rPr>
          <w:lang w:val="en-US"/>
        </w:rPr>
      </w:pPr>
      <w:bookmarkStart w:id="50" w:name="ref-Azevedo2011"/>
      <w:bookmarkEnd w:id="49"/>
      <w:r>
        <w:t xml:space="preserve">al., A. et. (2011). Avaliação da Qualidade das Argilas Utilizadas em Cerâmica Vermelha Oriunda da Região do Baixo São Francisco – Sergipe. </w:t>
      </w:r>
      <w:r w:rsidRPr="00B63B58">
        <w:rPr>
          <w:i/>
          <w:iCs/>
          <w:lang w:val="en-US"/>
        </w:rPr>
        <w:t xml:space="preserve">55º </w:t>
      </w:r>
      <w:proofErr w:type="spellStart"/>
      <w:r w:rsidRPr="00B63B58">
        <w:rPr>
          <w:i/>
          <w:iCs/>
          <w:lang w:val="en-US"/>
        </w:rPr>
        <w:t>Congresso</w:t>
      </w:r>
      <w:proofErr w:type="spellEnd"/>
      <w:r w:rsidRPr="00B63B58">
        <w:rPr>
          <w:i/>
          <w:iCs/>
          <w:lang w:val="en-US"/>
        </w:rPr>
        <w:t xml:space="preserve"> Brasileiro de </w:t>
      </w:r>
      <w:proofErr w:type="spellStart"/>
      <w:r w:rsidRPr="00B63B58">
        <w:rPr>
          <w:i/>
          <w:iCs/>
          <w:lang w:val="en-US"/>
        </w:rPr>
        <w:t>Cerâmica</w:t>
      </w:r>
      <w:proofErr w:type="spellEnd"/>
      <w:r w:rsidRPr="00B63B58">
        <w:rPr>
          <w:lang w:val="en-US"/>
        </w:rPr>
        <w:t>.</w:t>
      </w:r>
    </w:p>
    <w:p w14:paraId="35733333" w14:textId="77777777" w:rsidR="00FE7890" w:rsidRPr="00B63B58" w:rsidRDefault="00000000" w:rsidP="00D9222E">
      <w:pPr>
        <w:pStyle w:val="Bibliografia"/>
        <w:spacing w:after="120"/>
        <w:rPr>
          <w:lang w:val="en-US"/>
        </w:rPr>
      </w:pPr>
      <w:bookmarkStart w:id="51" w:name="ref-Barney1991"/>
      <w:bookmarkEnd w:id="50"/>
      <w:r w:rsidRPr="00B63B58">
        <w:rPr>
          <w:lang w:val="en-US"/>
        </w:rPr>
        <w:t xml:space="preserve">Barney, J. B. (1991). Firm resources and sustained competitive advantage. Em </w:t>
      </w:r>
      <w:r w:rsidRPr="00B63B58">
        <w:rPr>
          <w:i/>
          <w:iCs/>
          <w:lang w:val="en-US"/>
        </w:rPr>
        <w:t>Journal of Management</w:t>
      </w:r>
      <w:r w:rsidRPr="00B63B58">
        <w:rPr>
          <w:lang w:val="en-US"/>
        </w:rPr>
        <w:t xml:space="preserve"> (V. 17, p. 99–120). </w:t>
      </w:r>
      <w:hyperlink r:id="rId14">
        <w:r w:rsidR="00FE7890" w:rsidRPr="00B63B58">
          <w:rPr>
            <w:rStyle w:val="Hyperlink"/>
            <w:lang w:val="en-US"/>
          </w:rPr>
          <w:t>https://doi.org/10.1177/014920639101700108</w:t>
        </w:r>
      </w:hyperlink>
    </w:p>
    <w:p w14:paraId="35733334" w14:textId="77777777" w:rsidR="00FE7890" w:rsidRPr="00B63B58" w:rsidRDefault="00000000" w:rsidP="00D9222E">
      <w:pPr>
        <w:pStyle w:val="Bibliografia"/>
        <w:spacing w:after="120"/>
        <w:rPr>
          <w:lang w:val="en-US"/>
        </w:rPr>
      </w:pPr>
      <w:bookmarkStart w:id="52" w:name="ref-Blondel2008"/>
      <w:bookmarkEnd w:id="51"/>
      <w:r w:rsidRPr="00B63B58">
        <w:rPr>
          <w:lang w:val="en-US"/>
        </w:rPr>
        <w:t xml:space="preserve">Blondel, V. D., Guillaume, J.-L., Lambiotte, R., &amp; Lefebvre, E. (2008). Fast unfolding of communities in large networks. </w:t>
      </w:r>
      <w:r w:rsidRPr="00B63B58">
        <w:rPr>
          <w:i/>
          <w:iCs/>
          <w:lang w:val="en-US"/>
        </w:rPr>
        <w:t>Journal of Statistical Mechanics: Theory and Experiment</w:t>
      </w:r>
      <w:r w:rsidRPr="00B63B58">
        <w:rPr>
          <w:lang w:val="en-US"/>
        </w:rPr>
        <w:t xml:space="preserve">, </w:t>
      </w:r>
      <w:r w:rsidRPr="00B63B58">
        <w:rPr>
          <w:i/>
          <w:iCs/>
          <w:lang w:val="en-US"/>
        </w:rPr>
        <w:t>2008</w:t>
      </w:r>
      <w:r w:rsidRPr="00B63B58">
        <w:rPr>
          <w:lang w:val="en-US"/>
        </w:rPr>
        <w:t xml:space="preserve">(10), P10008. </w:t>
      </w:r>
      <w:hyperlink r:id="rId15">
        <w:r w:rsidR="00FE7890" w:rsidRPr="00B63B58">
          <w:rPr>
            <w:rStyle w:val="Hyperlink"/>
            <w:lang w:val="en-US"/>
          </w:rPr>
          <w:t>https://doi.org/10.1088/1742-5468/2008/10/P10008</w:t>
        </w:r>
      </w:hyperlink>
    </w:p>
    <w:p w14:paraId="35733335" w14:textId="77777777" w:rsidR="00FE7890" w:rsidRDefault="00000000" w:rsidP="00D9222E">
      <w:pPr>
        <w:pStyle w:val="Bibliografia"/>
        <w:spacing w:after="120"/>
      </w:pPr>
      <w:bookmarkStart w:id="53" w:name="ref-Brasil1996"/>
      <w:bookmarkEnd w:id="52"/>
      <w:r>
        <w:t xml:space="preserve">Brasil. (1996). </w:t>
      </w:r>
      <w:r>
        <w:rPr>
          <w:i/>
          <w:iCs/>
        </w:rPr>
        <w:t>Lei nº 9.279, de 14 de maio de 1996. Regula direitos e obrigações relativos à propriedade industrial</w:t>
      </w:r>
      <w:r>
        <w:t xml:space="preserve">. Presidência da República. </w:t>
      </w:r>
      <w:hyperlink r:id="rId16">
        <w:r w:rsidR="00FE7890">
          <w:rPr>
            <w:rStyle w:val="Hyperlink"/>
          </w:rPr>
          <w:t>http://www.planalto.gov.br/ccivil_03/leis/l9279.htm</w:t>
        </w:r>
      </w:hyperlink>
    </w:p>
    <w:p w14:paraId="35733336" w14:textId="77777777" w:rsidR="00FE7890" w:rsidRDefault="00000000" w:rsidP="00D9222E">
      <w:pPr>
        <w:pStyle w:val="Bibliografia"/>
        <w:spacing w:after="120"/>
      </w:pPr>
      <w:bookmarkStart w:id="54" w:name="ref-Brasil2004"/>
      <w:bookmarkEnd w:id="53"/>
      <w:r>
        <w:t xml:space="preserve">Brasil. (2004). </w:t>
      </w:r>
      <w:r>
        <w:rPr>
          <w:i/>
          <w:iCs/>
        </w:rPr>
        <w:t>Lei nº 10.973, de 2 de dezembro de 2004. Dispõe sobre incentivos à inovação e à pesquisa científica e tecnológica</w:t>
      </w:r>
      <w:r>
        <w:t xml:space="preserve">. Presidência da República. </w:t>
      </w:r>
      <w:hyperlink r:id="rId17">
        <w:r w:rsidR="00FE7890">
          <w:rPr>
            <w:rStyle w:val="Hyperlink"/>
          </w:rPr>
          <w:t>http://www.planalto.gov.br/ccivil_03/_ato2004-2006/2004/lei/l10.973.htm</w:t>
        </w:r>
      </w:hyperlink>
    </w:p>
    <w:p w14:paraId="35733337" w14:textId="77777777" w:rsidR="00FE7890" w:rsidRDefault="00000000" w:rsidP="00D9222E">
      <w:pPr>
        <w:pStyle w:val="Bibliografia"/>
        <w:spacing w:after="120"/>
      </w:pPr>
      <w:bookmarkStart w:id="55" w:name="ref-Brasil2016"/>
      <w:bookmarkEnd w:id="54"/>
      <w:r>
        <w:t xml:space="preserve">Brasil. (2016). </w:t>
      </w:r>
      <w:r>
        <w:rPr>
          <w:i/>
          <w:iCs/>
        </w:rPr>
        <w:t>Lei nº 13.243, de 11 de janeiro de 2016. Dispõe sobre estímulos ao desenvolvimento científico, à pesquisa, à capacitação científica e tecnológica e à inovação</w:t>
      </w:r>
      <w:r>
        <w:t xml:space="preserve">. Presidência da República. </w:t>
      </w:r>
      <w:hyperlink r:id="rId18">
        <w:r w:rsidR="00FE7890">
          <w:rPr>
            <w:rStyle w:val="Hyperlink"/>
          </w:rPr>
          <w:t>http://www.planalto.gov.br/ccivil_03/_ato2015-2018/2016/lei/l13243.htm</w:t>
        </w:r>
      </w:hyperlink>
    </w:p>
    <w:p w14:paraId="35733338" w14:textId="77777777" w:rsidR="00FE7890" w:rsidRDefault="00000000" w:rsidP="00D9222E">
      <w:pPr>
        <w:pStyle w:val="Bibliografia"/>
        <w:spacing w:after="120"/>
      </w:pPr>
      <w:bookmarkStart w:id="56" w:name="ref-Brasil2024"/>
      <w:bookmarkEnd w:id="55"/>
      <w:r>
        <w:t xml:space="preserve">Brasil. (2024). </w:t>
      </w:r>
      <w:r>
        <w:rPr>
          <w:i/>
          <w:iCs/>
        </w:rPr>
        <w:t>Lei nº 15.068, de 23 de dezembro de 2024. Lei Paul Singer - Dispõe sobre Empreendimentos Econômicos Solidários</w:t>
      </w:r>
      <w:r>
        <w:t xml:space="preserve">. </w:t>
      </w:r>
      <w:hyperlink r:id="rId19">
        <w:r w:rsidR="00FE7890">
          <w:rPr>
            <w:rStyle w:val="Hyperlink"/>
          </w:rPr>
          <w:t>http://www.planalto.gov.br/ccivil_03/_ato2023-2026/2024/lei/l15068.htm</w:t>
        </w:r>
      </w:hyperlink>
    </w:p>
    <w:p w14:paraId="35733339" w14:textId="77777777" w:rsidR="00FE7890" w:rsidRPr="00B63B58" w:rsidRDefault="00000000" w:rsidP="00D9222E">
      <w:pPr>
        <w:pStyle w:val="Bibliografia"/>
        <w:spacing w:after="120"/>
        <w:rPr>
          <w:lang w:val="de-DE"/>
        </w:rPr>
      </w:pPr>
      <w:bookmarkStart w:id="57" w:name="ref-Bureau2018"/>
      <w:bookmarkEnd w:id="56"/>
      <w:r>
        <w:t xml:space="preserve">Bureau, V., &amp; Freitas, R. (2018). </w:t>
      </w:r>
      <w:r>
        <w:rPr>
          <w:i/>
          <w:iCs/>
        </w:rPr>
        <w:t>Artesanato faz parte da identidade sociocultural do Baixo São Francisco sergipano e gera renda para população local</w:t>
      </w:r>
      <w:r>
        <w:t xml:space="preserve">. </w:t>
      </w:r>
      <w:r w:rsidRPr="00B63B58">
        <w:rPr>
          <w:lang w:val="de-DE"/>
        </w:rPr>
        <w:t xml:space="preserve">CODEVASF. </w:t>
      </w:r>
      <w:hyperlink r:id="rId20">
        <w:r w:rsidR="00FE7890" w:rsidRPr="00B63B58">
          <w:rPr>
            <w:rStyle w:val="Hyperlink"/>
            <w:lang w:val="de-DE"/>
          </w:rPr>
          <w:t>https://www.codevasf.gov.br/noticias/2014/artesanato-faz-parte-da-identidade-sociocultural-do-baixo-sao-francisco-sergipano-e-gera-renda-para-populacao-local</w:t>
        </w:r>
      </w:hyperlink>
    </w:p>
    <w:p w14:paraId="3573333A" w14:textId="77777777" w:rsidR="00FE7890" w:rsidRPr="00B63B58" w:rsidRDefault="00000000" w:rsidP="00D9222E">
      <w:pPr>
        <w:pStyle w:val="Bibliografia"/>
        <w:spacing w:after="120"/>
        <w:rPr>
          <w:lang w:val="en-US"/>
        </w:rPr>
      </w:pPr>
      <w:bookmarkStart w:id="58" w:name="ref-Casey2021"/>
      <w:bookmarkEnd w:id="57"/>
      <w:r w:rsidRPr="00B63B58">
        <w:rPr>
          <w:lang w:val="en-US"/>
        </w:rPr>
        <w:t xml:space="preserve">Casey, A., Davidson, E., Poon, M., Dong, H., &amp; Mendoza Quispe, D. L. (2021). A systematic review of natural language processing applied to radiology reports. </w:t>
      </w:r>
      <w:r w:rsidRPr="00B63B58">
        <w:rPr>
          <w:i/>
          <w:iCs/>
          <w:lang w:val="en-US"/>
        </w:rPr>
        <w:t>BMC Medical Informatics and Decision Making</w:t>
      </w:r>
      <w:r w:rsidRPr="00B63B58">
        <w:rPr>
          <w:lang w:val="en-US"/>
        </w:rPr>
        <w:t xml:space="preserve">, </w:t>
      </w:r>
      <w:r w:rsidRPr="00B63B58">
        <w:rPr>
          <w:i/>
          <w:iCs/>
          <w:lang w:val="en-US"/>
        </w:rPr>
        <w:t>21</w:t>
      </w:r>
      <w:r w:rsidRPr="00B63B58">
        <w:rPr>
          <w:lang w:val="en-US"/>
        </w:rPr>
        <w:t xml:space="preserve">(1), 179. </w:t>
      </w:r>
      <w:hyperlink r:id="rId21">
        <w:r w:rsidR="00FE7890" w:rsidRPr="00B63B58">
          <w:rPr>
            <w:rStyle w:val="Hyperlink"/>
            <w:lang w:val="en-US"/>
          </w:rPr>
          <w:t>https://doi.org/10.1186/s12911-021-01533-7</w:t>
        </w:r>
      </w:hyperlink>
    </w:p>
    <w:p w14:paraId="3573333B" w14:textId="77777777" w:rsidR="00FE7890" w:rsidRPr="00B63B58" w:rsidRDefault="00000000" w:rsidP="00D9222E">
      <w:pPr>
        <w:pStyle w:val="Bibliografia"/>
        <w:spacing w:after="120"/>
        <w:rPr>
          <w:lang w:val="en-US"/>
        </w:rPr>
      </w:pPr>
      <w:bookmarkStart w:id="59" w:name="ref-Chen2020"/>
      <w:bookmarkEnd w:id="58"/>
      <w:r w:rsidRPr="00B63B58">
        <w:rPr>
          <w:lang w:val="de-DE"/>
        </w:rPr>
        <w:lastRenderedPageBreak/>
        <w:t xml:space="preserve">Chen, R. C., </w:t>
      </w:r>
      <w:proofErr w:type="spellStart"/>
      <w:r w:rsidRPr="00B63B58">
        <w:rPr>
          <w:lang w:val="de-DE"/>
        </w:rPr>
        <w:t>Dewi</w:t>
      </w:r>
      <w:proofErr w:type="spellEnd"/>
      <w:r w:rsidRPr="00B63B58">
        <w:rPr>
          <w:lang w:val="de-DE"/>
        </w:rPr>
        <w:t xml:space="preserve">, C., Huang, S. W., &amp; </w:t>
      </w:r>
      <w:proofErr w:type="spellStart"/>
      <w:r w:rsidRPr="00B63B58">
        <w:rPr>
          <w:lang w:val="de-DE"/>
        </w:rPr>
        <w:t>Caraka</w:t>
      </w:r>
      <w:proofErr w:type="spellEnd"/>
      <w:r w:rsidRPr="00B63B58">
        <w:rPr>
          <w:lang w:val="de-DE"/>
        </w:rPr>
        <w:t xml:space="preserve">, R. E. (2020). </w:t>
      </w:r>
      <w:r w:rsidRPr="00B63B58">
        <w:rPr>
          <w:lang w:val="en-US"/>
        </w:rPr>
        <w:t xml:space="preserve">Selecting critical features for data classification based on machine learning methods. </w:t>
      </w:r>
      <w:r w:rsidRPr="00B63B58">
        <w:rPr>
          <w:i/>
          <w:iCs/>
          <w:lang w:val="en-US"/>
        </w:rPr>
        <w:t>Journal of Big Data</w:t>
      </w:r>
      <w:r w:rsidRPr="00B63B58">
        <w:rPr>
          <w:lang w:val="en-US"/>
        </w:rPr>
        <w:t xml:space="preserve">, </w:t>
      </w:r>
      <w:r w:rsidRPr="00B63B58">
        <w:rPr>
          <w:i/>
          <w:iCs/>
          <w:lang w:val="en-US"/>
        </w:rPr>
        <w:t>7</w:t>
      </w:r>
      <w:r w:rsidRPr="00B63B58">
        <w:rPr>
          <w:lang w:val="en-US"/>
        </w:rPr>
        <w:t xml:space="preserve">(1), 52. </w:t>
      </w:r>
      <w:hyperlink r:id="rId22">
        <w:r w:rsidR="00FE7890" w:rsidRPr="00B63B58">
          <w:rPr>
            <w:rStyle w:val="Hyperlink"/>
            <w:lang w:val="en-US"/>
          </w:rPr>
          <w:t>https://doi.org/10.1186/s40537-020-00327-4</w:t>
        </w:r>
      </w:hyperlink>
    </w:p>
    <w:p w14:paraId="3573333C" w14:textId="77777777" w:rsidR="00FE7890" w:rsidRDefault="00000000" w:rsidP="00D9222E">
      <w:pPr>
        <w:pStyle w:val="Bibliografia"/>
        <w:spacing w:after="120"/>
      </w:pPr>
      <w:bookmarkStart w:id="60" w:name="ref-Chen2024"/>
      <w:bookmarkEnd w:id="59"/>
      <w:r w:rsidRPr="008B514D">
        <w:rPr>
          <w:lang w:val="de-DE"/>
        </w:rPr>
        <w:t xml:space="preserve">Chen, X., Lundberg, S. M., &amp; Lee, S.-I. (2024). </w:t>
      </w:r>
      <w:r w:rsidRPr="00B63B58">
        <w:rPr>
          <w:lang w:val="en-US"/>
        </w:rPr>
        <w:t xml:space="preserve">Variable importance analysis with interpretable machine learning for fair risk prediction. </w:t>
      </w:r>
      <w:r>
        <w:rPr>
          <w:i/>
          <w:iCs/>
        </w:rPr>
        <w:t>PLoS ONE</w:t>
      </w:r>
      <w:r>
        <w:t xml:space="preserve">, </w:t>
      </w:r>
      <w:r>
        <w:rPr>
          <w:i/>
          <w:iCs/>
        </w:rPr>
        <w:t>19</w:t>
      </w:r>
      <w:r>
        <w:t xml:space="preserve">(6), e0299905. </w:t>
      </w:r>
      <w:hyperlink r:id="rId23">
        <w:r w:rsidR="00FE7890">
          <w:rPr>
            <w:rStyle w:val="Hyperlink"/>
          </w:rPr>
          <w:t>https://doi.org/10.1371/journal.pone.0299905</w:t>
        </w:r>
      </w:hyperlink>
    </w:p>
    <w:p w14:paraId="3573333D" w14:textId="77777777" w:rsidR="00FE7890" w:rsidRDefault="00000000" w:rsidP="00D9222E">
      <w:pPr>
        <w:pStyle w:val="Bibliografia"/>
        <w:spacing w:after="120"/>
      </w:pPr>
      <w:bookmarkStart w:id="61" w:name="ref-Cleveland1979"/>
      <w:bookmarkEnd w:id="60"/>
      <w:r>
        <w:t xml:space="preserve">Cleveland, W. S. (1979). </w:t>
      </w:r>
      <w:r w:rsidRPr="00B63B58">
        <w:rPr>
          <w:lang w:val="en-US"/>
        </w:rPr>
        <w:t xml:space="preserve">Robust locally weighted regression and smoothing scatterplots. </w:t>
      </w:r>
      <w:proofErr w:type="spellStart"/>
      <w:r>
        <w:rPr>
          <w:i/>
          <w:iCs/>
        </w:rPr>
        <w:t>Journal</w:t>
      </w:r>
      <w:proofErr w:type="spellEnd"/>
      <w:r>
        <w:rPr>
          <w:i/>
          <w:iCs/>
        </w:rPr>
        <w:t xml:space="preserve"> of </w:t>
      </w:r>
      <w:proofErr w:type="spellStart"/>
      <w:r>
        <w:rPr>
          <w:i/>
          <w:iCs/>
        </w:rPr>
        <w:t>the</w:t>
      </w:r>
      <w:proofErr w:type="spellEnd"/>
      <w:r>
        <w:rPr>
          <w:i/>
          <w:iCs/>
        </w:rPr>
        <w:t xml:space="preserve"> American </w:t>
      </w:r>
      <w:proofErr w:type="spellStart"/>
      <w:r>
        <w:rPr>
          <w:i/>
          <w:iCs/>
        </w:rPr>
        <w:t>Statistical</w:t>
      </w:r>
      <w:proofErr w:type="spellEnd"/>
      <w:r>
        <w:rPr>
          <w:i/>
          <w:iCs/>
        </w:rPr>
        <w:t xml:space="preserve"> </w:t>
      </w:r>
      <w:proofErr w:type="spellStart"/>
      <w:r>
        <w:rPr>
          <w:i/>
          <w:iCs/>
        </w:rPr>
        <w:t>Association</w:t>
      </w:r>
      <w:proofErr w:type="spellEnd"/>
      <w:r>
        <w:t xml:space="preserve">, </w:t>
      </w:r>
      <w:r>
        <w:rPr>
          <w:i/>
          <w:iCs/>
        </w:rPr>
        <w:t>74</w:t>
      </w:r>
      <w:r>
        <w:t xml:space="preserve">(368), 829–836. </w:t>
      </w:r>
      <w:hyperlink r:id="rId24">
        <w:r w:rsidR="00FE7890">
          <w:rPr>
            <w:rStyle w:val="Hyperlink"/>
          </w:rPr>
          <w:t>https://doi.org/10.1080/01621459.1979.10481038</w:t>
        </w:r>
      </w:hyperlink>
    </w:p>
    <w:p w14:paraId="3573333E" w14:textId="77777777" w:rsidR="00FE7890" w:rsidRDefault="00000000" w:rsidP="00D9222E">
      <w:pPr>
        <w:pStyle w:val="Bibliografia"/>
        <w:spacing w:after="120"/>
      </w:pPr>
      <w:bookmarkStart w:id="62" w:name="ref-berna1886"/>
      <w:bookmarkEnd w:id="61"/>
      <w:r>
        <w:rPr>
          <w:i/>
          <w:iCs/>
        </w:rPr>
        <w:t>Convenção de Berna para a Proteção das Obras Literárias e Artísticas</w:t>
      </w:r>
      <w:r>
        <w:t xml:space="preserve">. (1886). Organização Mundial da Propriedade Intelectual (OMPI). </w:t>
      </w:r>
      <w:hyperlink r:id="rId25">
        <w:r w:rsidR="00FE7890">
          <w:rPr>
            <w:rStyle w:val="Hyperlink"/>
          </w:rPr>
          <w:t>https://legislacao.presidencia.gov.br/atos/?tipo=DEC&amp;numero=75699&amp;ano=1975</w:t>
        </w:r>
      </w:hyperlink>
    </w:p>
    <w:p w14:paraId="3573333F" w14:textId="77777777" w:rsidR="00FE7890" w:rsidRPr="00B63B58" w:rsidRDefault="00000000" w:rsidP="00D9222E">
      <w:pPr>
        <w:pStyle w:val="Bibliografia"/>
        <w:spacing w:after="120"/>
        <w:rPr>
          <w:lang w:val="en-US"/>
        </w:rPr>
      </w:pPr>
      <w:bookmarkStart w:id="63" w:name="ref-Csardi2006"/>
      <w:bookmarkEnd w:id="62"/>
      <w:r w:rsidRPr="00B63B58">
        <w:rPr>
          <w:lang w:val="en-US"/>
        </w:rPr>
        <w:t xml:space="preserve">Csárdi, G., &amp; </w:t>
      </w:r>
      <w:proofErr w:type="spellStart"/>
      <w:r w:rsidRPr="00B63B58">
        <w:rPr>
          <w:lang w:val="en-US"/>
        </w:rPr>
        <w:t>Nepusz</w:t>
      </w:r>
      <w:proofErr w:type="spellEnd"/>
      <w:r w:rsidRPr="00B63B58">
        <w:rPr>
          <w:lang w:val="en-US"/>
        </w:rPr>
        <w:t xml:space="preserve">, T. (2006). The </w:t>
      </w:r>
      <w:proofErr w:type="spellStart"/>
      <w:r w:rsidRPr="00B63B58">
        <w:rPr>
          <w:lang w:val="en-US"/>
        </w:rPr>
        <w:t>igraph</w:t>
      </w:r>
      <w:proofErr w:type="spellEnd"/>
      <w:r w:rsidRPr="00B63B58">
        <w:rPr>
          <w:lang w:val="en-US"/>
        </w:rPr>
        <w:t xml:space="preserve"> software package for complex network research. </w:t>
      </w:r>
      <w:proofErr w:type="spellStart"/>
      <w:r w:rsidRPr="00B63B58">
        <w:rPr>
          <w:i/>
          <w:iCs/>
          <w:lang w:val="en-US"/>
        </w:rPr>
        <w:t>InterJournal</w:t>
      </w:r>
      <w:proofErr w:type="spellEnd"/>
      <w:r w:rsidRPr="00B63B58">
        <w:rPr>
          <w:i/>
          <w:iCs/>
          <w:lang w:val="en-US"/>
        </w:rPr>
        <w:t xml:space="preserve"> Complex Systems</w:t>
      </w:r>
      <w:r w:rsidRPr="00B63B58">
        <w:rPr>
          <w:lang w:val="en-US"/>
        </w:rPr>
        <w:t xml:space="preserve">, </w:t>
      </w:r>
      <w:r w:rsidRPr="00B63B58">
        <w:rPr>
          <w:i/>
          <w:iCs/>
          <w:lang w:val="en-US"/>
        </w:rPr>
        <w:t>1695</w:t>
      </w:r>
      <w:r w:rsidRPr="00B63B58">
        <w:rPr>
          <w:lang w:val="en-US"/>
        </w:rPr>
        <w:t xml:space="preserve">, 1–9. </w:t>
      </w:r>
      <w:hyperlink r:id="rId26">
        <w:r w:rsidR="00FE7890" w:rsidRPr="00B63B58">
          <w:rPr>
            <w:rStyle w:val="Hyperlink"/>
            <w:lang w:val="en-US"/>
          </w:rPr>
          <w:t>https://igraph.org</w:t>
        </w:r>
      </w:hyperlink>
    </w:p>
    <w:p w14:paraId="35733340" w14:textId="77777777" w:rsidR="00FE7890" w:rsidRPr="00B63B58" w:rsidRDefault="00000000" w:rsidP="00D9222E">
      <w:pPr>
        <w:pStyle w:val="Bibliografia"/>
        <w:spacing w:after="120"/>
        <w:rPr>
          <w:lang w:val="en-US"/>
        </w:rPr>
      </w:pPr>
      <w:bookmarkStart w:id="64" w:name="ref-Effrosynidis2021"/>
      <w:bookmarkEnd w:id="63"/>
      <w:proofErr w:type="spellStart"/>
      <w:r w:rsidRPr="00B63B58">
        <w:rPr>
          <w:lang w:val="en-US"/>
        </w:rPr>
        <w:t>Effrosynidis</w:t>
      </w:r>
      <w:proofErr w:type="spellEnd"/>
      <w:r w:rsidRPr="00B63B58">
        <w:rPr>
          <w:lang w:val="en-US"/>
        </w:rPr>
        <w:t xml:space="preserve">, D., &amp; Arampatzis, A. (2021). An evaluation of feature selection methods for environmental data. </w:t>
      </w:r>
      <w:r w:rsidRPr="00B63B58">
        <w:rPr>
          <w:i/>
          <w:iCs/>
          <w:lang w:val="en-US"/>
        </w:rPr>
        <w:t>Ecological Informatics</w:t>
      </w:r>
      <w:r w:rsidRPr="00B63B58">
        <w:rPr>
          <w:lang w:val="en-US"/>
        </w:rPr>
        <w:t xml:space="preserve">, </w:t>
      </w:r>
      <w:r w:rsidRPr="00B63B58">
        <w:rPr>
          <w:i/>
          <w:iCs/>
          <w:lang w:val="en-US"/>
        </w:rPr>
        <w:t>66</w:t>
      </w:r>
      <w:r w:rsidRPr="00B63B58">
        <w:rPr>
          <w:lang w:val="en-US"/>
        </w:rPr>
        <w:t xml:space="preserve">, 101472. </w:t>
      </w:r>
      <w:hyperlink r:id="rId27">
        <w:r w:rsidR="00FE7890" w:rsidRPr="00B63B58">
          <w:rPr>
            <w:rStyle w:val="Hyperlink"/>
            <w:lang w:val="en-US"/>
          </w:rPr>
          <w:t>https://doi.org/10.1016/j.ecoinf.2021.101472</w:t>
        </w:r>
      </w:hyperlink>
    </w:p>
    <w:p w14:paraId="35733341" w14:textId="77777777" w:rsidR="00FE7890" w:rsidRDefault="00000000" w:rsidP="00D9222E">
      <w:pPr>
        <w:pStyle w:val="Bibliografia"/>
        <w:spacing w:after="120"/>
      </w:pPr>
      <w:bookmarkStart w:id="65" w:name="ref-Feng2025"/>
      <w:bookmarkEnd w:id="64"/>
      <w:r w:rsidRPr="00B63B58">
        <w:rPr>
          <w:lang w:val="en-US"/>
        </w:rPr>
        <w:t xml:space="preserve">Feng, Y. et al. (2025). Application of spectroscopic technology with machine learning in Chinese herbs from seeds to medicinal materials: The case of genus Paris. </w:t>
      </w:r>
      <w:r>
        <w:rPr>
          <w:i/>
          <w:iCs/>
        </w:rPr>
        <w:t>JPA</w:t>
      </w:r>
      <w:r>
        <w:t xml:space="preserve">. </w:t>
      </w:r>
      <w:hyperlink r:id="rId28">
        <w:r w:rsidR="00FE7890">
          <w:rPr>
            <w:rStyle w:val="Hyperlink"/>
          </w:rPr>
          <w:t>https://doi.org/10.1016/j.jpa.2025.xxxxxx</w:t>
        </w:r>
      </w:hyperlink>
    </w:p>
    <w:p w14:paraId="35733342" w14:textId="77777777" w:rsidR="00FE7890" w:rsidRPr="00B63B58" w:rsidRDefault="00000000" w:rsidP="00D9222E">
      <w:pPr>
        <w:pStyle w:val="Bibliografia"/>
        <w:spacing w:after="120"/>
        <w:rPr>
          <w:lang w:val="en-US"/>
        </w:rPr>
      </w:pPr>
      <w:bookmarkStart w:id="66" w:name="ref-Fonzo2015"/>
      <w:bookmarkEnd w:id="65"/>
      <w:proofErr w:type="spellStart"/>
      <w:r>
        <w:t>Fonzo</w:t>
      </w:r>
      <w:proofErr w:type="spellEnd"/>
      <w:r>
        <w:t xml:space="preserve">, A. D., &amp; Russo, C. (2015). </w:t>
      </w:r>
      <w:r w:rsidRPr="00B63B58">
        <w:rPr>
          <w:lang w:val="en-US"/>
        </w:rPr>
        <w:t xml:space="preserve">Designing geographical indication institutions when stakeholders’ incentives are not perfectly aligned. </w:t>
      </w:r>
      <w:r w:rsidRPr="00B63B58">
        <w:rPr>
          <w:i/>
          <w:iCs/>
          <w:lang w:val="en-US"/>
        </w:rPr>
        <w:t>British Food Journal</w:t>
      </w:r>
      <w:r w:rsidRPr="00B63B58">
        <w:rPr>
          <w:lang w:val="en-US"/>
        </w:rPr>
        <w:t xml:space="preserve">. </w:t>
      </w:r>
      <w:hyperlink r:id="rId29">
        <w:r w:rsidR="00FE7890" w:rsidRPr="00B63B58">
          <w:rPr>
            <w:rStyle w:val="Hyperlink"/>
            <w:lang w:val="en-US"/>
          </w:rPr>
          <w:t>https://doi.org/10.1108/BFJ-12-2014-0392</w:t>
        </w:r>
      </w:hyperlink>
    </w:p>
    <w:p w14:paraId="35733343" w14:textId="77777777" w:rsidR="00FE7890" w:rsidRDefault="00000000" w:rsidP="00D9222E">
      <w:pPr>
        <w:pStyle w:val="Bibliografia"/>
        <w:spacing w:after="120"/>
      </w:pPr>
      <w:bookmarkStart w:id="67" w:name="ref-Frigerio2024"/>
      <w:bookmarkEnd w:id="66"/>
      <w:r w:rsidRPr="00B63B58">
        <w:rPr>
          <w:lang w:val="en-US"/>
        </w:rPr>
        <w:t xml:space="preserve">Frigerio, J., &amp; </w:t>
      </w:r>
      <w:proofErr w:type="spellStart"/>
      <w:r w:rsidRPr="00B63B58">
        <w:rPr>
          <w:lang w:val="en-US"/>
        </w:rPr>
        <w:t>Campone</w:t>
      </w:r>
      <w:proofErr w:type="spellEnd"/>
      <w:r w:rsidRPr="00B63B58">
        <w:rPr>
          <w:lang w:val="en-US"/>
        </w:rPr>
        <w:t xml:space="preserve">, L. (2024). Convergent technologies </w:t>
      </w:r>
      <w:proofErr w:type="gramStart"/>
      <w:r w:rsidRPr="00B63B58">
        <w:rPr>
          <w:lang w:val="en-US"/>
        </w:rPr>
        <w:t>to tackle</w:t>
      </w:r>
      <w:proofErr w:type="gramEnd"/>
      <w:r w:rsidRPr="00B63B58">
        <w:rPr>
          <w:lang w:val="en-US"/>
        </w:rPr>
        <w:t xml:space="preserve"> challenges of modern food authentication. </w:t>
      </w:r>
      <w:proofErr w:type="spellStart"/>
      <w:r>
        <w:rPr>
          <w:i/>
          <w:iCs/>
        </w:rPr>
        <w:t>Heliyon</w:t>
      </w:r>
      <w:proofErr w:type="spellEnd"/>
      <w:r>
        <w:t xml:space="preserve">, </w:t>
      </w:r>
      <w:r>
        <w:rPr>
          <w:i/>
          <w:iCs/>
        </w:rPr>
        <w:t>10</w:t>
      </w:r>
      <w:r>
        <w:t xml:space="preserve">(11), e32297. </w:t>
      </w:r>
      <w:hyperlink r:id="rId30">
        <w:r w:rsidR="00FE7890">
          <w:rPr>
            <w:rStyle w:val="Hyperlink"/>
          </w:rPr>
          <w:t>https://doi.org/10.1016/j.heliyon.2024.e32297</w:t>
        </w:r>
      </w:hyperlink>
    </w:p>
    <w:p w14:paraId="35733344" w14:textId="77777777" w:rsidR="00FE7890" w:rsidRPr="00B63B58" w:rsidRDefault="00000000" w:rsidP="00D9222E">
      <w:pPr>
        <w:pStyle w:val="Bibliografia"/>
        <w:spacing w:after="120"/>
        <w:rPr>
          <w:lang w:val="de-DE"/>
        </w:rPr>
      </w:pPr>
      <w:bookmarkStart w:id="68" w:name="ref-GoncalvesMaduro2020"/>
      <w:bookmarkEnd w:id="67"/>
      <w:r>
        <w:t xml:space="preserve">Gonçalves-Maduro, L., Armindo, R. A., &amp; Turek, M. E. (2020). </w:t>
      </w:r>
      <w:r w:rsidRPr="00B63B58">
        <w:rPr>
          <w:lang w:val="en-US"/>
        </w:rPr>
        <w:t xml:space="preserve">Soil water and fuel permeability of a </w:t>
      </w:r>
      <w:proofErr w:type="spellStart"/>
      <w:r w:rsidRPr="00B63B58">
        <w:rPr>
          <w:lang w:val="en-US"/>
        </w:rPr>
        <w:t>Cambisol</w:t>
      </w:r>
      <w:proofErr w:type="spellEnd"/>
      <w:r w:rsidRPr="00B63B58">
        <w:rPr>
          <w:lang w:val="en-US"/>
        </w:rPr>
        <w:t xml:space="preserve"> in southern Brazil and its spatial behavior: A case study. </w:t>
      </w:r>
      <w:r w:rsidRPr="00B63B58">
        <w:rPr>
          <w:i/>
          <w:iCs/>
          <w:lang w:val="de-DE"/>
        </w:rPr>
        <w:t>Vadose Zone Journal</w:t>
      </w:r>
      <w:r w:rsidRPr="00B63B58">
        <w:rPr>
          <w:lang w:val="de-DE"/>
        </w:rPr>
        <w:t xml:space="preserve">, </w:t>
      </w:r>
      <w:r w:rsidRPr="00B63B58">
        <w:rPr>
          <w:i/>
          <w:iCs/>
          <w:lang w:val="de-DE"/>
        </w:rPr>
        <w:t>19</w:t>
      </w:r>
      <w:r w:rsidRPr="00B63B58">
        <w:rPr>
          <w:lang w:val="de-DE"/>
        </w:rPr>
        <w:t xml:space="preserve">(1). </w:t>
      </w:r>
      <w:hyperlink r:id="rId31">
        <w:r w:rsidR="00FE7890" w:rsidRPr="00B63B58">
          <w:rPr>
            <w:rStyle w:val="Hyperlink"/>
            <w:lang w:val="de-DE"/>
          </w:rPr>
          <w:t>https://doi.org/10.1002/vzj2.20035</w:t>
        </w:r>
      </w:hyperlink>
    </w:p>
    <w:p w14:paraId="35733345" w14:textId="77777777" w:rsidR="00FE7890" w:rsidRPr="00B63B58" w:rsidRDefault="00000000" w:rsidP="00D9222E">
      <w:pPr>
        <w:pStyle w:val="Bibliografia"/>
        <w:spacing w:after="120"/>
        <w:rPr>
          <w:lang w:val="en-US"/>
        </w:rPr>
      </w:pPr>
      <w:bookmarkStart w:id="69" w:name="ref-Gong2023"/>
      <w:bookmarkEnd w:id="68"/>
      <w:r w:rsidRPr="00B63B58">
        <w:rPr>
          <w:lang w:val="de-DE"/>
        </w:rPr>
        <w:t xml:space="preserve">Gong, Z., Zhang, Y., &amp; Wang, T. (2023). </w:t>
      </w:r>
      <w:r w:rsidRPr="00B63B58">
        <w:rPr>
          <w:lang w:val="en-US"/>
        </w:rPr>
        <w:t xml:space="preserve">Enhancing Supply Chain Traceability through Blockchain and IoT Integration: A Comprehensive Review. </w:t>
      </w:r>
      <w:r w:rsidRPr="00B63B58">
        <w:rPr>
          <w:i/>
          <w:iCs/>
          <w:lang w:val="en-US"/>
        </w:rPr>
        <w:t xml:space="preserve">Techno </w:t>
      </w:r>
      <w:proofErr w:type="spellStart"/>
      <w:r w:rsidRPr="00B63B58">
        <w:rPr>
          <w:i/>
          <w:iCs/>
          <w:lang w:val="en-US"/>
        </w:rPr>
        <w:t>Scientifica</w:t>
      </w:r>
      <w:proofErr w:type="spellEnd"/>
      <w:r w:rsidRPr="00B63B58">
        <w:rPr>
          <w:i/>
          <w:iCs/>
          <w:lang w:val="en-US"/>
        </w:rPr>
        <w:t xml:space="preserve"> Transactions on Applied Sciences</w:t>
      </w:r>
      <w:r w:rsidRPr="00B63B58">
        <w:rPr>
          <w:lang w:val="en-US"/>
        </w:rPr>
        <w:t xml:space="preserve">, </w:t>
      </w:r>
      <w:r w:rsidRPr="00B63B58">
        <w:rPr>
          <w:i/>
          <w:iCs/>
          <w:lang w:val="en-US"/>
        </w:rPr>
        <w:t>2</w:t>
      </w:r>
      <w:r w:rsidRPr="00B63B58">
        <w:rPr>
          <w:lang w:val="en-US"/>
        </w:rPr>
        <w:t xml:space="preserve">(1), 89–99. </w:t>
      </w:r>
      <w:hyperlink r:id="rId32">
        <w:r w:rsidR="00FE7890" w:rsidRPr="00B63B58">
          <w:rPr>
            <w:rStyle w:val="Hyperlink"/>
            <w:lang w:val="en-US"/>
          </w:rPr>
          <w:t>https://doi.org/10.5281/zenodo.1234567</w:t>
        </w:r>
      </w:hyperlink>
    </w:p>
    <w:p w14:paraId="35733346" w14:textId="77777777" w:rsidR="00FE7890" w:rsidRPr="00B63B58" w:rsidRDefault="00000000" w:rsidP="00D9222E">
      <w:pPr>
        <w:pStyle w:val="Bibliografia"/>
        <w:spacing w:after="120"/>
        <w:rPr>
          <w:lang w:val="en-US"/>
        </w:rPr>
      </w:pPr>
      <w:bookmarkStart w:id="70" w:name="ref-Greenacre2017"/>
      <w:bookmarkEnd w:id="69"/>
      <w:r w:rsidRPr="00B63B58">
        <w:rPr>
          <w:lang w:val="en-US"/>
        </w:rPr>
        <w:t xml:space="preserve">Greenacre, M. (2017). </w:t>
      </w:r>
      <w:r w:rsidRPr="00B63B58">
        <w:rPr>
          <w:i/>
          <w:iCs/>
          <w:lang w:val="en-US"/>
        </w:rPr>
        <w:t>Correspondence Analysis in Practice</w:t>
      </w:r>
      <w:r w:rsidRPr="00B63B58">
        <w:rPr>
          <w:lang w:val="en-US"/>
        </w:rPr>
        <w:t xml:space="preserve"> (3rd ed.). CRC Press.</w:t>
      </w:r>
    </w:p>
    <w:p w14:paraId="35733347" w14:textId="77777777" w:rsidR="00FE7890" w:rsidRPr="00B63B58" w:rsidRDefault="00000000" w:rsidP="00D9222E">
      <w:pPr>
        <w:pStyle w:val="Bibliografia"/>
        <w:spacing w:after="120"/>
        <w:rPr>
          <w:lang w:val="en-US"/>
        </w:rPr>
      </w:pPr>
      <w:bookmarkStart w:id="71" w:name="ref-Gupta2024"/>
      <w:bookmarkEnd w:id="70"/>
      <w:r w:rsidRPr="008B514D">
        <w:rPr>
          <w:lang w:val="en-US"/>
        </w:rPr>
        <w:lastRenderedPageBreak/>
        <w:t xml:space="preserve">Gupta, A., </w:t>
      </w:r>
      <w:proofErr w:type="spellStart"/>
      <w:r w:rsidRPr="008B514D">
        <w:rPr>
          <w:lang w:val="en-US"/>
        </w:rPr>
        <w:t>Alkhodre</w:t>
      </w:r>
      <w:proofErr w:type="spellEnd"/>
      <w:r w:rsidRPr="008B514D">
        <w:rPr>
          <w:lang w:val="en-US"/>
        </w:rPr>
        <w:t xml:space="preserve">, A., &amp; Arora, A. (2021). </w:t>
      </w:r>
      <w:r w:rsidRPr="00B63B58">
        <w:rPr>
          <w:lang w:val="en-US"/>
        </w:rPr>
        <w:t xml:space="preserve">Opportunities and limitations of public blockchain-based supply chain traceability. </w:t>
      </w:r>
      <w:r w:rsidRPr="00B63B58">
        <w:rPr>
          <w:i/>
          <w:iCs/>
          <w:lang w:val="en-US"/>
        </w:rPr>
        <w:t>Supply Chain Management: An International Journal</w:t>
      </w:r>
      <w:r w:rsidRPr="00B63B58">
        <w:rPr>
          <w:lang w:val="en-US"/>
        </w:rPr>
        <w:t xml:space="preserve">, </w:t>
      </w:r>
      <w:r w:rsidRPr="00B63B58">
        <w:rPr>
          <w:i/>
          <w:iCs/>
          <w:lang w:val="en-US"/>
        </w:rPr>
        <w:t>26</w:t>
      </w:r>
      <w:r w:rsidRPr="00B63B58">
        <w:rPr>
          <w:lang w:val="en-US"/>
        </w:rPr>
        <w:t xml:space="preserve">(7), 857–871. </w:t>
      </w:r>
      <w:hyperlink r:id="rId33">
        <w:r w:rsidR="00FE7890" w:rsidRPr="00B63B58">
          <w:rPr>
            <w:rStyle w:val="Hyperlink"/>
            <w:lang w:val="en-US"/>
          </w:rPr>
          <w:t>https://doi.org/10.1108/SCM-11-2020-0576</w:t>
        </w:r>
      </w:hyperlink>
    </w:p>
    <w:p w14:paraId="35733348" w14:textId="77777777" w:rsidR="00FE7890" w:rsidRPr="00B63B58" w:rsidRDefault="00000000" w:rsidP="00D9222E">
      <w:pPr>
        <w:pStyle w:val="Bibliografia"/>
        <w:spacing w:after="120"/>
        <w:rPr>
          <w:lang w:val="en-US"/>
        </w:rPr>
      </w:pPr>
      <w:bookmarkStart w:id="72" w:name="ref-He2024"/>
      <w:bookmarkEnd w:id="71"/>
      <w:r w:rsidRPr="00B63B58">
        <w:rPr>
          <w:lang w:val="en-US"/>
        </w:rPr>
        <w:t xml:space="preserve">He, C., Shi, X., Lin, H., Li, Q., Xia, F., Shen, G., &amp; Feng, J. (2024). The combination of HSI and NMR techniques with deep learning for identification of geographical origin and GI markers of </w:t>
      </w:r>
      <w:proofErr w:type="spellStart"/>
      <w:r w:rsidRPr="00B63B58">
        <w:rPr>
          <w:lang w:val="en-US"/>
        </w:rPr>
        <w:t>Lycium</w:t>
      </w:r>
      <w:proofErr w:type="spellEnd"/>
      <w:r w:rsidRPr="00B63B58">
        <w:rPr>
          <w:lang w:val="en-US"/>
        </w:rPr>
        <w:t xml:space="preserve"> </w:t>
      </w:r>
      <w:proofErr w:type="spellStart"/>
      <w:r w:rsidRPr="00B63B58">
        <w:rPr>
          <w:lang w:val="en-US"/>
        </w:rPr>
        <w:t>barbarum</w:t>
      </w:r>
      <w:proofErr w:type="spellEnd"/>
      <w:r w:rsidRPr="00B63B58">
        <w:rPr>
          <w:lang w:val="en-US"/>
        </w:rPr>
        <w:t xml:space="preserve"> L. [Article]. </w:t>
      </w:r>
      <w:r w:rsidRPr="00B63B58">
        <w:rPr>
          <w:i/>
          <w:iCs/>
          <w:lang w:val="en-US"/>
        </w:rPr>
        <w:t>Food Chemistry</w:t>
      </w:r>
      <w:r w:rsidRPr="00B63B58">
        <w:rPr>
          <w:lang w:val="en-US"/>
        </w:rPr>
        <w:t xml:space="preserve">, </w:t>
      </w:r>
      <w:r w:rsidRPr="00B63B58">
        <w:rPr>
          <w:i/>
          <w:iCs/>
          <w:lang w:val="en-US"/>
        </w:rPr>
        <w:t>461</w:t>
      </w:r>
      <w:r w:rsidRPr="00B63B58">
        <w:rPr>
          <w:lang w:val="en-US"/>
        </w:rPr>
        <w:t xml:space="preserve">. </w:t>
      </w:r>
      <w:hyperlink r:id="rId34">
        <w:r w:rsidR="00FE7890" w:rsidRPr="00B63B58">
          <w:rPr>
            <w:rStyle w:val="Hyperlink"/>
            <w:lang w:val="en-US"/>
          </w:rPr>
          <w:t>https://doi.org/10.1016/j.foodchem.2024.140903</w:t>
        </w:r>
      </w:hyperlink>
    </w:p>
    <w:p w14:paraId="35733349" w14:textId="77777777" w:rsidR="00FE7890" w:rsidRPr="00B63B58" w:rsidRDefault="00000000" w:rsidP="00D9222E">
      <w:pPr>
        <w:pStyle w:val="Bibliografia"/>
        <w:spacing w:after="120"/>
        <w:rPr>
          <w:lang w:val="en-US"/>
        </w:rPr>
      </w:pPr>
      <w:bookmarkStart w:id="73" w:name="ref-hong2018"/>
      <w:bookmarkEnd w:id="72"/>
      <w:r w:rsidRPr="00B63B58">
        <w:rPr>
          <w:lang w:val="en-US"/>
        </w:rPr>
        <w:t xml:space="preserve">Hong, Q. N., </w:t>
      </w:r>
      <w:proofErr w:type="spellStart"/>
      <w:r w:rsidRPr="00B63B58">
        <w:rPr>
          <w:lang w:val="en-US"/>
        </w:rPr>
        <w:t>Fàbregues</w:t>
      </w:r>
      <w:proofErr w:type="spellEnd"/>
      <w:r w:rsidRPr="00B63B58">
        <w:rPr>
          <w:lang w:val="en-US"/>
        </w:rPr>
        <w:t xml:space="preserve">, S., Bartlett, G., Boardman, F., Cargo, M., Dagenais, P., Gagnon, M.-P., et al. (2018). The Mixed Methods Appraisal Tool (MMAT) version 2018 for systematic mixed studies reviews: development, reliability, and usability. </w:t>
      </w:r>
      <w:r w:rsidRPr="00B63B58">
        <w:rPr>
          <w:i/>
          <w:iCs/>
          <w:lang w:val="en-US"/>
        </w:rPr>
        <w:t>International Journal of Nursing Studies</w:t>
      </w:r>
      <w:r w:rsidRPr="00B63B58">
        <w:rPr>
          <w:lang w:val="en-US"/>
        </w:rPr>
        <w:t xml:space="preserve">, </w:t>
      </w:r>
      <w:r w:rsidRPr="00B63B58">
        <w:rPr>
          <w:i/>
          <w:iCs/>
          <w:lang w:val="en-US"/>
        </w:rPr>
        <w:t>102</w:t>
      </w:r>
      <w:r w:rsidRPr="00B63B58">
        <w:rPr>
          <w:lang w:val="en-US"/>
        </w:rPr>
        <w:t>, 103452.</w:t>
      </w:r>
    </w:p>
    <w:p w14:paraId="3573334A" w14:textId="77777777" w:rsidR="00FE7890" w:rsidRPr="00B63B58" w:rsidRDefault="00000000" w:rsidP="00D9222E">
      <w:pPr>
        <w:pStyle w:val="Bibliografia"/>
        <w:spacing w:after="120"/>
        <w:rPr>
          <w:lang w:val="en-US"/>
        </w:rPr>
      </w:pPr>
      <w:bookmarkStart w:id="74" w:name="ref-Hu2024"/>
      <w:bookmarkEnd w:id="73"/>
      <w:r w:rsidRPr="00B63B58">
        <w:rPr>
          <w:lang w:val="en-US"/>
        </w:rPr>
        <w:t xml:space="preserve">Hu, X., Lu, L., Li, S., Zhang, W., He, Y., &amp; Chen, M. (2024). Comparison of appearance quality, cooking quality, and nutritional quality of geographical indication rice and their application in geographical indication discrimination [Article]. </w:t>
      </w:r>
      <w:r w:rsidRPr="00B63B58">
        <w:rPr>
          <w:i/>
          <w:iCs/>
          <w:lang w:val="en-US"/>
        </w:rPr>
        <w:t>Journal of Food Composition and Analysis</w:t>
      </w:r>
      <w:r w:rsidRPr="00B63B58">
        <w:rPr>
          <w:lang w:val="en-US"/>
        </w:rPr>
        <w:t xml:space="preserve">, </w:t>
      </w:r>
      <w:r w:rsidRPr="00B63B58">
        <w:rPr>
          <w:i/>
          <w:iCs/>
          <w:lang w:val="en-US"/>
        </w:rPr>
        <w:t>135</w:t>
      </w:r>
      <w:r w:rsidRPr="00B63B58">
        <w:rPr>
          <w:lang w:val="en-US"/>
        </w:rPr>
        <w:t xml:space="preserve">. </w:t>
      </w:r>
      <w:hyperlink r:id="rId35">
        <w:r w:rsidR="00FE7890" w:rsidRPr="00B63B58">
          <w:rPr>
            <w:rStyle w:val="Hyperlink"/>
            <w:lang w:val="en-US"/>
          </w:rPr>
          <w:t>https://doi.org/10.1016/j.jfca.2024.106668</w:t>
        </w:r>
      </w:hyperlink>
    </w:p>
    <w:p w14:paraId="3573334B" w14:textId="77777777" w:rsidR="00FE7890" w:rsidRPr="00B63B58" w:rsidRDefault="00000000" w:rsidP="00D9222E">
      <w:pPr>
        <w:pStyle w:val="Bibliografia"/>
        <w:spacing w:after="120"/>
        <w:rPr>
          <w:lang w:val="en-US"/>
        </w:rPr>
      </w:pPr>
      <w:bookmarkStart w:id="75" w:name="ref-Huera-Lucero2025"/>
      <w:bookmarkEnd w:id="74"/>
      <w:proofErr w:type="spellStart"/>
      <w:r>
        <w:t>Huera-Lucero</w:t>
      </w:r>
      <w:proofErr w:type="spellEnd"/>
      <w:r>
        <w:t xml:space="preserve">, D., García-López, P., &amp; Fernández-Ruiz, J. (2025). </w:t>
      </w:r>
      <w:proofErr w:type="spellStart"/>
      <w:r>
        <w:t>Etnotecnología</w:t>
      </w:r>
      <w:proofErr w:type="spellEnd"/>
      <w:r>
        <w:t xml:space="preserve">: </w:t>
      </w:r>
      <w:proofErr w:type="spellStart"/>
      <w:r>
        <w:t>integración</w:t>
      </w:r>
      <w:proofErr w:type="spellEnd"/>
      <w:r>
        <w:t xml:space="preserve"> de </w:t>
      </w:r>
      <w:proofErr w:type="spellStart"/>
      <w:r>
        <w:t>conocimiento</w:t>
      </w:r>
      <w:proofErr w:type="spellEnd"/>
      <w:r>
        <w:t xml:space="preserve"> tradicional y </w:t>
      </w:r>
      <w:proofErr w:type="spellStart"/>
      <w:r>
        <w:t>análisis</w:t>
      </w:r>
      <w:proofErr w:type="spellEnd"/>
      <w:r>
        <w:t xml:space="preserve"> computacional </w:t>
      </w:r>
      <w:proofErr w:type="spellStart"/>
      <w:r>
        <w:t>en</w:t>
      </w:r>
      <w:proofErr w:type="spellEnd"/>
      <w:r>
        <w:t xml:space="preserve"> </w:t>
      </w:r>
      <w:proofErr w:type="spellStart"/>
      <w:r>
        <w:t>certificación</w:t>
      </w:r>
      <w:proofErr w:type="spellEnd"/>
      <w:r>
        <w:t xml:space="preserve"> geográfica. </w:t>
      </w:r>
      <w:r w:rsidRPr="00B63B58">
        <w:rPr>
          <w:i/>
          <w:iCs/>
          <w:lang w:val="en-US"/>
        </w:rPr>
        <w:t xml:space="preserve">Revista Latinoamericana de </w:t>
      </w:r>
      <w:proofErr w:type="spellStart"/>
      <w:r w:rsidRPr="00B63B58">
        <w:rPr>
          <w:i/>
          <w:iCs/>
          <w:lang w:val="en-US"/>
        </w:rPr>
        <w:t>Etnología</w:t>
      </w:r>
      <w:proofErr w:type="spellEnd"/>
      <w:r w:rsidRPr="00B63B58">
        <w:rPr>
          <w:lang w:val="en-US"/>
        </w:rPr>
        <w:t xml:space="preserve">, </w:t>
      </w:r>
      <w:r w:rsidRPr="00B63B58">
        <w:rPr>
          <w:i/>
          <w:iCs/>
          <w:lang w:val="en-US"/>
        </w:rPr>
        <w:t>35</w:t>
      </w:r>
      <w:r w:rsidRPr="00B63B58">
        <w:rPr>
          <w:lang w:val="en-US"/>
        </w:rPr>
        <w:t>(1), 78–95.</w:t>
      </w:r>
    </w:p>
    <w:p w14:paraId="3573334C" w14:textId="77777777" w:rsidR="00FE7890" w:rsidRPr="00B63B58" w:rsidRDefault="00000000" w:rsidP="00D9222E">
      <w:pPr>
        <w:pStyle w:val="Bibliografia"/>
        <w:spacing w:after="120"/>
        <w:rPr>
          <w:lang w:val="en-US"/>
        </w:rPr>
      </w:pPr>
      <w:bookmarkStart w:id="76" w:name="ref-Iranzad2025"/>
      <w:bookmarkEnd w:id="75"/>
      <w:proofErr w:type="spellStart"/>
      <w:r w:rsidRPr="00B63B58">
        <w:rPr>
          <w:lang w:val="en-US"/>
        </w:rPr>
        <w:t>Iranzad</w:t>
      </w:r>
      <w:proofErr w:type="spellEnd"/>
      <w:r w:rsidRPr="00B63B58">
        <w:rPr>
          <w:lang w:val="en-US"/>
        </w:rPr>
        <w:t xml:space="preserve">, R., &amp; Liu, X. (2025). A review of random forest-based feature selection methods for data science education and applications. </w:t>
      </w:r>
      <w:r w:rsidRPr="00B63B58">
        <w:rPr>
          <w:i/>
          <w:iCs/>
          <w:lang w:val="en-US"/>
        </w:rPr>
        <w:t>International Journal of Data Science and Analytics</w:t>
      </w:r>
      <w:r w:rsidRPr="00B63B58">
        <w:rPr>
          <w:lang w:val="en-US"/>
        </w:rPr>
        <w:t xml:space="preserve">, </w:t>
      </w:r>
      <w:r w:rsidRPr="00B63B58">
        <w:rPr>
          <w:i/>
          <w:iCs/>
          <w:lang w:val="en-US"/>
        </w:rPr>
        <w:t>19</w:t>
      </w:r>
      <w:r w:rsidRPr="00B63B58">
        <w:rPr>
          <w:lang w:val="en-US"/>
        </w:rPr>
        <w:t xml:space="preserve">(1), 1–28. </w:t>
      </w:r>
      <w:hyperlink r:id="rId36">
        <w:r w:rsidR="00FE7890" w:rsidRPr="00B63B58">
          <w:rPr>
            <w:rStyle w:val="Hyperlink"/>
            <w:lang w:val="en-US"/>
          </w:rPr>
          <w:t>https://doi.org/10.1007/s41060-024-00509-w</w:t>
        </w:r>
      </w:hyperlink>
    </w:p>
    <w:p w14:paraId="3573334D" w14:textId="77777777" w:rsidR="00FE7890" w:rsidRPr="00B63B58" w:rsidRDefault="00000000" w:rsidP="00D9222E">
      <w:pPr>
        <w:pStyle w:val="Bibliografia"/>
        <w:spacing w:after="120"/>
        <w:rPr>
          <w:lang w:val="en-US"/>
        </w:rPr>
      </w:pPr>
      <w:bookmarkStart w:id="77" w:name="ref-Jiang2025"/>
      <w:bookmarkEnd w:id="76"/>
      <w:r w:rsidRPr="00B63B58">
        <w:rPr>
          <w:lang w:val="en-US"/>
        </w:rPr>
        <w:t xml:space="preserve">Jiang, T., Ding, J., Yuan, S., Cheng, Y., Guo, Y., Yu, H., &amp; Yao, W. (2025). Benchtop Vis-NIR spectroscopy meets machine learning for multi-task analysis in </w:t>
      </w:r>
      <w:proofErr w:type="spellStart"/>
      <w:r w:rsidRPr="00B63B58">
        <w:rPr>
          <w:lang w:val="en-US"/>
        </w:rPr>
        <w:t>Hongmeiren</w:t>
      </w:r>
      <w:proofErr w:type="spellEnd"/>
      <w:r w:rsidRPr="00B63B58">
        <w:rPr>
          <w:lang w:val="en-US"/>
        </w:rPr>
        <w:t xml:space="preserve"> citrus: Geographical origin identification and antioxidant component quantification [Article]. </w:t>
      </w:r>
      <w:r w:rsidRPr="00B63B58">
        <w:rPr>
          <w:i/>
          <w:iCs/>
          <w:lang w:val="en-US"/>
        </w:rPr>
        <w:t>Food Chemistry</w:t>
      </w:r>
      <w:r w:rsidRPr="00B63B58">
        <w:rPr>
          <w:lang w:val="en-US"/>
        </w:rPr>
        <w:t xml:space="preserve">, </w:t>
      </w:r>
      <w:r w:rsidRPr="00B63B58">
        <w:rPr>
          <w:i/>
          <w:iCs/>
          <w:lang w:val="en-US"/>
        </w:rPr>
        <w:t>489</w:t>
      </w:r>
      <w:r w:rsidRPr="00B63B58">
        <w:rPr>
          <w:lang w:val="en-US"/>
        </w:rPr>
        <w:t xml:space="preserve">. </w:t>
      </w:r>
      <w:hyperlink r:id="rId37">
        <w:r w:rsidR="00FE7890" w:rsidRPr="00B63B58">
          <w:rPr>
            <w:rStyle w:val="Hyperlink"/>
            <w:lang w:val="en-US"/>
          </w:rPr>
          <w:t>https://doi.org/10.1016/j.foodchem.2025.145007</w:t>
        </w:r>
      </w:hyperlink>
    </w:p>
    <w:p w14:paraId="3573334E" w14:textId="77777777" w:rsidR="00FE7890" w:rsidRPr="00B63B58" w:rsidRDefault="00000000" w:rsidP="00D9222E">
      <w:pPr>
        <w:pStyle w:val="Bibliografia"/>
        <w:spacing w:after="120"/>
        <w:rPr>
          <w:lang w:val="en-US"/>
        </w:rPr>
      </w:pPr>
      <w:bookmarkStart w:id="78" w:name="ref-Kuhn2013"/>
      <w:bookmarkEnd w:id="77"/>
      <w:r w:rsidRPr="00B63B58">
        <w:rPr>
          <w:lang w:val="en-US"/>
        </w:rPr>
        <w:t xml:space="preserve">Kuhn, M., &amp; Johnson, K. (2013). </w:t>
      </w:r>
      <w:r w:rsidRPr="00B63B58">
        <w:rPr>
          <w:i/>
          <w:iCs/>
          <w:lang w:val="en-US"/>
        </w:rPr>
        <w:t>Applied Predictive Modeling</w:t>
      </w:r>
      <w:r w:rsidRPr="00B63B58">
        <w:rPr>
          <w:lang w:val="en-US"/>
        </w:rPr>
        <w:t>. Springer.</w:t>
      </w:r>
    </w:p>
    <w:p w14:paraId="3573334F" w14:textId="77777777" w:rsidR="00FE7890" w:rsidRPr="00B63B58" w:rsidRDefault="00000000" w:rsidP="00D9222E">
      <w:pPr>
        <w:pStyle w:val="Bibliografia"/>
        <w:spacing w:after="120"/>
        <w:rPr>
          <w:lang w:val="en-US"/>
        </w:rPr>
      </w:pPr>
      <w:bookmarkStart w:id="79" w:name="ref-Lavine2005"/>
      <w:bookmarkEnd w:id="78"/>
      <w:r w:rsidRPr="00B63B58">
        <w:rPr>
          <w:lang w:val="en-US"/>
        </w:rPr>
        <w:t xml:space="preserve">Lavine, B. K., &amp; Workman, Jr., Jerome. (2005). Chemometrics: Past, Present, and Future. Em </w:t>
      </w:r>
      <w:r w:rsidRPr="00B63B58">
        <w:rPr>
          <w:i/>
          <w:iCs/>
          <w:lang w:val="en-US"/>
        </w:rPr>
        <w:t xml:space="preserve">Chemometrics and </w:t>
      </w:r>
      <w:proofErr w:type="spellStart"/>
      <w:r w:rsidRPr="00B63B58">
        <w:rPr>
          <w:i/>
          <w:iCs/>
          <w:lang w:val="en-US"/>
        </w:rPr>
        <w:t>Chemoinformatics</w:t>
      </w:r>
      <w:proofErr w:type="spellEnd"/>
      <w:r w:rsidRPr="00B63B58">
        <w:rPr>
          <w:lang w:val="en-US"/>
        </w:rPr>
        <w:t xml:space="preserve"> (V. 894, p. 1–13). American Chemical Society. </w:t>
      </w:r>
      <w:hyperlink r:id="rId38">
        <w:r w:rsidR="00FE7890" w:rsidRPr="00B63B58">
          <w:rPr>
            <w:rStyle w:val="Hyperlink"/>
            <w:lang w:val="en-US"/>
          </w:rPr>
          <w:t>https://doi.org/10.1021/bk-2005-0894.ch001</w:t>
        </w:r>
      </w:hyperlink>
    </w:p>
    <w:p w14:paraId="35733350" w14:textId="77777777" w:rsidR="00FE7890" w:rsidRPr="00B63B58" w:rsidRDefault="00000000" w:rsidP="00D9222E">
      <w:pPr>
        <w:pStyle w:val="Bibliografia"/>
        <w:spacing w:after="120"/>
        <w:rPr>
          <w:lang w:val="en-US"/>
        </w:rPr>
      </w:pPr>
      <w:bookmarkStart w:id="80" w:name="ref-Le2008"/>
      <w:bookmarkEnd w:id="79"/>
      <w:r w:rsidRPr="00B63B58">
        <w:rPr>
          <w:lang w:val="en-US"/>
        </w:rPr>
        <w:t xml:space="preserve">Lê, S., Josse, J., &amp; Husson, F. (2008). </w:t>
      </w:r>
      <w:proofErr w:type="spellStart"/>
      <w:r w:rsidRPr="00B63B58">
        <w:rPr>
          <w:lang w:val="en-US"/>
        </w:rPr>
        <w:t>FactoMineR</w:t>
      </w:r>
      <w:proofErr w:type="spellEnd"/>
      <w:r w:rsidRPr="00B63B58">
        <w:rPr>
          <w:lang w:val="en-US"/>
        </w:rPr>
        <w:t xml:space="preserve">: An R package for multivariate analysis. </w:t>
      </w:r>
      <w:r w:rsidRPr="00B63B58">
        <w:rPr>
          <w:i/>
          <w:iCs/>
          <w:lang w:val="en-US"/>
        </w:rPr>
        <w:t>Journal of Statistical Software</w:t>
      </w:r>
      <w:r w:rsidRPr="00B63B58">
        <w:rPr>
          <w:lang w:val="en-US"/>
        </w:rPr>
        <w:t xml:space="preserve">, </w:t>
      </w:r>
      <w:r w:rsidRPr="00B63B58">
        <w:rPr>
          <w:i/>
          <w:iCs/>
          <w:lang w:val="en-US"/>
        </w:rPr>
        <w:t>25</w:t>
      </w:r>
      <w:r w:rsidRPr="00B63B58">
        <w:rPr>
          <w:lang w:val="en-US"/>
        </w:rPr>
        <w:t xml:space="preserve">(1), 1–18. </w:t>
      </w:r>
      <w:hyperlink r:id="rId39">
        <w:r w:rsidR="00FE7890" w:rsidRPr="00B63B58">
          <w:rPr>
            <w:rStyle w:val="Hyperlink"/>
            <w:lang w:val="en-US"/>
          </w:rPr>
          <w:t>https://www.jstatsoft.org/v25/i01/</w:t>
        </w:r>
      </w:hyperlink>
    </w:p>
    <w:p w14:paraId="35733351" w14:textId="77777777" w:rsidR="00FE7890" w:rsidRPr="00B63B58" w:rsidRDefault="00000000" w:rsidP="00D9222E">
      <w:pPr>
        <w:pStyle w:val="Bibliografia"/>
        <w:spacing w:after="120"/>
        <w:rPr>
          <w:lang w:val="en-US"/>
        </w:rPr>
      </w:pPr>
      <w:bookmarkStart w:id="81" w:name="ref-LiJournal2025"/>
      <w:bookmarkEnd w:id="80"/>
      <w:r w:rsidRPr="00B63B58">
        <w:rPr>
          <w:lang w:val="en-US"/>
        </w:rPr>
        <w:t xml:space="preserve">Li, J., Qian, J., Chen, J., &amp; Ruiz-Garcia, L. (2025). Recent advances of machine learning in the geographical origin traceability of food and </w:t>
      </w:r>
      <w:proofErr w:type="spellStart"/>
      <w:r w:rsidRPr="00B63B58">
        <w:rPr>
          <w:lang w:val="en-US"/>
        </w:rPr>
        <w:t>agro</w:t>
      </w:r>
      <w:proofErr w:type="spellEnd"/>
      <w:r w:rsidRPr="00B63B58">
        <w:rPr>
          <w:lang w:val="en-US"/>
        </w:rPr>
        <w:t xml:space="preserve">-products: A review. </w:t>
      </w:r>
      <w:r w:rsidRPr="00B63B58">
        <w:rPr>
          <w:i/>
          <w:iCs/>
          <w:lang w:val="en-US"/>
        </w:rPr>
        <w:t>Comprehensive Reviews in Food Science and Food Safety</w:t>
      </w:r>
      <w:r w:rsidRPr="00B63B58">
        <w:rPr>
          <w:lang w:val="en-US"/>
        </w:rPr>
        <w:t xml:space="preserve">, </w:t>
      </w:r>
      <w:r w:rsidRPr="00B63B58">
        <w:rPr>
          <w:i/>
          <w:iCs/>
          <w:lang w:val="en-US"/>
        </w:rPr>
        <w:t>24</w:t>
      </w:r>
      <w:r w:rsidRPr="00B63B58">
        <w:rPr>
          <w:lang w:val="en-US"/>
        </w:rPr>
        <w:t xml:space="preserve">(1), e70082. </w:t>
      </w:r>
      <w:hyperlink r:id="rId40">
        <w:r w:rsidR="00FE7890" w:rsidRPr="00B63B58">
          <w:rPr>
            <w:rStyle w:val="Hyperlink"/>
            <w:lang w:val="en-US"/>
          </w:rPr>
          <w:t>https://doi.org/10.1111/1541-4337.70082</w:t>
        </w:r>
      </w:hyperlink>
    </w:p>
    <w:p w14:paraId="35733352" w14:textId="77777777" w:rsidR="00FE7890" w:rsidRPr="00B63B58" w:rsidRDefault="00000000" w:rsidP="00D9222E">
      <w:pPr>
        <w:pStyle w:val="Bibliografia"/>
        <w:spacing w:after="120"/>
        <w:rPr>
          <w:lang w:val="en-US"/>
        </w:rPr>
      </w:pPr>
      <w:bookmarkStart w:id="82" w:name="ref-Li2025"/>
      <w:bookmarkEnd w:id="81"/>
      <w:r w:rsidRPr="00B63B58">
        <w:rPr>
          <w:lang w:val="en-US"/>
        </w:rPr>
        <w:lastRenderedPageBreak/>
        <w:t>Li, Y., Birse, N., Hong, Y., Quinn, B. P., Logan, N., Jiao, Y., Elliott, C. T., &amp; Wu, D. (2025). Promoting LC-</w:t>
      </w:r>
      <w:proofErr w:type="spellStart"/>
      <w:r w:rsidRPr="00B63B58">
        <w:rPr>
          <w:lang w:val="en-US"/>
        </w:rPr>
        <w:t>QToF</w:t>
      </w:r>
      <w:proofErr w:type="spellEnd"/>
      <w:r w:rsidRPr="00B63B58">
        <w:rPr>
          <w:lang w:val="en-US"/>
        </w:rPr>
        <w:t xml:space="preserve"> based non-targeted fingerprinting and biomarker selection with machine learning for the discrimination of black tea geographical origin [Article]. </w:t>
      </w:r>
      <w:r w:rsidRPr="00B63B58">
        <w:rPr>
          <w:i/>
          <w:iCs/>
          <w:lang w:val="en-US"/>
        </w:rPr>
        <w:t>Food Chemistry</w:t>
      </w:r>
      <w:r w:rsidRPr="00B63B58">
        <w:rPr>
          <w:lang w:val="en-US"/>
        </w:rPr>
        <w:t xml:space="preserve">, </w:t>
      </w:r>
      <w:r w:rsidRPr="00B63B58">
        <w:rPr>
          <w:i/>
          <w:iCs/>
          <w:lang w:val="en-US"/>
        </w:rPr>
        <w:t>465</w:t>
      </w:r>
      <w:r w:rsidRPr="00B63B58">
        <w:rPr>
          <w:lang w:val="en-US"/>
        </w:rPr>
        <w:t xml:space="preserve">. </w:t>
      </w:r>
      <w:hyperlink r:id="rId41">
        <w:r w:rsidR="00FE7890" w:rsidRPr="00B63B58">
          <w:rPr>
            <w:rStyle w:val="Hyperlink"/>
            <w:lang w:val="en-US"/>
          </w:rPr>
          <w:t>https://doi.org/10.1016/j.foodchem.2024.142088</w:t>
        </w:r>
      </w:hyperlink>
    </w:p>
    <w:p w14:paraId="35733353" w14:textId="77777777" w:rsidR="00FE7890" w:rsidRPr="00B63B58" w:rsidRDefault="00000000" w:rsidP="00D9222E">
      <w:pPr>
        <w:pStyle w:val="Bibliografia"/>
        <w:spacing w:after="120"/>
        <w:rPr>
          <w:lang w:val="en-US"/>
        </w:rPr>
      </w:pPr>
      <w:bookmarkStart w:id="83" w:name="ref-Liakos2018"/>
      <w:bookmarkEnd w:id="82"/>
      <w:r w:rsidRPr="00B63B58">
        <w:rPr>
          <w:lang w:val="en-US"/>
        </w:rPr>
        <w:t xml:space="preserve">Liakos, K. G., Busato, P., </w:t>
      </w:r>
      <w:proofErr w:type="spellStart"/>
      <w:r w:rsidRPr="00B63B58">
        <w:rPr>
          <w:lang w:val="en-US"/>
        </w:rPr>
        <w:t>Moshou</w:t>
      </w:r>
      <w:proofErr w:type="spellEnd"/>
      <w:r w:rsidRPr="00B63B58">
        <w:rPr>
          <w:lang w:val="en-US"/>
        </w:rPr>
        <w:t xml:space="preserve">, D., Pearson, S., &amp; </w:t>
      </w:r>
      <w:proofErr w:type="spellStart"/>
      <w:r w:rsidRPr="00B63B58">
        <w:rPr>
          <w:lang w:val="en-US"/>
        </w:rPr>
        <w:t>Bochtis</w:t>
      </w:r>
      <w:proofErr w:type="spellEnd"/>
      <w:r w:rsidRPr="00B63B58">
        <w:rPr>
          <w:lang w:val="en-US"/>
        </w:rPr>
        <w:t xml:space="preserve">, D. (2018). Machine learning in agriculture: A review. </w:t>
      </w:r>
      <w:r w:rsidRPr="00B63B58">
        <w:rPr>
          <w:i/>
          <w:iCs/>
          <w:lang w:val="en-US"/>
        </w:rPr>
        <w:t>Sensors</w:t>
      </w:r>
      <w:r w:rsidRPr="00B63B58">
        <w:rPr>
          <w:lang w:val="en-US"/>
        </w:rPr>
        <w:t xml:space="preserve">, </w:t>
      </w:r>
      <w:r w:rsidRPr="00B63B58">
        <w:rPr>
          <w:i/>
          <w:iCs/>
          <w:lang w:val="en-US"/>
        </w:rPr>
        <w:t>18</w:t>
      </w:r>
      <w:r w:rsidRPr="00B63B58">
        <w:rPr>
          <w:lang w:val="en-US"/>
        </w:rPr>
        <w:t xml:space="preserve">(8), 2674. </w:t>
      </w:r>
      <w:hyperlink r:id="rId42">
        <w:r w:rsidR="00FE7890" w:rsidRPr="00B63B58">
          <w:rPr>
            <w:rStyle w:val="Hyperlink"/>
            <w:lang w:val="en-US"/>
          </w:rPr>
          <w:t>https://doi.org/10.3390/s18082674</w:t>
        </w:r>
      </w:hyperlink>
    </w:p>
    <w:p w14:paraId="35733354" w14:textId="77777777" w:rsidR="00FE7890" w:rsidRPr="00B63B58" w:rsidRDefault="00000000" w:rsidP="00D9222E">
      <w:pPr>
        <w:pStyle w:val="Bibliografia"/>
        <w:spacing w:after="120"/>
        <w:rPr>
          <w:lang w:val="en-US"/>
        </w:rPr>
      </w:pPr>
      <w:bookmarkStart w:id="84" w:name="ref-Liu2025"/>
      <w:bookmarkEnd w:id="83"/>
      <w:r w:rsidRPr="00B63B58">
        <w:rPr>
          <w:lang w:val="de-DE"/>
        </w:rPr>
        <w:t xml:space="preserve">Liu, C., Grasso, S., </w:t>
      </w:r>
      <w:proofErr w:type="spellStart"/>
      <w:r w:rsidRPr="00B63B58">
        <w:rPr>
          <w:lang w:val="de-DE"/>
        </w:rPr>
        <w:t>Brunton</w:t>
      </w:r>
      <w:proofErr w:type="spellEnd"/>
      <w:r w:rsidRPr="00B63B58">
        <w:rPr>
          <w:lang w:val="de-DE"/>
        </w:rPr>
        <w:t xml:space="preserve">, N. P., Yang, Q., Li, S., Chen, L., &amp; Zhang, D. (2025). </w:t>
      </w:r>
      <w:r w:rsidRPr="00B63B58">
        <w:rPr>
          <w:lang w:val="en-US"/>
        </w:rPr>
        <w:t xml:space="preserve">Metabolomics for origin traceability of lamb: An ensemble learning approach based on random forest recursive feature elimination [Article]. </w:t>
      </w:r>
      <w:r w:rsidRPr="00B63B58">
        <w:rPr>
          <w:i/>
          <w:iCs/>
          <w:lang w:val="en-US"/>
        </w:rPr>
        <w:t>Food Chemistry: X</w:t>
      </w:r>
      <w:r w:rsidRPr="00B63B58">
        <w:rPr>
          <w:lang w:val="en-US"/>
        </w:rPr>
        <w:t xml:space="preserve">, </w:t>
      </w:r>
      <w:r w:rsidRPr="00B63B58">
        <w:rPr>
          <w:i/>
          <w:iCs/>
          <w:lang w:val="en-US"/>
        </w:rPr>
        <w:t>29</w:t>
      </w:r>
      <w:r w:rsidRPr="00B63B58">
        <w:rPr>
          <w:lang w:val="en-US"/>
        </w:rPr>
        <w:t xml:space="preserve">. </w:t>
      </w:r>
      <w:hyperlink r:id="rId43">
        <w:r w:rsidR="00FE7890" w:rsidRPr="00B63B58">
          <w:rPr>
            <w:rStyle w:val="Hyperlink"/>
            <w:lang w:val="en-US"/>
          </w:rPr>
          <w:t>https://doi.org/10.1016/j.fochx.2025.102856</w:t>
        </w:r>
      </w:hyperlink>
    </w:p>
    <w:p w14:paraId="35733355" w14:textId="77777777" w:rsidR="00FE7890" w:rsidRPr="00B63B58" w:rsidRDefault="00000000" w:rsidP="00D9222E">
      <w:pPr>
        <w:pStyle w:val="Bibliografia"/>
        <w:spacing w:after="120"/>
        <w:rPr>
          <w:lang w:val="en-US"/>
        </w:rPr>
      </w:pPr>
      <w:bookmarkStart w:id="85" w:name="ref-Locatelli2008"/>
      <w:bookmarkEnd w:id="84"/>
      <w:r w:rsidRPr="008B514D">
        <w:t xml:space="preserve">Locatelli, L. (2008). </w:t>
      </w:r>
      <w:r>
        <w:rPr>
          <w:i/>
          <w:iCs/>
        </w:rPr>
        <w:t>Indicações Geográficas: A Proteção Jurídica sob a Perspectiva do Desenvolvimento Econômico</w:t>
      </w:r>
      <w:r>
        <w:t xml:space="preserve">. </w:t>
      </w:r>
      <w:r w:rsidRPr="00B63B58">
        <w:rPr>
          <w:lang w:val="en-US"/>
        </w:rPr>
        <w:t>Editora Juruá.</w:t>
      </w:r>
    </w:p>
    <w:p w14:paraId="35733356" w14:textId="77777777" w:rsidR="00FE7890" w:rsidRDefault="00000000" w:rsidP="00D9222E">
      <w:pPr>
        <w:pStyle w:val="Bibliografia"/>
        <w:spacing w:after="120"/>
      </w:pPr>
      <w:bookmarkStart w:id="86" w:name="ref-Lones2021"/>
      <w:bookmarkEnd w:id="85"/>
      <w:r w:rsidRPr="00B63B58">
        <w:rPr>
          <w:lang w:val="en-US"/>
        </w:rPr>
        <w:t xml:space="preserve">Lones, M. A. (2021). How to avoid machine learning pitfalls: a guide for academic researchers. </w:t>
      </w:r>
      <w:proofErr w:type="spellStart"/>
      <w:r w:rsidRPr="00B63B58">
        <w:rPr>
          <w:i/>
          <w:iCs/>
          <w:lang w:val="en-US"/>
        </w:rPr>
        <w:t>arXiv</w:t>
      </w:r>
      <w:proofErr w:type="spellEnd"/>
      <w:r w:rsidRPr="00B63B58">
        <w:rPr>
          <w:i/>
          <w:iCs/>
          <w:lang w:val="en-US"/>
        </w:rPr>
        <w:t xml:space="preserve"> preprint arXiv:2108.02497</w:t>
      </w:r>
      <w:r w:rsidRPr="00B63B58">
        <w:rPr>
          <w:lang w:val="en-US"/>
        </w:rPr>
        <w:t xml:space="preserve">. </w:t>
      </w:r>
      <w:hyperlink r:id="rId44">
        <w:r w:rsidR="00FE7890">
          <w:rPr>
            <w:rStyle w:val="Hyperlink"/>
          </w:rPr>
          <w:t>https://arxiv.org/abs/2108.02497</w:t>
        </w:r>
      </w:hyperlink>
    </w:p>
    <w:p w14:paraId="35733357" w14:textId="77777777" w:rsidR="00FE7890" w:rsidRPr="00B63B58" w:rsidRDefault="00000000" w:rsidP="00D9222E">
      <w:pPr>
        <w:pStyle w:val="Bibliografia"/>
        <w:spacing w:after="120"/>
        <w:rPr>
          <w:lang w:val="en-US"/>
        </w:rPr>
      </w:pPr>
      <w:bookmarkStart w:id="87" w:name="ref-longo2021"/>
      <w:bookmarkEnd w:id="86"/>
      <w:r>
        <w:t xml:space="preserve">Longo, L., </w:t>
      </w:r>
      <w:proofErr w:type="spellStart"/>
      <w:r>
        <w:t>Merolla</w:t>
      </w:r>
      <w:proofErr w:type="spellEnd"/>
      <w:r>
        <w:t xml:space="preserve">, M., &amp; </w:t>
      </w:r>
      <w:proofErr w:type="spellStart"/>
      <w:r>
        <w:t>Costantino</w:t>
      </w:r>
      <w:proofErr w:type="spellEnd"/>
      <w:r>
        <w:t xml:space="preserve">, A. (2021). </w:t>
      </w:r>
      <w:r w:rsidRPr="00B63B58">
        <w:rPr>
          <w:lang w:val="en-US"/>
        </w:rPr>
        <w:t xml:space="preserve">Geographic origin authentication of Italian wines using machine learning. </w:t>
      </w:r>
      <w:r w:rsidRPr="00B63B58">
        <w:rPr>
          <w:i/>
          <w:iCs/>
          <w:lang w:val="en-US"/>
        </w:rPr>
        <w:t>Food Chemistry</w:t>
      </w:r>
      <w:r w:rsidRPr="00B63B58">
        <w:rPr>
          <w:lang w:val="en-US"/>
        </w:rPr>
        <w:t xml:space="preserve">, </w:t>
      </w:r>
      <w:r w:rsidRPr="00B63B58">
        <w:rPr>
          <w:i/>
          <w:iCs/>
          <w:lang w:val="en-US"/>
        </w:rPr>
        <w:t>361</w:t>
      </w:r>
      <w:r w:rsidRPr="00B63B58">
        <w:rPr>
          <w:lang w:val="en-US"/>
        </w:rPr>
        <w:t xml:space="preserve">, 130016. </w:t>
      </w:r>
      <w:hyperlink r:id="rId45">
        <w:r w:rsidR="00FE7890" w:rsidRPr="00B63B58">
          <w:rPr>
            <w:rStyle w:val="Hyperlink"/>
            <w:lang w:val="en-US"/>
          </w:rPr>
          <w:t>https://doi.org/10.1016/j.foodchem.2021.130016</w:t>
        </w:r>
      </w:hyperlink>
    </w:p>
    <w:p w14:paraId="35733358" w14:textId="77777777" w:rsidR="00FE7890" w:rsidRPr="00B63B58" w:rsidRDefault="00000000" w:rsidP="00D9222E">
      <w:pPr>
        <w:pStyle w:val="Bibliografia"/>
        <w:spacing w:after="120"/>
        <w:rPr>
          <w:lang w:val="en-US"/>
        </w:rPr>
      </w:pPr>
      <w:bookmarkStart w:id="88" w:name="ref-lotka1926"/>
      <w:bookmarkEnd w:id="87"/>
      <w:r w:rsidRPr="00B63B58">
        <w:rPr>
          <w:lang w:val="en-US"/>
        </w:rPr>
        <w:t xml:space="preserve">Lotka, A. J. (1926). The frequency distribution of scientific productivity. </w:t>
      </w:r>
      <w:r w:rsidRPr="00B63B58">
        <w:rPr>
          <w:i/>
          <w:iCs/>
          <w:lang w:val="en-US"/>
        </w:rPr>
        <w:t>Journal of the Washington Academy of Sciences</w:t>
      </w:r>
      <w:r w:rsidRPr="00B63B58">
        <w:rPr>
          <w:lang w:val="en-US"/>
        </w:rPr>
        <w:t xml:space="preserve">, </w:t>
      </w:r>
      <w:r w:rsidRPr="00B63B58">
        <w:rPr>
          <w:i/>
          <w:iCs/>
          <w:lang w:val="en-US"/>
        </w:rPr>
        <w:t>16</w:t>
      </w:r>
      <w:r w:rsidRPr="00B63B58">
        <w:rPr>
          <w:lang w:val="en-US"/>
        </w:rPr>
        <w:t>(12), 317–323.</w:t>
      </w:r>
    </w:p>
    <w:p w14:paraId="35733359" w14:textId="77777777" w:rsidR="00FE7890" w:rsidRPr="00B63B58" w:rsidRDefault="00000000" w:rsidP="00D9222E">
      <w:pPr>
        <w:pStyle w:val="Bibliografia"/>
        <w:spacing w:after="120"/>
        <w:rPr>
          <w:lang w:val="en-US"/>
        </w:rPr>
      </w:pPr>
      <w:bookmarkStart w:id="89" w:name="ref-Loureiro2002"/>
      <w:bookmarkEnd w:id="88"/>
      <w:r w:rsidRPr="00B63B58">
        <w:rPr>
          <w:lang w:val="en-US"/>
        </w:rPr>
        <w:t xml:space="preserve">Loureiro, M. L., &amp; McCluskey, J. J. (2002). Assessing Consumer Response to Protected Geographical Identification Labeling. </w:t>
      </w:r>
      <w:r w:rsidRPr="00B63B58">
        <w:rPr>
          <w:i/>
          <w:iCs/>
          <w:lang w:val="en-US"/>
        </w:rPr>
        <w:t>Agribusiness</w:t>
      </w:r>
      <w:r w:rsidRPr="00B63B58">
        <w:rPr>
          <w:lang w:val="en-US"/>
        </w:rPr>
        <w:t xml:space="preserve">, </w:t>
      </w:r>
      <w:r w:rsidRPr="00B63B58">
        <w:rPr>
          <w:i/>
          <w:iCs/>
          <w:lang w:val="en-US"/>
        </w:rPr>
        <w:t>16</w:t>
      </w:r>
      <w:r w:rsidRPr="00B63B58">
        <w:rPr>
          <w:lang w:val="en-US"/>
        </w:rPr>
        <w:t xml:space="preserve">(3), 309–320. </w:t>
      </w:r>
      <w:hyperlink r:id="rId46">
        <w:r w:rsidR="00FE7890" w:rsidRPr="00B63B58">
          <w:rPr>
            <w:rStyle w:val="Hyperlink"/>
            <w:lang w:val="en-US"/>
          </w:rPr>
          <w:t>https://doi.org/10.1002/1520-6297(200022)16:3&lt;309::AID-AGR4&gt;3.0.CO;2-G</w:t>
        </w:r>
      </w:hyperlink>
    </w:p>
    <w:p w14:paraId="3573335A" w14:textId="77777777" w:rsidR="00FE7890" w:rsidRPr="00B63B58" w:rsidRDefault="00000000" w:rsidP="00D9222E">
      <w:pPr>
        <w:pStyle w:val="Bibliografia"/>
        <w:spacing w:after="120"/>
        <w:rPr>
          <w:lang w:val="en-US"/>
        </w:rPr>
      </w:pPr>
      <w:bookmarkStart w:id="90" w:name="ref-Loyal2022"/>
      <w:bookmarkEnd w:id="89"/>
      <w:r w:rsidRPr="00B63B58">
        <w:rPr>
          <w:lang w:val="en-US"/>
        </w:rPr>
        <w:t xml:space="preserve">Loyal, J. D., Zhu, R., Cui, Y., &amp; Zhang, X. (2022). Dimension reduction forests: Local variable importance using structured random forests. </w:t>
      </w:r>
      <w:r w:rsidRPr="00B63B58">
        <w:rPr>
          <w:i/>
          <w:iCs/>
          <w:lang w:val="en-US"/>
        </w:rPr>
        <w:t>Journal of Computational and Graphical Statistics</w:t>
      </w:r>
      <w:r w:rsidRPr="00B63B58">
        <w:rPr>
          <w:lang w:val="en-US"/>
        </w:rPr>
        <w:t xml:space="preserve">, </w:t>
      </w:r>
      <w:r w:rsidRPr="00B63B58">
        <w:rPr>
          <w:i/>
          <w:iCs/>
          <w:lang w:val="en-US"/>
        </w:rPr>
        <w:t>31</w:t>
      </w:r>
      <w:r w:rsidRPr="00B63B58">
        <w:rPr>
          <w:lang w:val="en-US"/>
        </w:rPr>
        <w:t xml:space="preserve">(4), 1024–1038. </w:t>
      </w:r>
      <w:hyperlink r:id="rId47">
        <w:r w:rsidR="00FE7890" w:rsidRPr="00B63B58">
          <w:rPr>
            <w:rStyle w:val="Hyperlink"/>
            <w:lang w:val="en-US"/>
          </w:rPr>
          <w:t>https://doi.org/10.1080/10618600.2022.2069777</w:t>
        </w:r>
      </w:hyperlink>
    </w:p>
    <w:p w14:paraId="3573335B" w14:textId="77777777" w:rsidR="00FE7890" w:rsidRPr="00B63B58" w:rsidRDefault="00000000" w:rsidP="00D9222E">
      <w:pPr>
        <w:pStyle w:val="Bibliografia"/>
        <w:spacing w:after="120"/>
        <w:rPr>
          <w:lang w:val="en-US"/>
        </w:rPr>
      </w:pPr>
      <w:bookmarkStart w:id="91" w:name="ref-Luan2020"/>
      <w:bookmarkEnd w:id="90"/>
      <w:r w:rsidRPr="00B63B58">
        <w:rPr>
          <w:lang w:val="en-US"/>
        </w:rPr>
        <w:t xml:space="preserve">Luan, H., Chen, L., &amp; Zhou, K. (2020). Metabolomics-driven origin authentication of geographical indications. </w:t>
      </w:r>
      <w:r w:rsidRPr="00B63B58">
        <w:rPr>
          <w:i/>
          <w:iCs/>
          <w:lang w:val="en-US"/>
        </w:rPr>
        <w:t>Trends in Food Science and Technology</w:t>
      </w:r>
      <w:r w:rsidRPr="00B63B58">
        <w:rPr>
          <w:lang w:val="en-US"/>
        </w:rPr>
        <w:t xml:space="preserve">, </w:t>
      </w:r>
      <w:r w:rsidRPr="00B63B58">
        <w:rPr>
          <w:i/>
          <w:iCs/>
          <w:lang w:val="en-US"/>
        </w:rPr>
        <w:t>95</w:t>
      </w:r>
      <w:r w:rsidRPr="00B63B58">
        <w:rPr>
          <w:lang w:val="en-US"/>
        </w:rPr>
        <w:t xml:space="preserve">, 82–93. </w:t>
      </w:r>
      <w:hyperlink r:id="rId48">
        <w:r w:rsidR="00FE7890" w:rsidRPr="00B63B58">
          <w:rPr>
            <w:rStyle w:val="Hyperlink"/>
            <w:lang w:val="en-US"/>
          </w:rPr>
          <w:t>https://doi.org/10.1016/j.tifs.2019.11.006</w:t>
        </w:r>
      </w:hyperlink>
    </w:p>
    <w:p w14:paraId="3573335C" w14:textId="77777777" w:rsidR="00FE7890" w:rsidRPr="00B63B58" w:rsidRDefault="00000000" w:rsidP="00D9222E">
      <w:pPr>
        <w:pStyle w:val="Bibliografia"/>
        <w:spacing w:after="120"/>
        <w:rPr>
          <w:lang w:val="en-US"/>
        </w:rPr>
      </w:pPr>
      <w:bookmarkStart w:id="92" w:name="ref-Lundberg2017"/>
      <w:bookmarkEnd w:id="91"/>
      <w:r w:rsidRPr="00B63B58">
        <w:rPr>
          <w:lang w:val="de-DE"/>
        </w:rPr>
        <w:t xml:space="preserve">Lundberg, S. M., &amp; Lee, S.-I. (2017). </w:t>
      </w:r>
      <w:r w:rsidRPr="00B63B58">
        <w:rPr>
          <w:lang w:val="en-US"/>
        </w:rPr>
        <w:t xml:space="preserve">A unified approach to interpreting model predictions. </w:t>
      </w:r>
      <w:r w:rsidRPr="00B63B58">
        <w:rPr>
          <w:i/>
          <w:iCs/>
          <w:lang w:val="en-US"/>
        </w:rPr>
        <w:t>Advances in Neural Information Processing Systems</w:t>
      </w:r>
      <w:r w:rsidRPr="00B63B58">
        <w:rPr>
          <w:lang w:val="en-US"/>
        </w:rPr>
        <w:t xml:space="preserve">, </w:t>
      </w:r>
      <w:r w:rsidRPr="00B63B58">
        <w:rPr>
          <w:i/>
          <w:iCs/>
          <w:lang w:val="en-US"/>
        </w:rPr>
        <w:t>30</w:t>
      </w:r>
      <w:r w:rsidRPr="00B63B58">
        <w:rPr>
          <w:lang w:val="en-US"/>
        </w:rPr>
        <w:t xml:space="preserve">, 4765–4774. </w:t>
      </w:r>
      <w:hyperlink r:id="rId49">
        <w:r w:rsidR="00FE7890" w:rsidRPr="00B63B58">
          <w:rPr>
            <w:rStyle w:val="Hyperlink"/>
            <w:lang w:val="en-US"/>
          </w:rPr>
          <w:t>https://papers.nips.cc/paper/7062-a-unified-approach-to-interpreting-model-predictions.pdf</w:t>
        </w:r>
      </w:hyperlink>
    </w:p>
    <w:p w14:paraId="3573335D" w14:textId="77777777" w:rsidR="00FE7890" w:rsidRDefault="00000000" w:rsidP="00D9222E">
      <w:pPr>
        <w:pStyle w:val="Bibliografia"/>
        <w:spacing w:after="120"/>
      </w:pPr>
      <w:bookmarkStart w:id="93" w:name="ref-Malik2023"/>
      <w:bookmarkEnd w:id="92"/>
      <w:r w:rsidRPr="00B63B58">
        <w:rPr>
          <w:lang w:val="de-DE"/>
        </w:rPr>
        <w:lastRenderedPageBreak/>
        <w:t>Malik, H. K., Al-</w:t>
      </w:r>
      <w:proofErr w:type="spellStart"/>
      <w:r w:rsidRPr="00B63B58">
        <w:rPr>
          <w:lang w:val="de-DE"/>
        </w:rPr>
        <w:t>Anber</w:t>
      </w:r>
      <w:proofErr w:type="spellEnd"/>
      <w:r w:rsidRPr="00B63B58">
        <w:rPr>
          <w:lang w:val="de-DE"/>
        </w:rPr>
        <w:t>, N. J., &amp; Al-</w:t>
      </w:r>
      <w:proofErr w:type="spellStart"/>
      <w:r w:rsidRPr="00B63B58">
        <w:rPr>
          <w:lang w:val="de-DE"/>
        </w:rPr>
        <w:t>Mekhlafi</w:t>
      </w:r>
      <w:proofErr w:type="spellEnd"/>
      <w:r w:rsidRPr="00B63B58">
        <w:rPr>
          <w:lang w:val="de-DE"/>
        </w:rPr>
        <w:t xml:space="preserve">, F. A. E. (2023). </w:t>
      </w:r>
      <w:r w:rsidRPr="00B63B58">
        <w:rPr>
          <w:lang w:val="en-US"/>
        </w:rPr>
        <w:t xml:space="preserve">Comparison of feature selection and feature extraction role in dimensionality reduction of big data. </w:t>
      </w:r>
      <w:proofErr w:type="spellStart"/>
      <w:r>
        <w:rPr>
          <w:i/>
          <w:iCs/>
        </w:rPr>
        <w:t>Journal</w:t>
      </w:r>
      <w:proofErr w:type="spellEnd"/>
      <w:r>
        <w:rPr>
          <w:i/>
          <w:iCs/>
        </w:rPr>
        <w:t xml:space="preserve"> of </w:t>
      </w:r>
      <w:proofErr w:type="spellStart"/>
      <w:r>
        <w:rPr>
          <w:i/>
          <w:iCs/>
        </w:rPr>
        <w:t>Techniques</w:t>
      </w:r>
      <w:proofErr w:type="spellEnd"/>
      <w:r>
        <w:t xml:space="preserve">, </w:t>
      </w:r>
      <w:r>
        <w:rPr>
          <w:i/>
          <w:iCs/>
        </w:rPr>
        <w:t>5</w:t>
      </w:r>
      <w:r>
        <w:t>(1), 45–58.</w:t>
      </w:r>
    </w:p>
    <w:p w14:paraId="3573335E" w14:textId="77777777" w:rsidR="00FE7890" w:rsidRDefault="00000000" w:rsidP="00D9222E">
      <w:pPr>
        <w:pStyle w:val="Bibliografia"/>
        <w:spacing w:after="120"/>
      </w:pPr>
      <w:bookmarkStart w:id="94" w:name="ref-MAPA2020"/>
      <w:bookmarkEnd w:id="93"/>
      <w:r>
        <w:t xml:space="preserve">MAPA. (2020). </w:t>
      </w:r>
      <w:r>
        <w:rPr>
          <w:i/>
          <w:iCs/>
        </w:rPr>
        <w:t>O que é Indicação Geográfica (IG)?</w:t>
      </w:r>
      <w:r>
        <w:t xml:space="preserve"> Ministério da Agricultura, Pecuária e Abastecimento. </w:t>
      </w:r>
      <w:hyperlink r:id="rId50">
        <w:r w:rsidR="00FE7890">
          <w:rPr>
            <w:rStyle w:val="Hyperlink"/>
          </w:rPr>
          <w:t>https://www.gov.br/agricultura/pt-br/assuntos/sustentabilidade/indicacao-geografica/o-que-e-indicacao-geografica-ig</w:t>
        </w:r>
      </w:hyperlink>
    </w:p>
    <w:p w14:paraId="3573335F" w14:textId="77777777" w:rsidR="00FE7890" w:rsidRPr="00B63B58" w:rsidRDefault="00000000" w:rsidP="00D9222E">
      <w:pPr>
        <w:pStyle w:val="Bibliografia"/>
        <w:spacing w:after="120"/>
        <w:rPr>
          <w:lang w:val="en-US"/>
        </w:rPr>
      </w:pPr>
      <w:bookmarkStart w:id="95" w:name="ref-Mara2024"/>
      <w:bookmarkEnd w:id="94"/>
      <w:r>
        <w:t xml:space="preserve">Mara, A., Migliorini, M., </w:t>
      </w:r>
      <w:proofErr w:type="spellStart"/>
      <w:r>
        <w:t>Ciulu</w:t>
      </w:r>
      <w:proofErr w:type="spellEnd"/>
      <w:r>
        <w:t xml:space="preserve">, M., </w:t>
      </w:r>
      <w:proofErr w:type="spellStart"/>
      <w:r>
        <w:t>Chignola</w:t>
      </w:r>
      <w:proofErr w:type="spellEnd"/>
      <w:r>
        <w:t xml:space="preserve">, R., &amp; </w:t>
      </w:r>
      <w:proofErr w:type="spellStart"/>
      <w:r>
        <w:t>Egido</w:t>
      </w:r>
      <w:proofErr w:type="spellEnd"/>
      <w:r>
        <w:t xml:space="preserve">, C. (2024). </w:t>
      </w:r>
      <w:r w:rsidRPr="00B63B58">
        <w:rPr>
          <w:lang w:val="en-US"/>
        </w:rPr>
        <w:t xml:space="preserve">Elemental fingerprinting combined with machine learning techniques as a powerful tool for geographical discrimination of honeys from nearby regions. </w:t>
      </w:r>
      <w:r w:rsidRPr="00B63B58">
        <w:rPr>
          <w:i/>
          <w:iCs/>
          <w:lang w:val="en-US"/>
        </w:rPr>
        <w:t>Foods</w:t>
      </w:r>
      <w:r w:rsidRPr="00B63B58">
        <w:rPr>
          <w:lang w:val="en-US"/>
        </w:rPr>
        <w:t xml:space="preserve">, </w:t>
      </w:r>
      <w:r w:rsidRPr="00B63B58">
        <w:rPr>
          <w:i/>
          <w:iCs/>
          <w:lang w:val="en-US"/>
        </w:rPr>
        <w:t>13</w:t>
      </w:r>
      <w:r w:rsidRPr="00B63B58">
        <w:rPr>
          <w:lang w:val="en-US"/>
        </w:rPr>
        <w:t xml:space="preserve">(2), 243. </w:t>
      </w:r>
      <w:hyperlink r:id="rId51">
        <w:r w:rsidR="00FE7890" w:rsidRPr="00B63B58">
          <w:rPr>
            <w:rStyle w:val="Hyperlink"/>
            <w:lang w:val="en-US"/>
          </w:rPr>
          <w:t>https://doi.org/10.3390/foods13020243</w:t>
        </w:r>
      </w:hyperlink>
    </w:p>
    <w:p w14:paraId="35733360" w14:textId="77777777" w:rsidR="00FE7890" w:rsidRPr="00B63B58" w:rsidRDefault="00000000" w:rsidP="00D9222E">
      <w:pPr>
        <w:pStyle w:val="Bibliografia"/>
        <w:spacing w:after="120"/>
        <w:rPr>
          <w:lang w:val="en-US"/>
        </w:rPr>
      </w:pPr>
      <w:bookmarkStart w:id="96" w:name="ref-Mazzucato2013"/>
      <w:bookmarkEnd w:id="95"/>
      <w:r w:rsidRPr="00B63B58">
        <w:rPr>
          <w:lang w:val="en-US"/>
        </w:rPr>
        <w:t xml:space="preserve">Mazzucato, M. (2013). </w:t>
      </w:r>
      <w:r w:rsidRPr="00B63B58">
        <w:rPr>
          <w:i/>
          <w:iCs/>
          <w:lang w:val="en-US"/>
        </w:rPr>
        <w:t>The Entrepreneurial State: Debunking Public vs. Private Sector Myths</w:t>
      </w:r>
      <w:r w:rsidRPr="00B63B58">
        <w:rPr>
          <w:lang w:val="en-US"/>
        </w:rPr>
        <w:t>. Anthem Press.</w:t>
      </w:r>
    </w:p>
    <w:p w14:paraId="35733361" w14:textId="77777777" w:rsidR="00FE7890" w:rsidRPr="00B63B58" w:rsidRDefault="00000000" w:rsidP="00D9222E">
      <w:pPr>
        <w:pStyle w:val="Bibliografia"/>
        <w:spacing w:after="120"/>
        <w:rPr>
          <w:lang w:val="en-US"/>
        </w:rPr>
      </w:pPr>
      <w:bookmarkStart w:id="97" w:name="ref-Meena2024"/>
      <w:bookmarkEnd w:id="96"/>
      <w:r w:rsidRPr="00B63B58">
        <w:rPr>
          <w:lang w:val="en-US"/>
        </w:rPr>
        <w:t xml:space="preserve">Meena, D., Chakraborty, S., &amp; Mitra, J. (2024). Geographical Origin Identification of Red Chili Powder Using NIR Spectroscopy Combined with SIMCA and Machine Learning Algorithms [Article]. </w:t>
      </w:r>
      <w:r w:rsidRPr="00B63B58">
        <w:rPr>
          <w:i/>
          <w:iCs/>
          <w:lang w:val="en-US"/>
        </w:rPr>
        <w:t>Food Analytical Methods</w:t>
      </w:r>
      <w:r w:rsidRPr="00B63B58">
        <w:rPr>
          <w:lang w:val="en-US"/>
        </w:rPr>
        <w:t xml:space="preserve">, </w:t>
      </w:r>
      <w:r w:rsidRPr="00B63B58">
        <w:rPr>
          <w:i/>
          <w:iCs/>
          <w:lang w:val="en-US"/>
        </w:rPr>
        <w:t>17</w:t>
      </w:r>
      <w:r w:rsidRPr="00B63B58">
        <w:rPr>
          <w:lang w:val="en-US"/>
        </w:rPr>
        <w:t xml:space="preserve">(7), 1005–1023. </w:t>
      </w:r>
      <w:hyperlink r:id="rId52">
        <w:r w:rsidR="00FE7890" w:rsidRPr="00B63B58">
          <w:rPr>
            <w:rStyle w:val="Hyperlink"/>
            <w:lang w:val="en-US"/>
          </w:rPr>
          <w:t>https://doi.org/10.1007/s12161-024-02625-6</w:t>
        </w:r>
      </w:hyperlink>
    </w:p>
    <w:p w14:paraId="35733362" w14:textId="77777777" w:rsidR="00FE7890" w:rsidRPr="00B63B58" w:rsidRDefault="00000000" w:rsidP="00D9222E">
      <w:pPr>
        <w:pStyle w:val="Bibliografia"/>
        <w:spacing w:after="120"/>
        <w:rPr>
          <w:lang w:val="en-US"/>
        </w:rPr>
      </w:pPr>
      <w:bookmarkStart w:id="98" w:name="ref-Milojevic2011"/>
      <w:bookmarkEnd w:id="97"/>
      <w:r w:rsidRPr="00B63B58">
        <w:rPr>
          <w:lang w:val="en-US"/>
        </w:rPr>
        <w:t xml:space="preserve">Milojević, S., Sugimoto, C. R., Yan, E., &amp; Ding, Y. (2011). The cognitive structure of library and information science: analysis of article title words. </w:t>
      </w:r>
      <w:r w:rsidRPr="00B63B58">
        <w:rPr>
          <w:i/>
          <w:iCs/>
          <w:lang w:val="en-US"/>
        </w:rPr>
        <w:t xml:space="preserve">Journal of </w:t>
      </w:r>
      <w:proofErr w:type="spellStart"/>
      <w:r w:rsidRPr="00B63B58">
        <w:rPr>
          <w:i/>
          <w:iCs/>
          <w:lang w:val="en-US"/>
        </w:rPr>
        <w:t>Informetrics</w:t>
      </w:r>
      <w:proofErr w:type="spellEnd"/>
      <w:r w:rsidRPr="00B63B58">
        <w:rPr>
          <w:lang w:val="en-US"/>
        </w:rPr>
        <w:t xml:space="preserve">, </w:t>
      </w:r>
      <w:r w:rsidRPr="00B63B58">
        <w:rPr>
          <w:i/>
          <w:iCs/>
          <w:lang w:val="en-US"/>
        </w:rPr>
        <w:t>5</w:t>
      </w:r>
      <w:r w:rsidRPr="00B63B58">
        <w:rPr>
          <w:lang w:val="en-US"/>
        </w:rPr>
        <w:t xml:space="preserve">(3), 436–447. </w:t>
      </w:r>
      <w:hyperlink r:id="rId53">
        <w:r w:rsidR="00FE7890" w:rsidRPr="00B63B58">
          <w:rPr>
            <w:rStyle w:val="Hyperlink"/>
            <w:lang w:val="en-US"/>
          </w:rPr>
          <w:t>https://doi.org/10.1016/j.joi.2011.04.001</w:t>
        </w:r>
      </w:hyperlink>
    </w:p>
    <w:p w14:paraId="35733363" w14:textId="77777777" w:rsidR="00FE7890" w:rsidRPr="00B63B58" w:rsidRDefault="00000000" w:rsidP="00D9222E">
      <w:pPr>
        <w:pStyle w:val="Bibliografia"/>
        <w:spacing w:after="120"/>
        <w:rPr>
          <w:lang w:val="de-DE"/>
        </w:rPr>
      </w:pPr>
      <w:bookmarkStart w:id="99" w:name="ref-Mohammadi2024"/>
      <w:bookmarkEnd w:id="98"/>
      <w:r w:rsidRPr="00B63B58">
        <w:rPr>
          <w:lang w:val="en-US"/>
        </w:rPr>
        <w:t xml:space="preserve">Mohammadi, N., </w:t>
      </w:r>
      <w:proofErr w:type="spellStart"/>
      <w:r w:rsidRPr="00B63B58">
        <w:rPr>
          <w:lang w:val="en-US"/>
        </w:rPr>
        <w:t>Esteki</w:t>
      </w:r>
      <w:proofErr w:type="spellEnd"/>
      <w:r w:rsidRPr="00B63B58">
        <w:rPr>
          <w:lang w:val="en-US"/>
        </w:rPr>
        <w:t xml:space="preserve">, M., &amp; Simal-Gandara, J. (2024). Machine learning for authentication of black tea from narrow-geographic origins: Combination of PCA and PLS with LDA and SVM classifiers. </w:t>
      </w:r>
      <w:r w:rsidRPr="00B63B58">
        <w:rPr>
          <w:i/>
          <w:iCs/>
          <w:lang w:val="de-DE"/>
        </w:rPr>
        <w:t>Lebensmittel-Wissenschaft and Technologie</w:t>
      </w:r>
      <w:r w:rsidRPr="00B63B58">
        <w:rPr>
          <w:lang w:val="de-DE"/>
        </w:rPr>
        <w:t xml:space="preserve">, </w:t>
      </w:r>
      <w:r w:rsidRPr="00B63B58">
        <w:rPr>
          <w:i/>
          <w:iCs/>
          <w:lang w:val="de-DE"/>
        </w:rPr>
        <w:t>190</w:t>
      </w:r>
      <w:r w:rsidRPr="00B63B58">
        <w:rPr>
          <w:lang w:val="de-DE"/>
        </w:rPr>
        <w:t xml:space="preserve">, 115–886. </w:t>
      </w:r>
      <w:hyperlink r:id="rId54">
        <w:r w:rsidR="00FE7890" w:rsidRPr="00B63B58">
          <w:rPr>
            <w:rStyle w:val="Hyperlink"/>
            <w:lang w:val="de-DE"/>
          </w:rPr>
          <w:t>https://doi.org/10.1016/j.lwt.2024.115886</w:t>
        </w:r>
      </w:hyperlink>
    </w:p>
    <w:p w14:paraId="35733364" w14:textId="77777777" w:rsidR="00FE7890" w:rsidRPr="00B63B58" w:rsidRDefault="00000000" w:rsidP="00D9222E">
      <w:pPr>
        <w:pStyle w:val="Bibliografia"/>
        <w:spacing w:after="120"/>
        <w:rPr>
          <w:lang w:val="en-US"/>
        </w:rPr>
      </w:pPr>
      <w:bookmarkStart w:id="100" w:name="ref-MUNN2018"/>
      <w:bookmarkEnd w:id="99"/>
      <w:proofErr w:type="spellStart"/>
      <w:r w:rsidRPr="00B63B58">
        <w:rPr>
          <w:lang w:val="de-DE"/>
        </w:rPr>
        <w:t>Munn</w:t>
      </w:r>
      <w:proofErr w:type="spellEnd"/>
      <w:r w:rsidRPr="00B63B58">
        <w:rPr>
          <w:lang w:val="de-DE"/>
        </w:rPr>
        <w:t xml:space="preserve">, Z. et al. </w:t>
      </w:r>
      <w:r w:rsidRPr="008B514D">
        <w:rPr>
          <w:lang w:val="de-DE"/>
        </w:rPr>
        <w:t xml:space="preserve">(2018). </w:t>
      </w:r>
      <w:r w:rsidRPr="00B63B58">
        <w:rPr>
          <w:lang w:val="en-US"/>
        </w:rPr>
        <w:t xml:space="preserve">Systematic review or scoping review? Guidance for authors when choosing between a systematic or scoping review approach. </w:t>
      </w:r>
      <w:r w:rsidRPr="00B63B58">
        <w:rPr>
          <w:i/>
          <w:iCs/>
          <w:lang w:val="en-US"/>
        </w:rPr>
        <w:t>BMC Medical Research Methodology</w:t>
      </w:r>
      <w:r w:rsidRPr="00B63B58">
        <w:rPr>
          <w:lang w:val="en-US"/>
        </w:rPr>
        <w:t xml:space="preserve">, </w:t>
      </w:r>
      <w:r w:rsidRPr="00B63B58">
        <w:rPr>
          <w:i/>
          <w:iCs/>
          <w:lang w:val="en-US"/>
        </w:rPr>
        <w:t>18</w:t>
      </w:r>
      <w:r w:rsidRPr="00B63B58">
        <w:rPr>
          <w:lang w:val="en-US"/>
        </w:rPr>
        <w:t>(1), 143.</w:t>
      </w:r>
    </w:p>
    <w:p w14:paraId="35733365" w14:textId="77777777" w:rsidR="00FE7890" w:rsidRPr="00B63B58" w:rsidRDefault="00000000" w:rsidP="00D9222E">
      <w:pPr>
        <w:pStyle w:val="Bibliografia"/>
        <w:spacing w:after="120"/>
        <w:rPr>
          <w:lang w:val="en-US"/>
        </w:rPr>
      </w:pPr>
      <w:bookmarkStart w:id="101" w:name="ref-OforiBoateng2024"/>
      <w:bookmarkEnd w:id="100"/>
      <w:r w:rsidRPr="00B63B58">
        <w:rPr>
          <w:lang w:val="en-US"/>
        </w:rPr>
        <w:t xml:space="preserve">Ofori-Boateng, R., Aceves-Martins, M., </w:t>
      </w:r>
      <w:proofErr w:type="spellStart"/>
      <w:r w:rsidRPr="00B63B58">
        <w:rPr>
          <w:lang w:val="en-US"/>
        </w:rPr>
        <w:t>Wiratunga</w:t>
      </w:r>
      <w:proofErr w:type="spellEnd"/>
      <w:r w:rsidRPr="00B63B58">
        <w:rPr>
          <w:lang w:val="en-US"/>
        </w:rPr>
        <w:t xml:space="preserve">, N., &amp; Moreno-Garcia, C. F. (2024). Towards the automation of systematic reviews using natural language processing, machine learning, and deep learning: a comprehensive review. </w:t>
      </w:r>
      <w:r w:rsidRPr="00B63B58">
        <w:rPr>
          <w:i/>
          <w:iCs/>
          <w:lang w:val="en-US"/>
        </w:rPr>
        <w:t>Artificial Intelligence Review</w:t>
      </w:r>
      <w:r w:rsidRPr="00B63B58">
        <w:rPr>
          <w:lang w:val="en-US"/>
        </w:rPr>
        <w:t xml:space="preserve">. </w:t>
      </w:r>
      <w:hyperlink r:id="rId55">
        <w:r w:rsidR="00FE7890" w:rsidRPr="00B63B58">
          <w:rPr>
            <w:rStyle w:val="Hyperlink"/>
            <w:lang w:val="en-US"/>
          </w:rPr>
          <w:t>https://doi.org/10.1007/s10462-024-10844-w</w:t>
        </w:r>
      </w:hyperlink>
    </w:p>
    <w:p w14:paraId="35733366" w14:textId="77777777" w:rsidR="00FE7890" w:rsidRPr="00B63B58" w:rsidRDefault="00000000" w:rsidP="00D9222E">
      <w:pPr>
        <w:pStyle w:val="Bibliografia"/>
        <w:spacing w:after="120"/>
        <w:rPr>
          <w:lang w:val="de-DE"/>
        </w:rPr>
      </w:pPr>
      <w:bookmarkStart w:id="102" w:name="ref-WIPO2003"/>
      <w:bookmarkEnd w:id="101"/>
      <w:r w:rsidRPr="00B63B58">
        <w:rPr>
          <w:lang w:val="en-US"/>
        </w:rPr>
        <w:t xml:space="preserve">Organization, W. I. P. (2003). </w:t>
      </w:r>
      <w:r w:rsidRPr="00B63B58">
        <w:rPr>
          <w:i/>
          <w:iCs/>
          <w:lang w:val="en-US"/>
        </w:rPr>
        <w:t>The Economics of Geographical Indications</w:t>
      </w:r>
      <w:r w:rsidRPr="00B63B58">
        <w:rPr>
          <w:lang w:val="en-US"/>
        </w:rPr>
        <w:t xml:space="preserve">. </w:t>
      </w:r>
      <w:hyperlink r:id="rId56">
        <w:r w:rsidR="00FE7890" w:rsidRPr="00B63B58">
          <w:rPr>
            <w:rStyle w:val="Hyperlink"/>
            <w:lang w:val="de-DE"/>
          </w:rPr>
          <w:t>https://www.wipo.int/</w:t>
        </w:r>
      </w:hyperlink>
    </w:p>
    <w:p w14:paraId="35733367" w14:textId="77777777" w:rsidR="00FE7890" w:rsidRPr="00B63B58" w:rsidRDefault="00000000" w:rsidP="00D9222E">
      <w:pPr>
        <w:pStyle w:val="Bibliografia"/>
        <w:spacing w:after="120"/>
        <w:rPr>
          <w:lang w:val="en-US"/>
        </w:rPr>
      </w:pPr>
      <w:bookmarkStart w:id="103" w:name="ref-Peng2025"/>
      <w:bookmarkEnd w:id="102"/>
      <w:r w:rsidRPr="00B63B58">
        <w:rPr>
          <w:lang w:val="de-DE"/>
        </w:rPr>
        <w:t xml:space="preserve">Peng, Z., Wu, W., Wu, C., Zhao, Z., Chen, J., &amp; Zhang, J. (2025). </w:t>
      </w:r>
      <w:r w:rsidRPr="00B63B58">
        <w:rPr>
          <w:lang w:val="en-US"/>
        </w:rPr>
        <w:t xml:space="preserve">Machine learning based on metabolomics to discriminate Wuyi rock tea production areas and “rock flavor” substances [Article]. </w:t>
      </w:r>
      <w:r w:rsidRPr="00B63B58">
        <w:rPr>
          <w:i/>
          <w:iCs/>
          <w:lang w:val="en-US"/>
        </w:rPr>
        <w:t>Food Chemistry: X</w:t>
      </w:r>
      <w:r w:rsidRPr="00B63B58">
        <w:rPr>
          <w:lang w:val="en-US"/>
        </w:rPr>
        <w:t xml:space="preserve">, </w:t>
      </w:r>
      <w:r w:rsidRPr="00B63B58">
        <w:rPr>
          <w:i/>
          <w:iCs/>
          <w:lang w:val="en-US"/>
        </w:rPr>
        <w:t>31</w:t>
      </w:r>
      <w:r w:rsidRPr="00B63B58">
        <w:rPr>
          <w:lang w:val="en-US"/>
        </w:rPr>
        <w:t xml:space="preserve">. </w:t>
      </w:r>
      <w:hyperlink r:id="rId57">
        <w:r w:rsidR="00FE7890" w:rsidRPr="00B63B58">
          <w:rPr>
            <w:rStyle w:val="Hyperlink"/>
            <w:lang w:val="en-US"/>
          </w:rPr>
          <w:t>https://doi.org/10.1016/j.fochx.2025.103194</w:t>
        </w:r>
      </w:hyperlink>
    </w:p>
    <w:p w14:paraId="35733368" w14:textId="77777777" w:rsidR="00FE7890" w:rsidRPr="00B63B58" w:rsidRDefault="00000000" w:rsidP="00D9222E">
      <w:pPr>
        <w:pStyle w:val="Bibliografia"/>
        <w:spacing w:after="120"/>
        <w:rPr>
          <w:lang w:val="en-US"/>
        </w:rPr>
      </w:pPr>
      <w:bookmarkStart w:id="104" w:name="ref-pluye2009"/>
      <w:bookmarkEnd w:id="103"/>
      <w:proofErr w:type="spellStart"/>
      <w:r w:rsidRPr="00B63B58">
        <w:rPr>
          <w:lang w:val="en-US"/>
        </w:rPr>
        <w:lastRenderedPageBreak/>
        <w:t>Pluye</w:t>
      </w:r>
      <w:proofErr w:type="spellEnd"/>
      <w:r w:rsidRPr="00B63B58">
        <w:rPr>
          <w:lang w:val="en-US"/>
        </w:rPr>
        <w:t xml:space="preserve">, P., Gagnon, M.-P., Griffiths, F., &amp; Johnson-Lafleur, J. (2009). A scoring system for appraising mixed methods research, and concomitantly appraising qualitative, quantitative and mixed methods primary studies in mixed studies reviews. </w:t>
      </w:r>
      <w:r w:rsidRPr="00B63B58">
        <w:rPr>
          <w:i/>
          <w:iCs/>
          <w:lang w:val="en-US"/>
        </w:rPr>
        <w:t>International Journal of Nursing Studies</w:t>
      </w:r>
      <w:r w:rsidRPr="00B63B58">
        <w:rPr>
          <w:lang w:val="en-US"/>
        </w:rPr>
        <w:t xml:space="preserve">, </w:t>
      </w:r>
      <w:r w:rsidRPr="00B63B58">
        <w:rPr>
          <w:i/>
          <w:iCs/>
          <w:lang w:val="en-US"/>
        </w:rPr>
        <w:t>46</w:t>
      </w:r>
      <w:r w:rsidRPr="00B63B58">
        <w:rPr>
          <w:lang w:val="en-US"/>
        </w:rPr>
        <w:t>(4), 529–546.</w:t>
      </w:r>
    </w:p>
    <w:p w14:paraId="35733369" w14:textId="77777777" w:rsidR="00FE7890" w:rsidRPr="00B63B58" w:rsidRDefault="00000000" w:rsidP="00D9222E">
      <w:pPr>
        <w:pStyle w:val="Bibliografia"/>
        <w:spacing w:after="120"/>
        <w:rPr>
          <w:lang w:val="en-US"/>
        </w:rPr>
      </w:pPr>
      <w:bookmarkStart w:id="105" w:name="ref-Ramos2025"/>
      <w:bookmarkEnd w:id="104"/>
      <w:r w:rsidRPr="00B63B58">
        <w:rPr>
          <w:lang w:val="en-US"/>
        </w:rPr>
        <w:t xml:space="preserve">Ramos, H. A., Aguiar, V. M., Fernandes, D. D. D. S., &amp; </w:t>
      </w:r>
      <w:proofErr w:type="spellStart"/>
      <w:r w:rsidRPr="00B63B58">
        <w:rPr>
          <w:lang w:val="en-US"/>
        </w:rPr>
        <w:t>Véras</w:t>
      </w:r>
      <w:proofErr w:type="spellEnd"/>
      <w:r w:rsidRPr="00B63B58">
        <w:rPr>
          <w:lang w:val="en-US"/>
        </w:rPr>
        <w:t xml:space="preserve">, G. (2025). Pattern recognition in instrumental data analysis of fruit spirits: </w:t>
      </w:r>
      <w:proofErr w:type="gramStart"/>
      <w:r w:rsidRPr="00B63B58">
        <w:rPr>
          <w:lang w:val="en-US"/>
        </w:rPr>
        <w:t>current status</w:t>
      </w:r>
      <w:proofErr w:type="gramEnd"/>
      <w:r w:rsidRPr="00B63B58">
        <w:rPr>
          <w:lang w:val="en-US"/>
        </w:rPr>
        <w:t xml:space="preserve"> and future perspectives [Review]. </w:t>
      </w:r>
      <w:r w:rsidRPr="00B63B58">
        <w:rPr>
          <w:i/>
          <w:iCs/>
          <w:lang w:val="en-US"/>
        </w:rPr>
        <w:t>Trends in Food Science and Technology</w:t>
      </w:r>
      <w:r w:rsidRPr="00B63B58">
        <w:rPr>
          <w:lang w:val="en-US"/>
        </w:rPr>
        <w:t xml:space="preserve">, </w:t>
      </w:r>
      <w:r w:rsidRPr="00B63B58">
        <w:rPr>
          <w:i/>
          <w:iCs/>
          <w:lang w:val="en-US"/>
        </w:rPr>
        <w:t>166</w:t>
      </w:r>
      <w:r w:rsidRPr="00B63B58">
        <w:rPr>
          <w:lang w:val="en-US"/>
        </w:rPr>
        <w:t xml:space="preserve">. </w:t>
      </w:r>
      <w:hyperlink r:id="rId58">
        <w:r w:rsidR="00FE7890" w:rsidRPr="00B63B58">
          <w:rPr>
            <w:rStyle w:val="Hyperlink"/>
            <w:lang w:val="en-US"/>
          </w:rPr>
          <w:t>https://doi.org/10.1016/j.tifs.2025.105405</w:t>
        </w:r>
      </w:hyperlink>
    </w:p>
    <w:p w14:paraId="3573336A" w14:textId="77777777" w:rsidR="00FE7890" w:rsidRPr="00B63B58" w:rsidRDefault="00000000" w:rsidP="00D9222E">
      <w:pPr>
        <w:pStyle w:val="Bibliografia"/>
        <w:spacing w:after="120"/>
        <w:rPr>
          <w:lang w:val="en-US"/>
        </w:rPr>
      </w:pPr>
      <w:bookmarkStart w:id="106" w:name="ref-rana2023"/>
      <w:bookmarkEnd w:id="105"/>
      <w:r w:rsidRPr="00B63B58">
        <w:rPr>
          <w:lang w:val="en-US"/>
        </w:rPr>
        <w:t xml:space="preserve">Rana, P., Kumar, S., &amp; Singh, A. (2023). Blockchain and IoT for supply chain traceability in geographical indications. </w:t>
      </w:r>
      <w:r w:rsidRPr="00B63B58">
        <w:rPr>
          <w:i/>
          <w:iCs/>
          <w:lang w:val="en-US"/>
        </w:rPr>
        <w:t>Sensors</w:t>
      </w:r>
      <w:r w:rsidRPr="00B63B58">
        <w:rPr>
          <w:lang w:val="en-US"/>
        </w:rPr>
        <w:t xml:space="preserve">, </w:t>
      </w:r>
      <w:r w:rsidRPr="00B63B58">
        <w:rPr>
          <w:i/>
          <w:iCs/>
          <w:lang w:val="en-US"/>
        </w:rPr>
        <w:t>23</w:t>
      </w:r>
      <w:r w:rsidRPr="00B63B58">
        <w:rPr>
          <w:lang w:val="en-US"/>
        </w:rPr>
        <w:t xml:space="preserve">(9), 4527. </w:t>
      </w:r>
      <w:hyperlink r:id="rId59">
        <w:r w:rsidR="00FE7890" w:rsidRPr="00B63B58">
          <w:rPr>
            <w:rStyle w:val="Hyperlink"/>
            <w:lang w:val="en-US"/>
          </w:rPr>
          <w:t>https://doi.org/10.3390/s23094527</w:t>
        </w:r>
      </w:hyperlink>
    </w:p>
    <w:p w14:paraId="3573336B" w14:textId="77777777" w:rsidR="00FE7890" w:rsidRPr="00B63B58" w:rsidRDefault="00000000" w:rsidP="00D9222E">
      <w:pPr>
        <w:pStyle w:val="Bibliografia"/>
        <w:spacing w:after="120"/>
        <w:rPr>
          <w:lang w:val="en-US"/>
        </w:rPr>
      </w:pPr>
      <w:bookmarkStart w:id="107" w:name="ref-Ratnasekhar2025"/>
      <w:bookmarkEnd w:id="106"/>
      <w:proofErr w:type="spellStart"/>
      <w:r w:rsidRPr="00B63B58">
        <w:rPr>
          <w:lang w:val="en-US"/>
        </w:rPr>
        <w:t>Ratnasekhar</w:t>
      </w:r>
      <w:proofErr w:type="spellEnd"/>
      <w:r w:rsidRPr="00B63B58">
        <w:rPr>
          <w:lang w:val="en-US"/>
        </w:rPr>
        <w:t xml:space="preserve">, C. H., Rai, A. K., </w:t>
      </w:r>
      <w:proofErr w:type="spellStart"/>
      <w:r w:rsidRPr="00B63B58">
        <w:rPr>
          <w:lang w:val="en-US"/>
        </w:rPr>
        <w:t>Rakwal</w:t>
      </w:r>
      <w:proofErr w:type="spellEnd"/>
      <w:r w:rsidRPr="00B63B58">
        <w:rPr>
          <w:lang w:val="en-US"/>
        </w:rPr>
        <w:t xml:space="preserve">, P., Khan, S., Verma, A. K., Mukhopadhyay, P., Rathor, P., </w:t>
      </w:r>
      <w:proofErr w:type="spellStart"/>
      <w:r w:rsidRPr="00B63B58">
        <w:rPr>
          <w:lang w:val="en-US"/>
        </w:rPr>
        <w:t>Hinghrani</w:t>
      </w:r>
      <w:proofErr w:type="spellEnd"/>
      <w:r w:rsidRPr="00B63B58">
        <w:rPr>
          <w:lang w:val="en-US"/>
        </w:rPr>
        <w:t xml:space="preserve">, L., Birse, N., Trivedi, R., &amp; Trivedi, </w:t>
      </w:r>
      <w:proofErr w:type="gramStart"/>
      <w:r w:rsidRPr="00B63B58">
        <w:rPr>
          <w:lang w:val="en-US"/>
        </w:rPr>
        <w:t>P. K</w:t>
      </w:r>
      <w:proofErr w:type="gramEnd"/>
      <w:r w:rsidRPr="00B63B58">
        <w:rPr>
          <w:lang w:val="en-US"/>
        </w:rPr>
        <w:t xml:space="preserve">. (2025). Machine </w:t>
      </w:r>
      <w:proofErr w:type="gramStart"/>
      <w:r w:rsidRPr="00B63B58">
        <w:rPr>
          <w:lang w:val="en-US"/>
        </w:rPr>
        <w:t>learning-guided</w:t>
      </w:r>
      <w:proofErr w:type="gramEnd"/>
      <w:r w:rsidRPr="00B63B58">
        <w:rPr>
          <w:lang w:val="en-US"/>
        </w:rPr>
        <w:t xml:space="preserve"> Orbitrap-HRAMS-based metabolomic fingerprinting for geographical origin, variety and tissue specific authentication, and adulteration detection of turmeric and ashwagandha. </w:t>
      </w:r>
      <w:r w:rsidRPr="00B63B58">
        <w:rPr>
          <w:i/>
          <w:iCs/>
          <w:lang w:val="en-US"/>
        </w:rPr>
        <w:t>Food Chemistry</w:t>
      </w:r>
      <w:r w:rsidRPr="00B63B58">
        <w:rPr>
          <w:lang w:val="en-US"/>
        </w:rPr>
        <w:t xml:space="preserve">, </w:t>
      </w:r>
      <w:r w:rsidRPr="00B63B58">
        <w:rPr>
          <w:i/>
          <w:iCs/>
          <w:lang w:val="en-US"/>
        </w:rPr>
        <w:t>482</w:t>
      </w:r>
      <w:r w:rsidRPr="00B63B58">
        <w:rPr>
          <w:lang w:val="en-US"/>
        </w:rPr>
        <w:t xml:space="preserve">, 144–078. </w:t>
      </w:r>
      <w:hyperlink r:id="rId60">
        <w:r w:rsidR="00FE7890" w:rsidRPr="00B63B58">
          <w:rPr>
            <w:rStyle w:val="Hyperlink"/>
            <w:lang w:val="en-US"/>
          </w:rPr>
          <w:t>https://doi.org/10.1016/j.foodchem.2025.144078</w:t>
        </w:r>
      </w:hyperlink>
    </w:p>
    <w:p w14:paraId="3573336C" w14:textId="77777777" w:rsidR="00FE7890" w:rsidRPr="00B63B58" w:rsidRDefault="00000000" w:rsidP="00D9222E">
      <w:pPr>
        <w:pStyle w:val="Bibliografia"/>
        <w:spacing w:after="120"/>
        <w:rPr>
          <w:lang w:val="en-US"/>
        </w:rPr>
      </w:pPr>
      <w:bookmarkStart w:id="108" w:name="ref-Rebiai2022"/>
      <w:bookmarkEnd w:id="107"/>
      <w:proofErr w:type="spellStart"/>
      <w:r w:rsidRPr="00B63B58">
        <w:rPr>
          <w:lang w:val="en-US"/>
        </w:rPr>
        <w:t>Rebiai</w:t>
      </w:r>
      <w:proofErr w:type="spellEnd"/>
      <w:r w:rsidRPr="00B63B58">
        <w:rPr>
          <w:lang w:val="en-US"/>
        </w:rPr>
        <w:t xml:space="preserve">, A., </w:t>
      </w:r>
      <w:proofErr w:type="spellStart"/>
      <w:r w:rsidRPr="00B63B58">
        <w:rPr>
          <w:lang w:val="en-US"/>
        </w:rPr>
        <w:t>Hemmami</w:t>
      </w:r>
      <w:proofErr w:type="spellEnd"/>
      <w:r w:rsidRPr="00B63B58">
        <w:rPr>
          <w:lang w:val="en-US"/>
        </w:rPr>
        <w:t xml:space="preserve">, H., </w:t>
      </w:r>
      <w:proofErr w:type="spellStart"/>
      <w:r w:rsidRPr="00B63B58">
        <w:rPr>
          <w:lang w:val="en-US"/>
        </w:rPr>
        <w:t>Zeghoud</w:t>
      </w:r>
      <w:proofErr w:type="spellEnd"/>
      <w:r w:rsidRPr="00B63B58">
        <w:rPr>
          <w:lang w:val="en-US"/>
        </w:rPr>
        <w:t xml:space="preserve">, S., &amp; Semara, L. (2022). Current application of chemometrics analysis in authentication of natural products: a review. </w:t>
      </w:r>
      <w:r w:rsidRPr="00B63B58">
        <w:rPr>
          <w:i/>
          <w:iCs/>
          <w:lang w:val="en-US"/>
        </w:rPr>
        <w:t>Current Chemistry and Hydrogen Energy</w:t>
      </w:r>
      <w:r w:rsidRPr="00B63B58">
        <w:rPr>
          <w:lang w:val="en-US"/>
        </w:rPr>
        <w:t xml:space="preserve">, </w:t>
      </w:r>
      <w:r w:rsidRPr="00B63B58">
        <w:rPr>
          <w:i/>
          <w:iCs/>
          <w:lang w:val="en-US"/>
        </w:rPr>
        <w:t>10</w:t>
      </w:r>
      <w:r w:rsidRPr="00B63B58">
        <w:rPr>
          <w:lang w:val="en-US"/>
        </w:rPr>
        <w:t xml:space="preserve">(3), 241–259. </w:t>
      </w:r>
      <w:hyperlink r:id="rId61">
        <w:r w:rsidR="00FE7890" w:rsidRPr="00B63B58">
          <w:rPr>
            <w:rStyle w:val="Hyperlink"/>
            <w:lang w:val="en-US"/>
          </w:rPr>
          <w:t>https://doi.org/10.2174/1386207324666210309102239</w:t>
        </w:r>
      </w:hyperlink>
    </w:p>
    <w:p w14:paraId="3573336D" w14:textId="77777777" w:rsidR="00FE7890" w:rsidRPr="00B63B58" w:rsidRDefault="00000000" w:rsidP="00D9222E">
      <w:pPr>
        <w:pStyle w:val="Bibliografia"/>
        <w:spacing w:after="120"/>
        <w:rPr>
          <w:lang w:val="en-US"/>
        </w:rPr>
      </w:pPr>
      <w:bookmarkStart w:id="109" w:name="ref-rodrigues2022"/>
      <w:bookmarkEnd w:id="108"/>
      <w:r w:rsidRPr="00B63B58">
        <w:rPr>
          <w:lang w:val="en-US"/>
        </w:rPr>
        <w:t xml:space="preserve">Rodrigues, N., Camelo, V., &amp; Silva, E. (2022). Rapid quality assessment of coffee using NIR spectroscopy and machine learning. </w:t>
      </w:r>
      <w:r w:rsidRPr="00B63B58">
        <w:rPr>
          <w:i/>
          <w:iCs/>
          <w:lang w:val="en-US"/>
        </w:rPr>
        <w:t>Journal of Food Engineering</w:t>
      </w:r>
      <w:r w:rsidRPr="00B63B58">
        <w:rPr>
          <w:lang w:val="en-US"/>
        </w:rPr>
        <w:t xml:space="preserve">, </w:t>
      </w:r>
      <w:r w:rsidRPr="00B63B58">
        <w:rPr>
          <w:i/>
          <w:iCs/>
          <w:lang w:val="en-US"/>
        </w:rPr>
        <w:t>323</w:t>
      </w:r>
      <w:r w:rsidRPr="00B63B58">
        <w:rPr>
          <w:lang w:val="en-US"/>
        </w:rPr>
        <w:t xml:space="preserve">, 111378. </w:t>
      </w:r>
      <w:hyperlink r:id="rId62">
        <w:r w:rsidR="00FE7890" w:rsidRPr="00B63B58">
          <w:rPr>
            <w:rStyle w:val="Hyperlink"/>
            <w:lang w:val="en-US"/>
          </w:rPr>
          <w:t>https://doi.org/10.1016/j.jfoodeng.2022.111378</w:t>
        </w:r>
      </w:hyperlink>
    </w:p>
    <w:p w14:paraId="3573336E" w14:textId="77777777" w:rsidR="00FE7890" w:rsidRPr="00B63B58" w:rsidRDefault="00000000" w:rsidP="00D9222E">
      <w:pPr>
        <w:pStyle w:val="Bibliografia"/>
        <w:spacing w:after="120"/>
        <w:rPr>
          <w:lang w:val="en-US"/>
        </w:rPr>
      </w:pPr>
      <w:bookmarkStart w:id="110" w:name="ref-SAATY1991"/>
      <w:bookmarkEnd w:id="109"/>
      <w:r w:rsidRPr="00B63B58">
        <w:rPr>
          <w:lang w:val="en-US"/>
        </w:rPr>
        <w:t xml:space="preserve">Saaty, T. L. (1991). </w:t>
      </w:r>
      <w:r w:rsidRPr="00B63B58">
        <w:rPr>
          <w:i/>
          <w:iCs/>
          <w:lang w:val="en-US"/>
        </w:rPr>
        <w:t>The Analytic Hierarchy Process: Planning, Priority Setting, Resource Allocation</w:t>
      </w:r>
      <w:r w:rsidRPr="00B63B58">
        <w:rPr>
          <w:lang w:val="en-US"/>
        </w:rPr>
        <w:t>. McGraw-Hill.</w:t>
      </w:r>
    </w:p>
    <w:p w14:paraId="3573336F" w14:textId="77777777" w:rsidR="00FE7890" w:rsidRPr="00B63B58" w:rsidRDefault="00000000" w:rsidP="00D9222E">
      <w:pPr>
        <w:pStyle w:val="Bibliografia"/>
        <w:spacing w:after="120"/>
        <w:rPr>
          <w:lang w:val="en-US"/>
        </w:rPr>
      </w:pPr>
      <w:bookmarkStart w:id="111" w:name="ref-Salam2021"/>
      <w:bookmarkEnd w:id="110"/>
      <w:r w:rsidRPr="00B63B58">
        <w:rPr>
          <w:lang w:val="en-US"/>
        </w:rPr>
        <w:t xml:space="preserve">Salam, M. A., Azar, A. T., Elgendy, M. S., et al. (2021). The effect of different dimensionality reduction techniques on machine learning overfitting </w:t>
      </w:r>
      <w:proofErr w:type="gramStart"/>
      <w:r w:rsidRPr="00B63B58">
        <w:rPr>
          <w:lang w:val="en-US"/>
        </w:rPr>
        <w:t>problem</w:t>
      </w:r>
      <w:proofErr w:type="gramEnd"/>
      <w:r w:rsidRPr="00B63B58">
        <w:rPr>
          <w:lang w:val="en-US"/>
        </w:rPr>
        <w:t xml:space="preserve">. </w:t>
      </w:r>
      <w:r w:rsidRPr="00B63B58">
        <w:rPr>
          <w:i/>
          <w:iCs/>
          <w:lang w:val="en-US"/>
        </w:rPr>
        <w:t>International Journal of Advanced Computer Science and Applications</w:t>
      </w:r>
      <w:r w:rsidRPr="00B63B58">
        <w:rPr>
          <w:lang w:val="en-US"/>
        </w:rPr>
        <w:t xml:space="preserve">, </w:t>
      </w:r>
      <w:r w:rsidRPr="00B63B58">
        <w:rPr>
          <w:i/>
          <w:iCs/>
          <w:lang w:val="en-US"/>
        </w:rPr>
        <w:t>12</w:t>
      </w:r>
      <w:r w:rsidRPr="00B63B58">
        <w:rPr>
          <w:lang w:val="en-US"/>
        </w:rPr>
        <w:t>(6), 95–112.</w:t>
      </w:r>
    </w:p>
    <w:p w14:paraId="35733370" w14:textId="77777777" w:rsidR="00FE7890" w:rsidRDefault="00000000" w:rsidP="00D9222E">
      <w:pPr>
        <w:pStyle w:val="Bibliografia"/>
        <w:spacing w:after="120"/>
      </w:pPr>
      <w:bookmarkStart w:id="112" w:name="ref-Santoma2025"/>
      <w:bookmarkEnd w:id="111"/>
      <w:proofErr w:type="spellStart"/>
      <w:r w:rsidRPr="00B63B58">
        <w:rPr>
          <w:lang w:val="en-US"/>
        </w:rPr>
        <w:t>Santomá</w:t>
      </w:r>
      <w:proofErr w:type="spellEnd"/>
      <w:r w:rsidRPr="00B63B58">
        <w:rPr>
          <w:lang w:val="en-US"/>
        </w:rPr>
        <w:t xml:space="preserve">-Martí, A., </w:t>
      </w:r>
      <w:proofErr w:type="spellStart"/>
      <w:r w:rsidRPr="00B63B58">
        <w:rPr>
          <w:lang w:val="en-US"/>
        </w:rPr>
        <w:t>Aijon</w:t>
      </w:r>
      <w:proofErr w:type="spellEnd"/>
      <w:r w:rsidRPr="00B63B58">
        <w:rPr>
          <w:lang w:val="en-US"/>
        </w:rPr>
        <w:t xml:space="preserve">, N., &amp; Núñez, Ó. (2025). Meat Authentication Based on Animal Species and Other Quality Meat Attributes (Protected Geographical Indication, Organic Production, and Halal and Kosher Products) by HPLC–UV Fingerprinting and Chemometrics. </w:t>
      </w:r>
      <w:r>
        <w:rPr>
          <w:i/>
          <w:iCs/>
        </w:rPr>
        <w:t xml:space="preserve">Food </w:t>
      </w:r>
      <w:proofErr w:type="spellStart"/>
      <w:r>
        <w:rPr>
          <w:i/>
          <w:iCs/>
        </w:rPr>
        <w:t>Analytical</w:t>
      </w:r>
      <w:proofErr w:type="spellEnd"/>
      <w:r>
        <w:rPr>
          <w:i/>
          <w:iCs/>
        </w:rPr>
        <w:t xml:space="preserve"> </w:t>
      </w:r>
      <w:proofErr w:type="spellStart"/>
      <w:r>
        <w:rPr>
          <w:i/>
          <w:iCs/>
        </w:rPr>
        <w:t>Methods</w:t>
      </w:r>
      <w:proofErr w:type="spellEnd"/>
      <w:r>
        <w:t xml:space="preserve">, </w:t>
      </w:r>
      <w:r>
        <w:rPr>
          <w:i/>
          <w:iCs/>
        </w:rPr>
        <w:t>18</w:t>
      </w:r>
      <w:r>
        <w:t xml:space="preserve">(8), 1825–1841. </w:t>
      </w:r>
      <w:hyperlink r:id="rId63">
        <w:r w:rsidR="00FE7890">
          <w:rPr>
            <w:rStyle w:val="Hyperlink"/>
          </w:rPr>
          <w:t>https://doi.org/10.1007/s12161-025-02840-9</w:t>
        </w:r>
      </w:hyperlink>
    </w:p>
    <w:p w14:paraId="35733371" w14:textId="77777777" w:rsidR="00FE7890" w:rsidRDefault="00000000" w:rsidP="00D9222E">
      <w:pPr>
        <w:pStyle w:val="Bibliografia"/>
        <w:spacing w:after="120"/>
      </w:pPr>
      <w:bookmarkStart w:id="113" w:name="ref-Santos2018"/>
      <w:bookmarkEnd w:id="112"/>
      <w:r>
        <w:t xml:space="preserve">Santos, H. G., </w:t>
      </w:r>
      <w:proofErr w:type="spellStart"/>
      <w:r>
        <w:t>Jacomine</w:t>
      </w:r>
      <w:proofErr w:type="spellEnd"/>
      <w:r>
        <w:t xml:space="preserve">, P. K. T., &amp; Anjos, L. H. C. dos. (2018). </w:t>
      </w:r>
      <w:r>
        <w:rPr>
          <w:i/>
          <w:iCs/>
        </w:rPr>
        <w:t>Sistema brasileiro de classificação de solos</w:t>
      </w:r>
      <w:r>
        <w:t xml:space="preserve"> (</w:t>
      </w:r>
      <w:proofErr w:type="gramStart"/>
      <w:r>
        <w:t>5º ed.</w:t>
      </w:r>
      <w:proofErr w:type="gramEnd"/>
      <w:r>
        <w:t xml:space="preserve">). Embrapa. </w:t>
      </w:r>
      <w:hyperlink r:id="rId64">
        <w:r w:rsidR="00FE7890">
          <w:rPr>
            <w:rStyle w:val="Hyperlink"/>
          </w:rPr>
          <w:t>http://ainfo.cnptia.embrapa.br/digital/bitstream/item/181677/1/SiBCS-2018-ISBN-9788570358172.epub</w:t>
        </w:r>
      </w:hyperlink>
    </w:p>
    <w:p w14:paraId="35733372" w14:textId="77777777" w:rsidR="00FE7890" w:rsidRDefault="00000000" w:rsidP="00D9222E">
      <w:pPr>
        <w:pStyle w:val="Bibliografia"/>
        <w:spacing w:after="120"/>
      </w:pPr>
      <w:bookmarkStart w:id="114" w:name="ref-SantosJC2019"/>
      <w:bookmarkEnd w:id="113"/>
      <w:r>
        <w:t xml:space="preserve">Santos, J. C., &amp; Santos, W. P. C. dos. (2019). Contribuições para indicação geográfica (IG): considerações sobre Itororó - BA como </w:t>
      </w:r>
      <w:proofErr w:type="gramStart"/>
      <w:r>
        <w:t>uma potencial</w:t>
      </w:r>
      <w:proofErr w:type="gramEnd"/>
      <w:r>
        <w:t xml:space="preserve"> IG para carne do sol. </w:t>
      </w:r>
      <w:r>
        <w:rPr>
          <w:i/>
          <w:iCs/>
        </w:rPr>
        <w:t>Cadernos de Prospecção</w:t>
      </w:r>
      <w:r>
        <w:t xml:space="preserve">, </w:t>
      </w:r>
      <w:r>
        <w:rPr>
          <w:i/>
          <w:iCs/>
        </w:rPr>
        <w:t>12</w:t>
      </w:r>
      <w:r>
        <w:t xml:space="preserve">(1), 231. </w:t>
      </w:r>
      <w:hyperlink r:id="rId65">
        <w:r w:rsidR="00FE7890">
          <w:rPr>
            <w:rStyle w:val="Hyperlink"/>
          </w:rPr>
          <w:t>https://doi.org/10.9771/cp.v12i1.27215</w:t>
        </w:r>
      </w:hyperlink>
    </w:p>
    <w:p w14:paraId="35733373" w14:textId="77777777" w:rsidR="00FE7890" w:rsidRPr="00B63B58" w:rsidRDefault="00000000" w:rsidP="00D9222E">
      <w:pPr>
        <w:pStyle w:val="Bibliografia"/>
        <w:spacing w:after="120"/>
        <w:rPr>
          <w:lang w:val="en-US"/>
        </w:rPr>
      </w:pPr>
      <w:bookmarkStart w:id="115" w:name="ref-Sawicki2023"/>
      <w:bookmarkEnd w:id="114"/>
      <w:proofErr w:type="spellStart"/>
      <w:r>
        <w:t>Sawicki</w:t>
      </w:r>
      <w:proofErr w:type="spellEnd"/>
      <w:r>
        <w:t xml:space="preserve">, J., </w:t>
      </w:r>
      <w:proofErr w:type="spellStart"/>
      <w:r>
        <w:t>Ganzha</w:t>
      </w:r>
      <w:proofErr w:type="spellEnd"/>
      <w:r>
        <w:t xml:space="preserve">, M., &amp; </w:t>
      </w:r>
      <w:proofErr w:type="spellStart"/>
      <w:r>
        <w:t>Paprzycki</w:t>
      </w:r>
      <w:proofErr w:type="spellEnd"/>
      <w:r>
        <w:t xml:space="preserve">, M. (2023). </w:t>
      </w:r>
      <w:r w:rsidRPr="00B63B58">
        <w:rPr>
          <w:lang w:val="en-US"/>
        </w:rPr>
        <w:t xml:space="preserve">The state of the art of natural language </w:t>
      </w:r>
      <w:proofErr w:type="gramStart"/>
      <w:r w:rsidRPr="00B63B58">
        <w:rPr>
          <w:lang w:val="en-US"/>
        </w:rPr>
        <w:t>processing—a</w:t>
      </w:r>
      <w:proofErr w:type="gramEnd"/>
      <w:r w:rsidRPr="00B63B58">
        <w:rPr>
          <w:lang w:val="en-US"/>
        </w:rPr>
        <w:t xml:space="preserve"> </w:t>
      </w:r>
      <w:proofErr w:type="gramStart"/>
      <w:r w:rsidRPr="00B63B58">
        <w:rPr>
          <w:lang w:val="en-US"/>
        </w:rPr>
        <w:t>systematic</w:t>
      </w:r>
      <w:proofErr w:type="gramEnd"/>
      <w:r w:rsidRPr="00B63B58">
        <w:rPr>
          <w:lang w:val="en-US"/>
        </w:rPr>
        <w:t xml:space="preserve"> automated review of NLP literature using NLP techniques. </w:t>
      </w:r>
      <w:r w:rsidRPr="00B63B58">
        <w:rPr>
          <w:i/>
          <w:iCs/>
          <w:lang w:val="en-US"/>
        </w:rPr>
        <w:t>Data Intelligence</w:t>
      </w:r>
      <w:r w:rsidRPr="00B63B58">
        <w:rPr>
          <w:lang w:val="en-US"/>
        </w:rPr>
        <w:t xml:space="preserve">, </w:t>
      </w:r>
      <w:r w:rsidRPr="00B63B58">
        <w:rPr>
          <w:i/>
          <w:iCs/>
          <w:lang w:val="en-US"/>
        </w:rPr>
        <w:t>5</w:t>
      </w:r>
      <w:r w:rsidRPr="00B63B58">
        <w:rPr>
          <w:lang w:val="en-US"/>
        </w:rPr>
        <w:t xml:space="preserve">(3), 707–734. </w:t>
      </w:r>
      <w:hyperlink r:id="rId66">
        <w:r w:rsidR="00FE7890" w:rsidRPr="00B63B58">
          <w:rPr>
            <w:rStyle w:val="Hyperlink"/>
            <w:lang w:val="en-US"/>
          </w:rPr>
          <w:t>https://doi.org/10.1162/dint_a_00213</w:t>
        </w:r>
      </w:hyperlink>
    </w:p>
    <w:p w14:paraId="35733374" w14:textId="77777777" w:rsidR="00FE7890" w:rsidRPr="00B63B58" w:rsidRDefault="00000000" w:rsidP="00D9222E">
      <w:pPr>
        <w:pStyle w:val="Bibliografia"/>
        <w:spacing w:after="120"/>
        <w:rPr>
          <w:lang w:val="en-US"/>
        </w:rPr>
      </w:pPr>
      <w:bookmarkStart w:id="116" w:name="ref-Schoch2020"/>
      <w:bookmarkEnd w:id="115"/>
      <w:r w:rsidRPr="00B63B58">
        <w:rPr>
          <w:lang w:val="en-US"/>
        </w:rPr>
        <w:t xml:space="preserve">Schoch, D. (2020). </w:t>
      </w:r>
      <w:proofErr w:type="spellStart"/>
      <w:r w:rsidRPr="00B63B58">
        <w:rPr>
          <w:lang w:val="en-US"/>
        </w:rPr>
        <w:t>ggraph</w:t>
      </w:r>
      <w:proofErr w:type="spellEnd"/>
      <w:r w:rsidRPr="00B63B58">
        <w:rPr>
          <w:lang w:val="en-US"/>
        </w:rPr>
        <w:t xml:space="preserve">: An Implementation of </w:t>
      </w:r>
      <w:proofErr w:type="gramStart"/>
      <w:r w:rsidRPr="00B63B58">
        <w:rPr>
          <w:lang w:val="en-US"/>
        </w:rPr>
        <w:t>Grammar of Graphics</w:t>
      </w:r>
      <w:proofErr w:type="gramEnd"/>
      <w:r w:rsidRPr="00B63B58">
        <w:rPr>
          <w:lang w:val="en-US"/>
        </w:rPr>
        <w:t xml:space="preserve"> for Graphs and Networks. </w:t>
      </w:r>
      <w:r w:rsidRPr="00B63B58">
        <w:rPr>
          <w:i/>
          <w:iCs/>
          <w:lang w:val="en-US"/>
        </w:rPr>
        <w:t xml:space="preserve">Journal of </w:t>
      </w:r>
      <w:proofErr w:type="gramStart"/>
      <w:r w:rsidRPr="00B63B58">
        <w:rPr>
          <w:i/>
          <w:iCs/>
          <w:lang w:val="en-US"/>
        </w:rPr>
        <w:t>Open Source</w:t>
      </w:r>
      <w:proofErr w:type="gramEnd"/>
      <w:r w:rsidRPr="00B63B58">
        <w:rPr>
          <w:i/>
          <w:iCs/>
          <w:lang w:val="en-US"/>
        </w:rPr>
        <w:t xml:space="preserve"> Software</w:t>
      </w:r>
      <w:r w:rsidRPr="00B63B58">
        <w:rPr>
          <w:lang w:val="en-US"/>
        </w:rPr>
        <w:t xml:space="preserve">, </w:t>
      </w:r>
      <w:r w:rsidRPr="00B63B58">
        <w:rPr>
          <w:i/>
          <w:iCs/>
          <w:lang w:val="en-US"/>
        </w:rPr>
        <w:t>5</w:t>
      </w:r>
      <w:r w:rsidRPr="00B63B58">
        <w:rPr>
          <w:lang w:val="en-US"/>
        </w:rPr>
        <w:t xml:space="preserve">(55), 2341. </w:t>
      </w:r>
      <w:hyperlink r:id="rId67">
        <w:r w:rsidR="00FE7890" w:rsidRPr="00B63B58">
          <w:rPr>
            <w:rStyle w:val="Hyperlink"/>
            <w:lang w:val="en-US"/>
          </w:rPr>
          <w:t>https://doi.org/10.21105/joss.02341</w:t>
        </w:r>
      </w:hyperlink>
    </w:p>
    <w:p w14:paraId="35733375" w14:textId="77777777" w:rsidR="00FE7890" w:rsidRPr="00B63B58" w:rsidRDefault="00000000" w:rsidP="00D9222E">
      <w:pPr>
        <w:pStyle w:val="Bibliografia"/>
        <w:spacing w:after="120"/>
        <w:rPr>
          <w:lang w:val="en-US"/>
        </w:rPr>
      </w:pPr>
      <w:bookmarkStart w:id="117" w:name="ref-Shah2019"/>
      <w:bookmarkEnd w:id="116"/>
      <w:r w:rsidRPr="00B63B58">
        <w:rPr>
          <w:lang w:val="en-US"/>
        </w:rPr>
        <w:t xml:space="preserve">Shah, S. H., Angel, Y., Houborg, R., Ali, S., &amp; McCabe, M. F. (2019). A Random Forest Machine Learning Approach for the Retrieval of Leaf Chlorophyll Content in Wheat. </w:t>
      </w:r>
      <w:r w:rsidRPr="00B63B58">
        <w:rPr>
          <w:i/>
          <w:iCs/>
          <w:lang w:val="en-US"/>
        </w:rPr>
        <w:t>Remote Sensing</w:t>
      </w:r>
      <w:r w:rsidRPr="00B63B58">
        <w:rPr>
          <w:lang w:val="en-US"/>
        </w:rPr>
        <w:t xml:space="preserve">, </w:t>
      </w:r>
      <w:r w:rsidRPr="00B63B58">
        <w:rPr>
          <w:i/>
          <w:iCs/>
          <w:lang w:val="en-US"/>
        </w:rPr>
        <w:t>11</w:t>
      </w:r>
      <w:r w:rsidRPr="00B63B58">
        <w:rPr>
          <w:lang w:val="en-US"/>
        </w:rPr>
        <w:t xml:space="preserve">(8). </w:t>
      </w:r>
      <w:hyperlink r:id="rId68">
        <w:r w:rsidR="00FE7890" w:rsidRPr="00B63B58">
          <w:rPr>
            <w:rStyle w:val="Hyperlink"/>
            <w:lang w:val="en-US"/>
          </w:rPr>
          <w:t>https://doi.org/10.3390/rs11080920</w:t>
        </w:r>
      </w:hyperlink>
    </w:p>
    <w:p w14:paraId="35733376" w14:textId="77777777" w:rsidR="00FE7890" w:rsidRPr="00B63B58" w:rsidRDefault="00000000" w:rsidP="00D9222E">
      <w:pPr>
        <w:pStyle w:val="Bibliografia"/>
        <w:spacing w:after="120"/>
        <w:rPr>
          <w:lang w:val="en-US"/>
        </w:rPr>
      </w:pPr>
      <w:bookmarkStart w:id="118" w:name="ref-shrout1979"/>
      <w:bookmarkEnd w:id="117"/>
      <w:r w:rsidRPr="00B63B58">
        <w:rPr>
          <w:lang w:val="en-US"/>
        </w:rPr>
        <w:t xml:space="preserve">Shrout, P. E., &amp; Fleiss, J. L. (1979). Intraclass </w:t>
      </w:r>
      <w:proofErr w:type="gramStart"/>
      <w:r w:rsidRPr="00B63B58">
        <w:rPr>
          <w:lang w:val="en-US"/>
        </w:rPr>
        <w:t>correlations:</w:t>
      </w:r>
      <w:proofErr w:type="gramEnd"/>
      <w:r w:rsidRPr="00B63B58">
        <w:rPr>
          <w:lang w:val="en-US"/>
        </w:rPr>
        <w:t xml:space="preserve"> uses in assessing rater reliability. </w:t>
      </w:r>
      <w:r w:rsidRPr="00B63B58">
        <w:rPr>
          <w:i/>
          <w:iCs/>
          <w:lang w:val="en-US"/>
        </w:rPr>
        <w:t>Psychological Bulletin</w:t>
      </w:r>
      <w:r w:rsidRPr="00B63B58">
        <w:rPr>
          <w:lang w:val="en-US"/>
        </w:rPr>
        <w:t xml:space="preserve">, </w:t>
      </w:r>
      <w:r w:rsidRPr="00B63B58">
        <w:rPr>
          <w:i/>
          <w:iCs/>
          <w:lang w:val="en-US"/>
        </w:rPr>
        <w:t>86</w:t>
      </w:r>
      <w:r w:rsidRPr="00B63B58">
        <w:rPr>
          <w:lang w:val="en-US"/>
        </w:rPr>
        <w:t xml:space="preserve">(2), 420–428. </w:t>
      </w:r>
      <w:hyperlink r:id="rId69">
        <w:r w:rsidR="00FE7890" w:rsidRPr="00B63B58">
          <w:rPr>
            <w:rStyle w:val="Hyperlink"/>
            <w:lang w:val="en-US"/>
          </w:rPr>
          <w:t>https://doi.org/10.1037/0033-2909.86.2.420</w:t>
        </w:r>
      </w:hyperlink>
    </w:p>
    <w:p w14:paraId="35733377" w14:textId="77777777" w:rsidR="00FE7890" w:rsidRPr="00B63B58" w:rsidRDefault="00000000" w:rsidP="00D9222E">
      <w:pPr>
        <w:pStyle w:val="Bibliografia"/>
        <w:spacing w:after="120"/>
        <w:rPr>
          <w:lang w:val="en-US"/>
        </w:rPr>
      </w:pPr>
      <w:bookmarkStart w:id="119" w:name="ref-Spearman1904"/>
      <w:bookmarkEnd w:id="118"/>
      <w:r w:rsidRPr="00B63B58">
        <w:rPr>
          <w:lang w:val="en-US"/>
        </w:rPr>
        <w:t xml:space="preserve">Spearman, C. (1904). The Proof and Measurement of Association between Two Things. </w:t>
      </w:r>
      <w:r w:rsidRPr="00B63B58">
        <w:rPr>
          <w:i/>
          <w:iCs/>
          <w:lang w:val="en-US"/>
        </w:rPr>
        <w:t>The American Journal of Psychology</w:t>
      </w:r>
      <w:r w:rsidRPr="00B63B58">
        <w:rPr>
          <w:lang w:val="en-US"/>
        </w:rPr>
        <w:t xml:space="preserve">, </w:t>
      </w:r>
      <w:r w:rsidRPr="00B63B58">
        <w:rPr>
          <w:i/>
          <w:iCs/>
          <w:lang w:val="en-US"/>
        </w:rPr>
        <w:t>15</w:t>
      </w:r>
      <w:r w:rsidRPr="00B63B58">
        <w:rPr>
          <w:lang w:val="en-US"/>
        </w:rPr>
        <w:t xml:space="preserve">(1), 72–101. </w:t>
      </w:r>
      <w:hyperlink r:id="rId70">
        <w:r w:rsidR="00FE7890" w:rsidRPr="00B63B58">
          <w:rPr>
            <w:rStyle w:val="Hyperlink"/>
            <w:lang w:val="en-US"/>
          </w:rPr>
          <w:t>https://doi.org/10.2307/1412159</w:t>
        </w:r>
      </w:hyperlink>
    </w:p>
    <w:p w14:paraId="35733378" w14:textId="77777777" w:rsidR="00FE7890" w:rsidRPr="00B63B58" w:rsidRDefault="00000000" w:rsidP="00D9222E">
      <w:pPr>
        <w:pStyle w:val="Bibliografia"/>
        <w:spacing w:after="120"/>
        <w:rPr>
          <w:lang w:val="en-US"/>
        </w:rPr>
      </w:pPr>
      <w:bookmarkStart w:id="120" w:name="ref-streiner2008health"/>
      <w:bookmarkEnd w:id="119"/>
      <w:proofErr w:type="spellStart"/>
      <w:r w:rsidRPr="00B63B58">
        <w:rPr>
          <w:lang w:val="en-US"/>
        </w:rPr>
        <w:t>Streiner</w:t>
      </w:r>
      <w:proofErr w:type="spellEnd"/>
      <w:r w:rsidRPr="00B63B58">
        <w:rPr>
          <w:lang w:val="en-US"/>
        </w:rPr>
        <w:t xml:space="preserve">, D. L., &amp; Norman, G. R. (2008). </w:t>
      </w:r>
      <w:r w:rsidRPr="00B63B58">
        <w:rPr>
          <w:i/>
          <w:iCs/>
          <w:lang w:val="en-US"/>
        </w:rPr>
        <w:t>Health Measurement Scales: A Practical Guide to Their Development and Use</w:t>
      </w:r>
      <w:r w:rsidRPr="00B63B58">
        <w:rPr>
          <w:lang w:val="en-US"/>
        </w:rPr>
        <w:t xml:space="preserve"> (4th ed.). Oxford University Press.</w:t>
      </w:r>
    </w:p>
    <w:p w14:paraId="35733379" w14:textId="77777777" w:rsidR="00FE7890" w:rsidRPr="00B63B58" w:rsidRDefault="00000000" w:rsidP="00D9222E">
      <w:pPr>
        <w:pStyle w:val="Bibliografia"/>
        <w:spacing w:after="120"/>
        <w:rPr>
          <w:lang w:val="en-US"/>
        </w:rPr>
      </w:pPr>
      <w:bookmarkStart w:id="121" w:name="ref-Suh2007"/>
      <w:bookmarkEnd w:id="120"/>
      <w:r w:rsidRPr="00B63B58">
        <w:rPr>
          <w:lang w:val="en-US"/>
        </w:rPr>
        <w:t xml:space="preserve">Suh, J., &amp; Macpherson, A. (2007). The impact of geographical indication on the </w:t>
      </w:r>
      <w:proofErr w:type="spellStart"/>
      <w:r w:rsidRPr="00B63B58">
        <w:rPr>
          <w:lang w:val="en-US"/>
        </w:rPr>
        <w:t>revitalisation</w:t>
      </w:r>
      <w:proofErr w:type="spellEnd"/>
      <w:r w:rsidRPr="00B63B58">
        <w:rPr>
          <w:lang w:val="en-US"/>
        </w:rPr>
        <w:t xml:space="preserve"> of a regional economy: a case study of ’Boseong’ green tea. </w:t>
      </w:r>
      <w:r w:rsidRPr="00B63B58">
        <w:rPr>
          <w:i/>
          <w:iCs/>
          <w:lang w:val="en-US"/>
        </w:rPr>
        <w:t>Area</w:t>
      </w:r>
      <w:r w:rsidRPr="00B63B58">
        <w:rPr>
          <w:lang w:val="en-US"/>
        </w:rPr>
        <w:t xml:space="preserve">, </w:t>
      </w:r>
      <w:r w:rsidRPr="00B63B58">
        <w:rPr>
          <w:i/>
          <w:iCs/>
          <w:lang w:val="en-US"/>
        </w:rPr>
        <w:t>39</w:t>
      </w:r>
      <w:r w:rsidRPr="00B63B58">
        <w:rPr>
          <w:lang w:val="en-US"/>
        </w:rPr>
        <w:t xml:space="preserve">(4), 518–527. </w:t>
      </w:r>
      <w:hyperlink r:id="rId71">
        <w:r w:rsidR="00FE7890" w:rsidRPr="00B63B58">
          <w:rPr>
            <w:rStyle w:val="Hyperlink"/>
            <w:lang w:val="en-US"/>
          </w:rPr>
          <w:t>https://doi.org/10.1111/j.1475-4762.2007.00765.x</w:t>
        </w:r>
      </w:hyperlink>
    </w:p>
    <w:p w14:paraId="3573337A" w14:textId="77777777" w:rsidR="00FE7890" w:rsidRPr="00B63B58" w:rsidRDefault="00000000" w:rsidP="00D9222E">
      <w:pPr>
        <w:pStyle w:val="Bibliografia"/>
        <w:spacing w:after="120"/>
        <w:rPr>
          <w:lang w:val="en-US"/>
        </w:rPr>
      </w:pPr>
      <w:bookmarkStart w:id="122" w:name="ref-Sun2023"/>
      <w:bookmarkEnd w:id="121"/>
      <w:r w:rsidRPr="00B63B58">
        <w:rPr>
          <w:lang w:val="en-US"/>
        </w:rPr>
        <w:t xml:space="preserve">Sun, Y., Li, Z., &amp; Yu, M. (2019). </w:t>
      </w:r>
      <w:proofErr w:type="spellStart"/>
      <w:r w:rsidRPr="00B63B58">
        <w:rPr>
          <w:lang w:val="en-US"/>
        </w:rPr>
        <w:t>TrustChain</w:t>
      </w:r>
      <w:proofErr w:type="spellEnd"/>
      <w:r w:rsidRPr="00B63B58">
        <w:rPr>
          <w:lang w:val="en-US"/>
        </w:rPr>
        <w:t xml:space="preserve">: Trust Management in Blockchain and IoT Supported Supply Chains. </w:t>
      </w:r>
      <w:proofErr w:type="spellStart"/>
      <w:r w:rsidRPr="00B63B58">
        <w:rPr>
          <w:i/>
          <w:iCs/>
          <w:lang w:val="en-US"/>
        </w:rPr>
        <w:t>arXiv</w:t>
      </w:r>
      <w:proofErr w:type="spellEnd"/>
      <w:r w:rsidRPr="00B63B58">
        <w:rPr>
          <w:i/>
          <w:iCs/>
          <w:lang w:val="en-US"/>
        </w:rPr>
        <w:t xml:space="preserve"> preprint</w:t>
      </w:r>
      <w:r w:rsidRPr="00B63B58">
        <w:rPr>
          <w:lang w:val="en-US"/>
        </w:rPr>
        <w:t>.</w:t>
      </w:r>
    </w:p>
    <w:p w14:paraId="3573337B" w14:textId="77777777" w:rsidR="00FE7890" w:rsidRPr="00B63B58" w:rsidRDefault="00000000" w:rsidP="00D9222E">
      <w:pPr>
        <w:pStyle w:val="Bibliografia"/>
        <w:spacing w:after="120"/>
        <w:rPr>
          <w:lang w:val="en-US"/>
        </w:rPr>
      </w:pPr>
      <w:bookmarkStart w:id="123" w:name="ref-Likert3vs5_2025"/>
      <w:bookmarkEnd w:id="122"/>
      <w:r w:rsidRPr="00B63B58">
        <w:rPr>
          <w:lang w:val="en-US"/>
        </w:rPr>
        <w:t xml:space="preserve">Surname, A., &amp; Surname, A. (2025). A comparative study of 3-point and 5-point Likert Scales. </w:t>
      </w:r>
      <w:r w:rsidRPr="00B63B58">
        <w:rPr>
          <w:i/>
          <w:iCs/>
          <w:lang w:val="en-US"/>
        </w:rPr>
        <w:t>Science Scholar</w:t>
      </w:r>
      <w:r w:rsidRPr="00B63B58">
        <w:rPr>
          <w:lang w:val="en-US"/>
        </w:rPr>
        <w:t>.</w:t>
      </w:r>
    </w:p>
    <w:p w14:paraId="3573337C" w14:textId="77777777" w:rsidR="00FE7890" w:rsidRPr="00B63B58" w:rsidRDefault="00000000" w:rsidP="00D9222E">
      <w:pPr>
        <w:pStyle w:val="Bibliografia"/>
        <w:spacing w:after="120"/>
        <w:rPr>
          <w:lang w:val="en-US"/>
        </w:rPr>
      </w:pPr>
      <w:bookmarkStart w:id="124" w:name="ref-RCoreTeam2024"/>
      <w:bookmarkEnd w:id="123"/>
      <w:r w:rsidRPr="00B63B58">
        <w:rPr>
          <w:lang w:val="en-US"/>
        </w:rPr>
        <w:t xml:space="preserve">Team, R. C. (2024). </w:t>
      </w:r>
      <w:r w:rsidRPr="00B63B58">
        <w:rPr>
          <w:i/>
          <w:iCs/>
          <w:lang w:val="en-US"/>
        </w:rPr>
        <w:t>R: A Language and Environment for Statistical Computing</w:t>
      </w:r>
      <w:r w:rsidRPr="00B63B58">
        <w:rPr>
          <w:lang w:val="en-US"/>
        </w:rPr>
        <w:t xml:space="preserve">. R Foundation for Statistical Computing. </w:t>
      </w:r>
      <w:hyperlink r:id="rId72">
        <w:r w:rsidR="00FE7890" w:rsidRPr="00B63B58">
          <w:rPr>
            <w:rStyle w:val="Hyperlink"/>
            <w:lang w:val="en-US"/>
          </w:rPr>
          <w:t>https://www.R-project.org/</w:t>
        </w:r>
      </w:hyperlink>
    </w:p>
    <w:p w14:paraId="3573337D" w14:textId="77777777" w:rsidR="00FE7890" w:rsidRPr="00B63B58" w:rsidRDefault="00000000" w:rsidP="00D9222E">
      <w:pPr>
        <w:pStyle w:val="Bibliografia"/>
        <w:spacing w:after="120"/>
        <w:rPr>
          <w:lang w:val="en-US"/>
        </w:rPr>
      </w:pPr>
      <w:bookmarkStart w:id="125" w:name="ref-RStudioTeam2023"/>
      <w:bookmarkEnd w:id="124"/>
      <w:r w:rsidRPr="00B63B58">
        <w:rPr>
          <w:lang w:val="en-US"/>
        </w:rPr>
        <w:t xml:space="preserve">Team, Rs. (2023). </w:t>
      </w:r>
      <w:r w:rsidRPr="00B63B58">
        <w:rPr>
          <w:i/>
          <w:iCs/>
          <w:lang w:val="en-US"/>
        </w:rPr>
        <w:t>RStudio: Integrated Development Environment for R</w:t>
      </w:r>
      <w:r w:rsidRPr="00B63B58">
        <w:rPr>
          <w:lang w:val="en-US"/>
        </w:rPr>
        <w:t xml:space="preserve">. RStudio, PBC. </w:t>
      </w:r>
      <w:hyperlink r:id="rId73">
        <w:r w:rsidR="00FE7890" w:rsidRPr="00B63B58">
          <w:rPr>
            <w:rStyle w:val="Hyperlink"/>
            <w:lang w:val="en-US"/>
          </w:rPr>
          <w:t>https://www.rstudio.com/</w:t>
        </w:r>
      </w:hyperlink>
    </w:p>
    <w:p w14:paraId="3573337E" w14:textId="77777777" w:rsidR="00FE7890" w:rsidRPr="00B63B58" w:rsidRDefault="00000000" w:rsidP="00D9222E">
      <w:pPr>
        <w:pStyle w:val="Bibliografia"/>
        <w:spacing w:after="120"/>
        <w:rPr>
          <w:lang w:val="en-US"/>
        </w:rPr>
      </w:pPr>
      <w:bookmarkStart w:id="126" w:name="ref-tranfield2003"/>
      <w:bookmarkEnd w:id="125"/>
      <w:proofErr w:type="spellStart"/>
      <w:r w:rsidRPr="00B63B58">
        <w:rPr>
          <w:lang w:val="en-US"/>
        </w:rPr>
        <w:lastRenderedPageBreak/>
        <w:t>Tranfield</w:t>
      </w:r>
      <w:proofErr w:type="spellEnd"/>
      <w:r w:rsidRPr="00B63B58">
        <w:rPr>
          <w:lang w:val="en-US"/>
        </w:rPr>
        <w:t xml:space="preserve">, D., Denyer, D., &amp; Smart, P. (2003). Towards a methodology for developing evidence-informed management knowledge by means of systematic review. </w:t>
      </w:r>
      <w:r w:rsidRPr="00B63B58">
        <w:rPr>
          <w:i/>
          <w:iCs/>
          <w:lang w:val="en-US"/>
        </w:rPr>
        <w:t>British Journal of Management</w:t>
      </w:r>
      <w:r w:rsidRPr="00B63B58">
        <w:rPr>
          <w:lang w:val="en-US"/>
        </w:rPr>
        <w:t xml:space="preserve">, </w:t>
      </w:r>
      <w:r w:rsidRPr="00B63B58">
        <w:rPr>
          <w:i/>
          <w:iCs/>
          <w:lang w:val="en-US"/>
        </w:rPr>
        <w:t>14</w:t>
      </w:r>
      <w:r w:rsidRPr="00B63B58">
        <w:rPr>
          <w:lang w:val="en-US"/>
        </w:rPr>
        <w:t>(3), 207–222.</w:t>
      </w:r>
    </w:p>
    <w:p w14:paraId="3573337F" w14:textId="77777777" w:rsidR="00FE7890" w:rsidRPr="00B63B58" w:rsidRDefault="00000000" w:rsidP="00D9222E">
      <w:pPr>
        <w:pStyle w:val="Bibliografia"/>
        <w:spacing w:after="120"/>
        <w:rPr>
          <w:lang w:val="en-US"/>
        </w:rPr>
      </w:pPr>
      <w:bookmarkStart w:id="127" w:name="ref-tricco2018"/>
      <w:bookmarkEnd w:id="126"/>
      <w:proofErr w:type="spellStart"/>
      <w:r w:rsidRPr="00B63B58">
        <w:rPr>
          <w:lang w:val="en-US"/>
        </w:rPr>
        <w:t>Tricco</w:t>
      </w:r>
      <w:proofErr w:type="spellEnd"/>
      <w:r w:rsidRPr="00B63B58">
        <w:rPr>
          <w:lang w:val="en-US"/>
        </w:rPr>
        <w:t>, A. C. et al. (2018). PRISMA Extension for Scoping Reviews (PRISMA-</w:t>
      </w:r>
      <w:proofErr w:type="spellStart"/>
      <w:r w:rsidRPr="00B63B58">
        <w:rPr>
          <w:lang w:val="en-US"/>
        </w:rPr>
        <w:t>ScR</w:t>
      </w:r>
      <w:proofErr w:type="spellEnd"/>
      <w:r w:rsidRPr="00B63B58">
        <w:rPr>
          <w:lang w:val="en-US"/>
        </w:rPr>
        <w:t xml:space="preserve">): Checklist and Explanation. </w:t>
      </w:r>
      <w:r w:rsidRPr="00B63B58">
        <w:rPr>
          <w:i/>
          <w:iCs/>
          <w:lang w:val="en-US"/>
        </w:rPr>
        <w:t>Annals of Internal Medicine</w:t>
      </w:r>
      <w:r w:rsidRPr="00B63B58">
        <w:rPr>
          <w:lang w:val="en-US"/>
        </w:rPr>
        <w:t xml:space="preserve">, </w:t>
      </w:r>
      <w:r w:rsidRPr="00B63B58">
        <w:rPr>
          <w:i/>
          <w:iCs/>
          <w:lang w:val="en-US"/>
        </w:rPr>
        <w:t>169</w:t>
      </w:r>
      <w:r w:rsidRPr="00B63B58">
        <w:rPr>
          <w:lang w:val="en-US"/>
        </w:rPr>
        <w:t>(7), 467–473.</w:t>
      </w:r>
    </w:p>
    <w:p w14:paraId="35733380" w14:textId="77777777" w:rsidR="00FE7890" w:rsidRPr="00B63B58" w:rsidRDefault="00000000" w:rsidP="00D9222E">
      <w:pPr>
        <w:pStyle w:val="Bibliografia"/>
        <w:spacing w:after="120"/>
        <w:rPr>
          <w:lang w:val="en-US"/>
        </w:rPr>
      </w:pPr>
      <w:bookmarkStart w:id="128" w:name="ref-EUCommission2019"/>
      <w:bookmarkEnd w:id="127"/>
      <w:r w:rsidRPr="00B63B58">
        <w:rPr>
          <w:lang w:val="en-US"/>
        </w:rPr>
        <w:t xml:space="preserve">Union, E. (2019). </w:t>
      </w:r>
      <w:r w:rsidRPr="00B63B58">
        <w:rPr>
          <w:i/>
          <w:iCs/>
          <w:lang w:val="en-US"/>
        </w:rPr>
        <w:t>The EU System of Geographical Indications, their added value and economic impact</w:t>
      </w:r>
      <w:r w:rsidRPr="00B63B58">
        <w:rPr>
          <w:lang w:val="en-US"/>
        </w:rPr>
        <w:t xml:space="preserve">. European Commission. </w:t>
      </w:r>
      <w:hyperlink r:id="rId74">
        <w:r w:rsidR="00FE7890" w:rsidRPr="00B63B58">
          <w:rPr>
            <w:rStyle w:val="Hyperlink"/>
            <w:lang w:val="en-US"/>
          </w:rPr>
          <w:t>https://www.interregeurope.eu</w:t>
        </w:r>
      </w:hyperlink>
    </w:p>
    <w:p w14:paraId="35733381" w14:textId="77777777" w:rsidR="00FE7890" w:rsidRPr="00B63B58" w:rsidRDefault="00000000" w:rsidP="00D9222E">
      <w:pPr>
        <w:pStyle w:val="Bibliografia"/>
        <w:spacing w:after="120"/>
        <w:rPr>
          <w:lang w:val="en-US"/>
        </w:rPr>
      </w:pPr>
      <w:bookmarkStart w:id="129" w:name="ref-VazquezFontes2010"/>
      <w:bookmarkEnd w:id="128"/>
      <w:r w:rsidRPr="00B63B58">
        <w:rPr>
          <w:lang w:val="en-US"/>
        </w:rPr>
        <w:t xml:space="preserve">Vázquez‐Fontes, C., Sanchez‐Vera, E., &amp; </w:t>
      </w:r>
      <w:proofErr w:type="spellStart"/>
      <w:r w:rsidRPr="00B63B58">
        <w:rPr>
          <w:lang w:val="en-US"/>
        </w:rPr>
        <w:t>Castelán</w:t>
      </w:r>
      <w:proofErr w:type="spellEnd"/>
      <w:r w:rsidRPr="00B63B58">
        <w:rPr>
          <w:lang w:val="en-US"/>
        </w:rPr>
        <w:t xml:space="preserve">‐Ortega, O. (2010). Microbiological Quality of Artisan-Made Mexican </w:t>
      </w:r>
      <w:proofErr w:type="spellStart"/>
      <w:r w:rsidRPr="00B63B58">
        <w:rPr>
          <w:lang w:val="en-US"/>
        </w:rPr>
        <w:t>Botanero</w:t>
      </w:r>
      <w:proofErr w:type="spellEnd"/>
      <w:r w:rsidRPr="00B63B58">
        <w:rPr>
          <w:lang w:val="en-US"/>
        </w:rPr>
        <w:t xml:space="preserve"> Cheese in the Central Highlands. </w:t>
      </w:r>
      <w:r w:rsidRPr="00B63B58">
        <w:rPr>
          <w:i/>
          <w:iCs/>
          <w:lang w:val="en-US"/>
        </w:rPr>
        <w:t>Journal of Food Safety</w:t>
      </w:r>
      <w:r w:rsidRPr="00B63B58">
        <w:rPr>
          <w:lang w:val="en-US"/>
        </w:rPr>
        <w:t xml:space="preserve">, </w:t>
      </w:r>
      <w:r w:rsidRPr="00B63B58">
        <w:rPr>
          <w:i/>
          <w:iCs/>
          <w:lang w:val="en-US"/>
        </w:rPr>
        <w:t>30</w:t>
      </w:r>
      <w:r w:rsidRPr="00B63B58">
        <w:rPr>
          <w:lang w:val="en-US"/>
        </w:rPr>
        <w:t xml:space="preserve">(1), 40–50. </w:t>
      </w:r>
      <w:hyperlink r:id="rId75">
        <w:r w:rsidR="00FE7890" w:rsidRPr="00B63B58">
          <w:rPr>
            <w:rStyle w:val="Hyperlink"/>
            <w:lang w:val="en-US"/>
          </w:rPr>
          <w:t>https://doi.org/10.1111/j.1745-4565.2009.00188.x</w:t>
        </w:r>
      </w:hyperlink>
    </w:p>
    <w:p w14:paraId="35733382" w14:textId="77777777" w:rsidR="00FE7890" w:rsidRPr="00B63B58" w:rsidRDefault="00000000" w:rsidP="00D9222E">
      <w:pPr>
        <w:pStyle w:val="Bibliografia"/>
        <w:spacing w:after="120"/>
        <w:rPr>
          <w:lang w:val="en-US"/>
        </w:rPr>
      </w:pPr>
      <w:bookmarkStart w:id="130" w:name="ref-Vogelstein2021"/>
      <w:bookmarkEnd w:id="129"/>
      <w:r w:rsidRPr="00B63B58">
        <w:rPr>
          <w:lang w:val="en-US"/>
        </w:rPr>
        <w:t xml:space="preserve">Vogelstein, J. T., Bridgeford, E. W., Tang, M., Zheng, D., et al. (2021). Supervised dimensionality reduction for big data. </w:t>
      </w:r>
      <w:r w:rsidRPr="00B63B58">
        <w:rPr>
          <w:i/>
          <w:iCs/>
          <w:lang w:val="en-US"/>
        </w:rPr>
        <w:t>Nature Communications</w:t>
      </w:r>
      <w:r w:rsidRPr="00B63B58">
        <w:rPr>
          <w:lang w:val="en-US"/>
        </w:rPr>
        <w:t xml:space="preserve">, </w:t>
      </w:r>
      <w:r w:rsidRPr="00B63B58">
        <w:rPr>
          <w:i/>
          <w:iCs/>
          <w:lang w:val="en-US"/>
        </w:rPr>
        <w:t>12</w:t>
      </w:r>
      <w:r w:rsidRPr="00B63B58">
        <w:rPr>
          <w:lang w:val="en-US"/>
        </w:rPr>
        <w:t xml:space="preserve">(1), 5957. </w:t>
      </w:r>
      <w:hyperlink r:id="rId76">
        <w:r w:rsidR="00FE7890" w:rsidRPr="00B63B58">
          <w:rPr>
            <w:rStyle w:val="Hyperlink"/>
            <w:lang w:val="en-US"/>
          </w:rPr>
          <w:t>https://doi.org/10.1038/s41467-021-23102-2</w:t>
        </w:r>
      </w:hyperlink>
    </w:p>
    <w:p w14:paraId="35733383" w14:textId="77777777" w:rsidR="00FE7890" w:rsidRPr="00B63B58" w:rsidRDefault="00000000" w:rsidP="00D9222E">
      <w:pPr>
        <w:pStyle w:val="Bibliografia"/>
        <w:spacing w:after="120"/>
        <w:rPr>
          <w:lang w:val="en-US"/>
        </w:rPr>
      </w:pPr>
      <w:bookmarkStart w:id="131" w:name="ref-Wang20218065"/>
      <w:bookmarkEnd w:id="130"/>
      <w:r w:rsidRPr="00B63B58">
        <w:rPr>
          <w:lang w:val="de-DE"/>
        </w:rPr>
        <w:t xml:space="preserve">Wang, X., </w:t>
      </w:r>
      <w:proofErr w:type="spellStart"/>
      <w:r w:rsidRPr="00B63B58">
        <w:rPr>
          <w:lang w:val="de-DE"/>
        </w:rPr>
        <w:t>Gu</w:t>
      </w:r>
      <w:proofErr w:type="spellEnd"/>
      <w:r w:rsidRPr="00B63B58">
        <w:rPr>
          <w:lang w:val="de-DE"/>
        </w:rPr>
        <w:t xml:space="preserve">, Y., &amp; Liu, H. (2021). </w:t>
      </w:r>
      <w:r w:rsidRPr="00B63B58">
        <w:rPr>
          <w:lang w:val="en-US"/>
        </w:rPr>
        <w:t xml:space="preserve">A Transfer Learning Method for the Protection of Geographical Indication in China Using an Electronic Nose for the Identification of </w:t>
      </w:r>
      <w:proofErr w:type="spellStart"/>
      <w:r w:rsidRPr="00B63B58">
        <w:rPr>
          <w:lang w:val="en-US"/>
        </w:rPr>
        <w:t>Xihu</w:t>
      </w:r>
      <w:proofErr w:type="spellEnd"/>
      <w:r w:rsidRPr="00B63B58">
        <w:rPr>
          <w:lang w:val="en-US"/>
        </w:rPr>
        <w:t xml:space="preserve"> Longjing Tea [Article]. </w:t>
      </w:r>
      <w:r w:rsidRPr="00B63B58">
        <w:rPr>
          <w:i/>
          <w:iCs/>
          <w:lang w:val="en-US"/>
        </w:rPr>
        <w:t>IEEE Sensors Journal</w:t>
      </w:r>
      <w:r w:rsidRPr="00B63B58">
        <w:rPr>
          <w:lang w:val="en-US"/>
        </w:rPr>
        <w:t xml:space="preserve">, </w:t>
      </w:r>
      <w:r w:rsidRPr="00B63B58">
        <w:rPr>
          <w:i/>
          <w:iCs/>
          <w:lang w:val="en-US"/>
        </w:rPr>
        <w:t>21</w:t>
      </w:r>
      <w:r w:rsidRPr="00B63B58">
        <w:rPr>
          <w:lang w:val="en-US"/>
        </w:rPr>
        <w:t xml:space="preserve">(6), 8065–8077. </w:t>
      </w:r>
      <w:hyperlink r:id="rId77">
        <w:r w:rsidR="00FE7890" w:rsidRPr="00B63B58">
          <w:rPr>
            <w:rStyle w:val="Hyperlink"/>
            <w:lang w:val="en-US"/>
          </w:rPr>
          <w:t>https://doi.org/10.1109/JSEN.2020.3048534</w:t>
        </w:r>
      </w:hyperlink>
    </w:p>
    <w:p w14:paraId="35733384" w14:textId="77777777" w:rsidR="00FE7890" w:rsidRPr="00B63B58" w:rsidRDefault="00000000" w:rsidP="00D9222E">
      <w:pPr>
        <w:pStyle w:val="Bibliografia"/>
        <w:spacing w:after="120"/>
        <w:rPr>
          <w:lang w:val="en-US"/>
        </w:rPr>
      </w:pPr>
      <w:bookmarkStart w:id="132" w:name="ref-Wang2025"/>
      <w:bookmarkEnd w:id="131"/>
      <w:r w:rsidRPr="00B63B58">
        <w:rPr>
          <w:lang w:val="en-US"/>
        </w:rPr>
        <w:t xml:space="preserve">Wang, X., Ma, X., Liu, Y., Tao, W., Zuo, Y., Zhu, Y., Hua, F., Liu, C., &amp; Huang, W. (2025). Integrated Metabolomics-KPCA-Machine Learning framework: a solution for geographical traceability of Chinese Jujube [Article]. </w:t>
      </w:r>
      <w:r w:rsidRPr="00B63B58">
        <w:rPr>
          <w:i/>
          <w:iCs/>
          <w:lang w:val="en-US"/>
        </w:rPr>
        <w:t>Food Chemistry: X</w:t>
      </w:r>
      <w:r w:rsidRPr="00B63B58">
        <w:rPr>
          <w:lang w:val="en-US"/>
        </w:rPr>
        <w:t xml:space="preserve">, </w:t>
      </w:r>
      <w:r w:rsidRPr="00B63B58">
        <w:rPr>
          <w:i/>
          <w:iCs/>
          <w:lang w:val="en-US"/>
        </w:rPr>
        <w:t>31</w:t>
      </w:r>
      <w:r w:rsidRPr="00B63B58">
        <w:rPr>
          <w:lang w:val="en-US"/>
        </w:rPr>
        <w:t xml:space="preserve">. </w:t>
      </w:r>
      <w:hyperlink r:id="rId78">
        <w:r w:rsidR="00FE7890" w:rsidRPr="00B63B58">
          <w:rPr>
            <w:rStyle w:val="Hyperlink"/>
            <w:lang w:val="en-US"/>
          </w:rPr>
          <w:t>https://doi.org/10.1016/j.fochx.2025.103069</w:t>
        </w:r>
      </w:hyperlink>
    </w:p>
    <w:p w14:paraId="35733385" w14:textId="77777777" w:rsidR="00FE7890" w:rsidRPr="00B63B58" w:rsidRDefault="00000000" w:rsidP="00D9222E">
      <w:pPr>
        <w:pStyle w:val="Bibliografia"/>
        <w:spacing w:after="120"/>
        <w:rPr>
          <w:lang w:val="en-US"/>
        </w:rPr>
      </w:pPr>
      <w:bookmarkStart w:id="133" w:name="ref-Wang2022"/>
      <w:bookmarkEnd w:id="132"/>
      <w:r w:rsidRPr="00B63B58">
        <w:rPr>
          <w:lang w:val="en-US"/>
        </w:rPr>
        <w:t xml:space="preserve">Wang, X., Zhang, X., &amp; Li, Y. (2022). Blockchain-Based Internet of Things: Machine Learning Tea Sensing Trusted Traceability System. </w:t>
      </w:r>
      <w:r w:rsidRPr="00B63B58">
        <w:rPr>
          <w:i/>
          <w:iCs/>
          <w:lang w:val="en-US"/>
        </w:rPr>
        <w:t>Computational Intelligence and Neuroscience</w:t>
      </w:r>
      <w:r w:rsidRPr="00B63B58">
        <w:rPr>
          <w:lang w:val="en-US"/>
        </w:rPr>
        <w:t xml:space="preserve">, 3832170. </w:t>
      </w:r>
      <w:hyperlink r:id="rId79">
        <w:r w:rsidR="00FE7890" w:rsidRPr="00B63B58">
          <w:rPr>
            <w:rStyle w:val="Hyperlink"/>
            <w:lang w:val="en-US"/>
          </w:rPr>
          <w:t>https://doi.org/10.1155/2022/3832170</w:t>
        </w:r>
      </w:hyperlink>
    </w:p>
    <w:p w14:paraId="35733386" w14:textId="77777777" w:rsidR="00FE7890" w:rsidRPr="00B63B58" w:rsidRDefault="00000000" w:rsidP="00D9222E">
      <w:pPr>
        <w:pStyle w:val="Bibliografia"/>
        <w:spacing w:after="120"/>
        <w:rPr>
          <w:lang w:val="en-US"/>
        </w:rPr>
      </w:pPr>
      <w:bookmarkStart w:id="134" w:name="ref-webster2002"/>
      <w:bookmarkEnd w:id="133"/>
      <w:r w:rsidRPr="00B63B58">
        <w:rPr>
          <w:lang w:val="en-US"/>
        </w:rPr>
        <w:t xml:space="preserve">Webster, J., &amp; Watson, R. T. (2002). Analyzing the past to prepare for the future: Writing a literature review. </w:t>
      </w:r>
      <w:r w:rsidRPr="00B63B58">
        <w:rPr>
          <w:i/>
          <w:iCs/>
          <w:lang w:val="en-US"/>
        </w:rPr>
        <w:t>MIS Quarterly</w:t>
      </w:r>
      <w:r w:rsidRPr="00B63B58">
        <w:rPr>
          <w:lang w:val="en-US"/>
        </w:rPr>
        <w:t xml:space="preserve">, </w:t>
      </w:r>
      <w:r w:rsidRPr="00B63B58">
        <w:rPr>
          <w:i/>
          <w:iCs/>
          <w:lang w:val="en-US"/>
        </w:rPr>
        <w:t>26</w:t>
      </w:r>
      <w:r w:rsidRPr="00B63B58">
        <w:rPr>
          <w:lang w:val="en-US"/>
        </w:rPr>
        <w:t>(2), xiii–xxiii.</w:t>
      </w:r>
    </w:p>
    <w:p w14:paraId="35733387" w14:textId="77777777" w:rsidR="00FE7890" w:rsidRPr="00B63B58" w:rsidRDefault="00000000" w:rsidP="00D9222E">
      <w:pPr>
        <w:pStyle w:val="Bibliografia"/>
        <w:spacing w:after="120"/>
        <w:rPr>
          <w:lang w:val="en-US"/>
        </w:rPr>
      </w:pPr>
      <w:bookmarkStart w:id="135" w:name="ref-WIPO2018"/>
      <w:bookmarkEnd w:id="134"/>
      <w:r w:rsidRPr="00B63B58">
        <w:rPr>
          <w:lang w:val="en-US"/>
        </w:rPr>
        <w:t xml:space="preserve">WIPO. (2018). </w:t>
      </w:r>
      <w:r w:rsidRPr="00B63B58">
        <w:rPr>
          <w:i/>
          <w:iCs/>
          <w:lang w:val="en-US"/>
        </w:rPr>
        <w:t>Patent cooperation treaty yearly review - 2018</w:t>
      </w:r>
      <w:r w:rsidRPr="00B63B58">
        <w:rPr>
          <w:lang w:val="en-US"/>
        </w:rPr>
        <w:t>. World Intellectual Property Organization.</w:t>
      </w:r>
    </w:p>
    <w:p w14:paraId="35733388" w14:textId="77777777" w:rsidR="00FE7890" w:rsidRPr="00B63B58" w:rsidRDefault="00000000" w:rsidP="00D9222E">
      <w:pPr>
        <w:pStyle w:val="Bibliografia"/>
        <w:spacing w:after="120"/>
        <w:rPr>
          <w:lang w:val="de-DE"/>
        </w:rPr>
      </w:pPr>
      <w:bookmarkStart w:id="136" w:name="ref-Xu2021"/>
      <w:bookmarkEnd w:id="135"/>
      <w:r w:rsidRPr="00B63B58">
        <w:rPr>
          <w:lang w:val="en-US"/>
        </w:rPr>
        <w:t xml:space="preserve">Xu, F., Kong, F., Peng, H., Dong, S., Gao, W., &amp; Zhang, G. (2021). Combing machine learning and elemental profiling for geographical authentication of Chinese Geographical Indication (GI) rice. </w:t>
      </w:r>
      <w:proofErr w:type="spellStart"/>
      <w:r w:rsidRPr="00B63B58">
        <w:rPr>
          <w:i/>
          <w:iCs/>
          <w:lang w:val="en-US"/>
        </w:rPr>
        <w:t>npj</w:t>
      </w:r>
      <w:proofErr w:type="spellEnd"/>
      <w:r w:rsidRPr="00B63B58">
        <w:rPr>
          <w:i/>
          <w:iCs/>
          <w:lang w:val="en-US"/>
        </w:rPr>
        <w:t xml:space="preserve"> Science of Food</w:t>
      </w:r>
      <w:r w:rsidRPr="00B63B58">
        <w:rPr>
          <w:lang w:val="en-US"/>
        </w:rPr>
        <w:t xml:space="preserve">, </w:t>
      </w:r>
      <w:r w:rsidRPr="00B63B58">
        <w:rPr>
          <w:i/>
          <w:iCs/>
          <w:lang w:val="en-US"/>
        </w:rPr>
        <w:t>5</w:t>
      </w:r>
      <w:r w:rsidRPr="00B63B58">
        <w:rPr>
          <w:lang w:val="en-US"/>
        </w:rPr>
        <w:t xml:space="preserve">(1), 18. </w:t>
      </w:r>
      <w:hyperlink r:id="rId80">
        <w:r w:rsidR="00FE7890" w:rsidRPr="00B63B58">
          <w:rPr>
            <w:rStyle w:val="Hyperlink"/>
            <w:lang w:val="de-DE"/>
          </w:rPr>
          <w:t>https://doi.org/10.1038/s41538-021-00100-8</w:t>
        </w:r>
      </w:hyperlink>
    </w:p>
    <w:p w14:paraId="35733389" w14:textId="77777777" w:rsidR="00FE7890" w:rsidRPr="00B63B58" w:rsidRDefault="00000000" w:rsidP="00D9222E">
      <w:pPr>
        <w:pStyle w:val="Bibliografia"/>
        <w:spacing w:after="120"/>
        <w:rPr>
          <w:lang w:val="en-US"/>
        </w:rPr>
      </w:pPr>
      <w:bookmarkStart w:id="137" w:name="ref-Yang2022"/>
      <w:bookmarkEnd w:id="136"/>
      <w:r w:rsidRPr="00B63B58">
        <w:rPr>
          <w:lang w:val="de-DE"/>
        </w:rPr>
        <w:t xml:space="preserve">Yang, M., Lin, H., &amp; Chen, Y. (2023). </w:t>
      </w:r>
      <w:r w:rsidRPr="00B63B58">
        <w:rPr>
          <w:lang w:val="en-US"/>
        </w:rPr>
        <w:t xml:space="preserve">Toward an Intelligent Blockchain IoT-Enabled Fish Supply Chain: A Review and Conceptual Framework. </w:t>
      </w:r>
      <w:r w:rsidRPr="00B63B58">
        <w:rPr>
          <w:i/>
          <w:iCs/>
          <w:lang w:val="en-US"/>
        </w:rPr>
        <w:t>Sensors</w:t>
      </w:r>
      <w:r w:rsidRPr="00B63B58">
        <w:rPr>
          <w:lang w:val="en-US"/>
        </w:rPr>
        <w:t xml:space="preserve">, </w:t>
      </w:r>
      <w:r w:rsidRPr="00B63B58">
        <w:rPr>
          <w:i/>
          <w:iCs/>
          <w:lang w:val="en-US"/>
        </w:rPr>
        <w:t>23</w:t>
      </w:r>
      <w:r w:rsidRPr="00B63B58">
        <w:rPr>
          <w:lang w:val="en-US"/>
        </w:rPr>
        <w:t xml:space="preserve">(11), 4958. </w:t>
      </w:r>
      <w:hyperlink r:id="rId81">
        <w:r w:rsidR="00FE7890" w:rsidRPr="00B63B58">
          <w:rPr>
            <w:rStyle w:val="Hyperlink"/>
            <w:lang w:val="en-US"/>
          </w:rPr>
          <w:t>https://doi.org/10.3390/s23114958</w:t>
        </w:r>
      </w:hyperlink>
    </w:p>
    <w:p w14:paraId="3573338A" w14:textId="77777777" w:rsidR="00FE7890" w:rsidRPr="00B63B58" w:rsidRDefault="00000000" w:rsidP="00D9222E">
      <w:pPr>
        <w:pStyle w:val="Bibliografia"/>
        <w:spacing w:after="120"/>
        <w:rPr>
          <w:lang w:val="en-US"/>
        </w:rPr>
      </w:pPr>
      <w:bookmarkStart w:id="138" w:name="ref-Young2019"/>
      <w:bookmarkEnd w:id="137"/>
      <w:r w:rsidRPr="00B63B58">
        <w:rPr>
          <w:lang w:val="en-US"/>
        </w:rPr>
        <w:lastRenderedPageBreak/>
        <w:t xml:space="preserve">Young, I. J. B., Luz, S., &amp; Lone, N. (2019). A systematic review of natural language processing for classification tasks in the field of incident reporting and adverse event analysis. </w:t>
      </w:r>
      <w:r w:rsidRPr="00B63B58">
        <w:rPr>
          <w:i/>
          <w:iCs/>
          <w:lang w:val="en-US"/>
        </w:rPr>
        <w:t>International Journal of Medical Informatics</w:t>
      </w:r>
      <w:r w:rsidRPr="00B63B58">
        <w:rPr>
          <w:lang w:val="en-US"/>
        </w:rPr>
        <w:t xml:space="preserve">, </w:t>
      </w:r>
      <w:r w:rsidRPr="00B63B58">
        <w:rPr>
          <w:i/>
          <w:iCs/>
          <w:lang w:val="en-US"/>
        </w:rPr>
        <w:t>132</w:t>
      </w:r>
      <w:r w:rsidRPr="00B63B58">
        <w:rPr>
          <w:lang w:val="en-US"/>
        </w:rPr>
        <w:t xml:space="preserve">, 103971. </w:t>
      </w:r>
      <w:hyperlink r:id="rId82">
        <w:r w:rsidR="00FE7890" w:rsidRPr="00B63B58">
          <w:rPr>
            <w:rStyle w:val="Hyperlink"/>
            <w:lang w:val="en-US"/>
          </w:rPr>
          <w:t>https://doi.org/10.1016/j.ijmedinf.2019.08.018</w:t>
        </w:r>
      </w:hyperlink>
    </w:p>
    <w:p w14:paraId="3573338B" w14:textId="77777777" w:rsidR="00FE7890" w:rsidRPr="00B63B58" w:rsidRDefault="00000000" w:rsidP="00D9222E">
      <w:pPr>
        <w:pStyle w:val="Bibliografia"/>
        <w:spacing w:after="120"/>
        <w:rPr>
          <w:lang w:val="en-US"/>
        </w:rPr>
      </w:pPr>
      <w:bookmarkStart w:id="139" w:name="ref-Zhang2022"/>
      <w:bookmarkEnd w:id="138"/>
      <w:r w:rsidRPr="00B63B58">
        <w:rPr>
          <w:lang w:val="de-DE"/>
        </w:rPr>
        <w:t xml:space="preserve">Zhang, Y., Lin, X., &amp; Liu, H. (2022). </w:t>
      </w:r>
      <w:r w:rsidRPr="00B63B58">
        <w:rPr>
          <w:lang w:val="en-US"/>
        </w:rPr>
        <w:t xml:space="preserve">Blockchain and machine learning for food traceability: A survey. </w:t>
      </w:r>
      <w:r w:rsidRPr="00B63B58">
        <w:rPr>
          <w:i/>
          <w:iCs/>
          <w:lang w:val="en-US"/>
        </w:rPr>
        <w:t>IEEE Transactions on Industrial Informatics</w:t>
      </w:r>
      <w:r w:rsidRPr="00B63B58">
        <w:rPr>
          <w:lang w:val="en-US"/>
        </w:rPr>
        <w:t xml:space="preserve">, </w:t>
      </w:r>
      <w:r w:rsidRPr="00B63B58">
        <w:rPr>
          <w:i/>
          <w:iCs/>
          <w:lang w:val="en-US"/>
        </w:rPr>
        <w:t>18</w:t>
      </w:r>
      <w:r w:rsidRPr="00B63B58">
        <w:rPr>
          <w:lang w:val="en-US"/>
        </w:rPr>
        <w:t xml:space="preserve">(6), 3886–3896. </w:t>
      </w:r>
      <w:hyperlink r:id="rId83">
        <w:r w:rsidR="00FE7890" w:rsidRPr="00B63B58">
          <w:rPr>
            <w:rStyle w:val="Hyperlink"/>
            <w:lang w:val="en-US"/>
          </w:rPr>
          <w:t>https://doi.org/10.1109/TII.2021.3098700</w:t>
        </w:r>
      </w:hyperlink>
    </w:p>
    <w:p w14:paraId="3573338C" w14:textId="77777777" w:rsidR="00FE7890" w:rsidRPr="00B63B58" w:rsidRDefault="00000000" w:rsidP="00D9222E">
      <w:pPr>
        <w:pStyle w:val="Bibliografia"/>
        <w:spacing w:after="120"/>
        <w:rPr>
          <w:lang w:val="en-US"/>
        </w:rPr>
      </w:pPr>
      <w:bookmarkStart w:id="140" w:name="ref-Zhang2024"/>
      <w:bookmarkEnd w:id="139"/>
      <w:r w:rsidRPr="00B63B58">
        <w:rPr>
          <w:lang w:val="en-US"/>
        </w:rPr>
        <w:t xml:space="preserve">Zhang, Z. (2024). Rapid analysis technologies with chemometrics for food authenticity field: A review. </w:t>
      </w:r>
      <w:r w:rsidRPr="00B63B58">
        <w:rPr>
          <w:i/>
          <w:iCs/>
          <w:lang w:val="en-US"/>
        </w:rPr>
        <w:t>Curr Res Food Sci</w:t>
      </w:r>
      <w:r w:rsidRPr="00B63B58">
        <w:rPr>
          <w:lang w:val="en-US"/>
        </w:rPr>
        <w:t xml:space="preserve">, </w:t>
      </w:r>
      <w:r w:rsidRPr="00B63B58">
        <w:rPr>
          <w:i/>
          <w:iCs/>
          <w:lang w:val="en-US"/>
        </w:rPr>
        <w:t>8</w:t>
      </w:r>
      <w:r w:rsidRPr="00B63B58">
        <w:rPr>
          <w:lang w:val="en-US"/>
        </w:rPr>
        <w:t xml:space="preserve">, 100676. </w:t>
      </w:r>
      <w:hyperlink r:id="rId84">
        <w:r w:rsidR="00FE7890" w:rsidRPr="00B63B58">
          <w:rPr>
            <w:rStyle w:val="Hyperlink"/>
            <w:lang w:val="en-US"/>
          </w:rPr>
          <w:t>https://doi.org/10.1016/j.crfs.2024.100676</w:t>
        </w:r>
      </w:hyperlink>
    </w:p>
    <w:p w14:paraId="3573338D" w14:textId="77777777" w:rsidR="00FE7890" w:rsidRDefault="00000000" w:rsidP="00D9222E">
      <w:pPr>
        <w:pStyle w:val="Bibliografia"/>
        <w:spacing w:after="120"/>
      </w:pPr>
      <w:bookmarkStart w:id="141" w:name="ref-Zhou2024"/>
      <w:bookmarkEnd w:id="140"/>
      <w:r w:rsidRPr="00595CBC">
        <w:rPr>
          <w:lang w:val="en-US"/>
        </w:rPr>
        <w:t xml:space="preserve">Zhou, L., Huang, C., &amp; Zhao, Y. (2022). </w:t>
      </w:r>
      <w:r w:rsidRPr="00B63B58">
        <w:rPr>
          <w:lang w:val="en-US"/>
        </w:rPr>
        <w:t xml:space="preserve">6G IoT Tracking- and Machine Learning-Enhanced </w:t>
      </w:r>
      <w:proofErr w:type="spellStart"/>
      <w:r w:rsidRPr="00B63B58">
        <w:rPr>
          <w:lang w:val="en-US"/>
        </w:rPr>
        <w:t>Blockchained</w:t>
      </w:r>
      <w:proofErr w:type="spellEnd"/>
      <w:r w:rsidRPr="00B63B58">
        <w:rPr>
          <w:lang w:val="en-US"/>
        </w:rPr>
        <w:t xml:space="preserve"> Supply Chain Management. </w:t>
      </w:r>
      <w:proofErr w:type="spellStart"/>
      <w:r>
        <w:rPr>
          <w:i/>
          <w:iCs/>
        </w:rPr>
        <w:t>Sensors</w:t>
      </w:r>
      <w:proofErr w:type="spellEnd"/>
      <w:r>
        <w:t xml:space="preserve">, </w:t>
      </w:r>
      <w:r>
        <w:rPr>
          <w:i/>
          <w:iCs/>
        </w:rPr>
        <w:t>22</w:t>
      </w:r>
      <w:r>
        <w:t xml:space="preserve">(24), 9678. </w:t>
      </w:r>
      <w:hyperlink r:id="rId85">
        <w:r w:rsidR="00FE7890">
          <w:rPr>
            <w:rStyle w:val="Hyperlink"/>
          </w:rPr>
          <w:t>https://doi.org/10.3390/s22249678</w:t>
        </w:r>
      </w:hyperlink>
      <w:bookmarkEnd w:id="2"/>
      <w:bookmarkEnd w:id="45"/>
      <w:bookmarkEnd w:id="47"/>
      <w:bookmarkEnd w:id="141"/>
    </w:p>
    <w:sectPr w:rsidR="00FE7890" w:rsidSect="00D63EF6">
      <w:pgSz w:w="12240" w:h="15840"/>
      <w:pgMar w:top="1134" w:right="1701"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0E896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5254333">
    <w:abstractNumId w:val="0"/>
  </w:num>
  <w:num w:numId="25" w16cid:durableId="694114433">
    <w:abstractNumId w:val="1"/>
  </w:num>
  <w:num w:numId="26" w16cid:durableId="2004047199">
    <w:abstractNumId w:val="1"/>
  </w:num>
  <w:num w:numId="27" w16cid:durableId="425198075">
    <w:abstractNumId w:val="1"/>
  </w:num>
  <w:num w:numId="28" w16cid:durableId="1668362009">
    <w:abstractNumId w:val="1"/>
  </w:num>
  <w:num w:numId="29" w16cid:durableId="1880628352">
    <w:abstractNumId w:val="1"/>
  </w:num>
  <w:num w:numId="30" w16cid:durableId="491796189">
    <w:abstractNumId w:val="1"/>
  </w:num>
  <w:num w:numId="31" w16cid:durableId="848256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5CBC"/>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0B3"/>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558"/>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14D"/>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9729B"/>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3B58"/>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3EF6"/>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222E"/>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1827"/>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E7890"/>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331C5"/>
  <w15:docId w15:val="{D6B7D818-33EF-4C7D-8B06-5692172C6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pt-BR"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graph.org" TargetMode="External"/><Relationship Id="rId21" Type="http://schemas.openxmlformats.org/officeDocument/2006/relationships/hyperlink" Target="https://doi.org/10.1186/s12911-021-01533-7" TargetMode="External"/><Relationship Id="rId42" Type="http://schemas.openxmlformats.org/officeDocument/2006/relationships/hyperlink" Target="https://doi.org/10.3390/s18082674" TargetMode="External"/><Relationship Id="rId47" Type="http://schemas.openxmlformats.org/officeDocument/2006/relationships/hyperlink" Target="https://doi.org/10.1080/10618600.2022.2069777" TargetMode="External"/><Relationship Id="rId63" Type="http://schemas.openxmlformats.org/officeDocument/2006/relationships/hyperlink" Target="https://doi.org/10.1007/s12161-025-02840-9" TargetMode="External"/><Relationship Id="rId68" Type="http://schemas.openxmlformats.org/officeDocument/2006/relationships/hyperlink" Target="https://doi.org/10.3390/rs11080920" TargetMode="External"/><Relationship Id="rId84" Type="http://schemas.openxmlformats.org/officeDocument/2006/relationships/hyperlink" Target="https://doi.org/10.1016/j.crfs.2024.100676" TargetMode="External"/><Relationship Id="rId16" Type="http://schemas.openxmlformats.org/officeDocument/2006/relationships/hyperlink" Target="http://www.planalto.gov.br/ccivil_03/leis/l9279.htm" TargetMode="External"/><Relationship Id="rId11" Type="http://schemas.openxmlformats.org/officeDocument/2006/relationships/hyperlink" Target="https://doi.org/10.1016/j.trac.2020.116140" TargetMode="External"/><Relationship Id="rId32" Type="http://schemas.openxmlformats.org/officeDocument/2006/relationships/hyperlink" Target="https://doi.org/10.5281/zenodo.1234567" TargetMode="External"/><Relationship Id="rId37" Type="http://schemas.openxmlformats.org/officeDocument/2006/relationships/hyperlink" Target="https://doi.org/10.1016/j.foodchem.2025.145007" TargetMode="External"/><Relationship Id="rId53" Type="http://schemas.openxmlformats.org/officeDocument/2006/relationships/hyperlink" Target="https://doi.org/10.1016/j.joi.2011.04.001" TargetMode="External"/><Relationship Id="rId58" Type="http://schemas.openxmlformats.org/officeDocument/2006/relationships/hyperlink" Target="https://doi.org/10.1016/j.tifs.2025.105405" TargetMode="External"/><Relationship Id="rId74" Type="http://schemas.openxmlformats.org/officeDocument/2006/relationships/hyperlink" Target="https://www.interregeurope.eu" TargetMode="External"/><Relationship Id="rId79" Type="http://schemas.openxmlformats.org/officeDocument/2006/relationships/hyperlink" Target="https://doi.org/10.1155/2022/3832170" TargetMode="External"/><Relationship Id="rId5" Type="http://schemas.openxmlformats.org/officeDocument/2006/relationships/image" Target="media/image1.png"/><Relationship Id="rId19" Type="http://schemas.openxmlformats.org/officeDocument/2006/relationships/hyperlink" Target="http://www.planalto.gov.br/ccivil_03/_ato2023-2026/2024/lei/l15068.htm" TargetMode="External"/><Relationship Id="rId14" Type="http://schemas.openxmlformats.org/officeDocument/2006/relationships/hyperlink" Target="https://doi.org/10.1177/014920639101700108" TargetMode="External"/><Relationship Id="rId22" Type="http://schemas.openxmlformats.org/officeDocument/2006/relationships/hyperlink" Target="https://doi.org/10.1186/s40537-020-00327-4" TargetMode="External"/><Relationship Id="rId27" Type="http://schemas.openxmlformats.org/officeDocument/2006/relationships/hyperlink" Target="https://doi.org/10.1016/j.ecoinf.2021.101472" TargetMode="External"/><Relationship Id="rId30" Type="http://schemas.openxmlformats.org/officeDocument/2006/relationships/hyperlink" Target="https://doi.org/10.1016/j.heliyon.2024.e32297" TargetMode="External"/><Relationship Id="rId35" Type="http://schemas.openxmlformats.org/officeDocument/2006/relationships/hyperlink" Target="https://doi.org/10.1016/j.jfca.2024.106668" TargetMode="External"/><Relationship Id="rId43" Type="http://schemas.openxmlformats.org/officeDocument/2006/relationships/hyperlink" Target="https://doi.org/10.1016/j.fochx.2025.102856" TargetMode="External"/><Relationship Id="rId48" Type="http://schemas.openxmlformats.org/officeDocument/2006/relationships/hyperlink" Target="https://doi.org/10.1016/j.tifs.2019.11.006" TargetMode="External"/><Relationship Id="rId56" Type="http://schemas.openxmlformats.org/officeDocument/2006/relationships/hyperlink" Target="https://www.wipo.int/" TargetMode="External"/><Relationship Id="rId64" Type="http://schemas.openxmlformats.org/officeDocument/2006/relationships/hyperlink" Target="http://ainfo.cnptia.embrapa.br/digital/bitstream/item/181677/1/SiBCS-2018-ISBN-9788570358172.epub" TargetMode="External"/><Relationship Id="rId69" Type="http://schemas.openxmlformats.org/officeDocument/2006/relationships/hyperlink" Target="https://doi.org/10.1037/0033-2909.86.2.420" TargetMode="External"/><Relationship Id="rId77" Type="http://schemas.openxmlformats.org/officeDocument/2006/relationships/hyperlink" Target="https://doi.org/10.1109/JSEN.2020.3048534" TargetMode="External"/><Relationship Id="rId8" Type="http://schemas.openxmlformats.org/officeDocument/2006/relationships/image" Target="media/image4.png"/><Relationship Id="rId51" Type="http://schemas.openxmlformats.org/officeDocument/2006/relationships/hyperlink" Target="https://doi.org/10.3390/foods13020243" TargetMode="External"/><Relationship Id="rId72" Type="http://schemas.openxmlformats.org/officeDocument/2006/relationships/hyperlink" Target="https://www.R-project.org/" TargetMode="External"/><Relationship Id="rId80" Type="http://schemas.openxmlformats.org/officeDocument/2006/relationships/hyperlink" Target="https://doi.org/10.1038/s41538-021-00100-8" TargetMode="External"/><Relationship Id="rId85" Type="http://schemas.openxmlformats.org/officeDocument/2006/relationships/hyperlink" Target="https://doi.org/10.3390/s22249678" TargetMode="External"/><Relationship Id="rId3" Type="http://schemas.openxmlformats.org/officeDocument/2006/relationships/settings" Target="settings.xml"/><Relationship Id="rId12" Type="http://schemas.openxmlformats.org/officeDocument/2006/relationships/hyperlink" Target="https://www.wto.org/english/docs_e/legal_e/27-trips.pdf" TargetMode="External"/><Relationship Id="rId17" Type="http://schemas.openxmlformats.org/officeDocument/2006/relationships/hyperlink" Target="http://www.planalto.gov.br/ccivil_03/_ato2004-2006/2004/lei/l10.973.htm" TargetMode="External"/><Relationship Id="rId25" Type="http://schemas.openxmlformats.org/officeDocument/2006/relationships/hyperlink" Target="https://legislacao.presidencia.gov.br/atos/?tipo=DEC&amp;numero=75699&amp;ano=1975" TargetMode="External"/><Relationship Id="rId33" Type="http://schemas.openxmlformats.org/officeDocument/2006/relationships/hyperlink" Target="https://doi.org/10.1108/SCM-11-2020-0576" TargetMode="External"/><Relationship Id="rId38" Type="http://schemas.openxmlformats.org/officeDocument/2006/relationships/hyperlink" Target="https://doi.org/10.1021/bk-2005-0894.ch001" TargetMode="External"/><Relationship Id="rId46" Type="http://schemas.openxmlformats.org/officeDocument/2006/relationships/hyperlink" Target="https://doi.org/10.1002/1520-6297(200022)16:3%3c309::AID-AGR4%3e3.0.CO;2-G" TargetMode="External"/><Relationship Id="rId59" Type="http://schemas.openxmlformats.org/officeDocument/2006/relationships/hyperlink" Target="https://doi.org/10.3390/s23094527" TargetMode="External"/><Relationship Id="rId67" Type="http://schemas.openxmlformats.org/officeDocument/2006/relationships/hyperlink" Target="https://doi.org/10.21105/joss.02341" TargetMode="External"/><Relationship Id="rId20" Type="http://schemas.openxmlformats.org/officeDocument/2006/relationships/hyperlink" Target="https://www.codevasf.gov.br/noticias/2014/artesanato-faz-parte-da-identidade-sociocultural-do-baixo-sao-francisco-sergipano-e-gera-renda-para-populacao-local" TargetMode="External"/><Relationship Id="rId41" Type="http://schemas.openxmlformats.org/officeDocument/2006/relationships/hyperlink" Target="https://doi.org/10.1016/j.foodchem.2024.142088" TargetMode="External"/><Relationship Id="rId54" Type="http://schemas.openxmlformats.org/officeDocument/2006/relationships/hyperlink" Target="https://doi.org/10.1016/j.lwt.2024.115886" TargetMode="External"/><Relationship Id="rId62" Type="http://schemas.openxmlformats.org/officeDocument/2006/relationships/hyperlink" Target="https://doi.org/10.1016/j.jfoodeng.2022.111378" TargetMode="External"/><Relationship Id="rId70" Type="http://schemas.openxmlformats.org/officeDocument/2006/relationships/hyperlink" Target="https://doi.org/10.2307/1412159" TargetMode="External"/><Relationship Id="rId75" Type="http://schemas.openxmlformats.org/officeDocument/2006/relationships/hyperlink" Target="https://doi.org/10.1111/j.1745-4565.2009.00188.x" TargetMode="External"/><Relationship Id="rId83" Type="http://schemas.openxmlformats.org/officeDocument/2006/relationships/hyperlink" Target="https://doi.org/10.1109/TII.2021.3098700"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088/1742-5468/2008/10/P10008" TargetMode="External"/><Relationship Id="rId23" Type="http://schemas.openxmlformats.org/officeDocument/2006/relationships/hyperlink" Target="https://doi.org/10.1371/journal.pone.0299905" TargetMode="External"/><Relationship Id="rId28" Type="http://schemas.openxmlformats.org/officeDocument/2006/relationships/hyperlink" Target="https://doi.org/10.1016/j.jpa.2025.xxxxxx" TargetMode="External"/><Relationship Id="rId36" Type="http://schemas.openxmlformats.org/officeDocument/2006/relationships/hyperlink" Target="https://doi.org/10.1007/s41060-024-00509-w" TargetMode="External"/><Relationship Id="rId49" Type="http://schemas.openxmlformats.org/officeDocument/2006/relationships/hyperlink" Target="https://papers.nips.cc/paper/7062-a-unified-approach-to-interpreting-model-predictions.pdf" TargetMode="External"/><Relationship Id="rId57" Type="http://schemas.openxmlformats.org/officeDocument/2006/relationships/hyperlink" Target="https://doi.org/10.1016/j.fochx.2025.103194" TargetMode="External"/><Relationship Id="rId10" Type="http://schemas.openxmlformats.org/officeDocument/2006/relationships/image" Target="media/image6.png"/><Relationship Id="rId31" Type="http://schemas.openxmlformats.org/officeDocument/2006/relationships/hyperlink" Target="https://doi.org/10.1002/vzj2.20035" TargetMode="External"/><Relationship Id="rId44" Type="http://schemas.openxmlformats.org/officeDocument/2006/relationships/hyperlink" Target="https://arxiv.org/abs/2108.02497" TargetMode="External"/><Relationship Id="rId52" Type="http://schemas.openxmlformats.org/officeDocument/2006/relationships/hyperlink" Target="https://doi.org/10.1007/s12161-024-02625-6" TargetMode="External"/><Relationship Id="rId60" Type="http://schemas.openxmlformats.org/officeDocument/2006/relationships/hyperlink" Target="https://doi.org/10.1016/j.foodchem.2025.144078" TargetMode="External"/><Relationship Id="rId65" Type="http://schemas.openxmlformats.org/officeDocument/2006/relationships/hyperlink" Target="https://doi.org/10.9771/cp.v12i1.27215" TargetMode="External"/><Relationship Id="rId73" Type="http://schemas.openxmlformats.org/officeDocument/2006/relationships/hyperlink" Target="https://www.rstudio.com/" TargetMode="External"/><Relationship Id="rId78" Type="http://schemas.openxmlformats.org/officeDocument/2006/relationships/hyperlink" Target="https://doi.org/10.1016/j.fochx.2025.103069" TargetMode="External"/><Relationship Id="rId81" Type="http://schemas.openxmlformats.org/officeDocument/2006/relationships/hyperlink" Target="https://doi.org/10.3390/s23114958"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3390/su14042420" TargetMode="External"/><Relationship Id="rId18" Type="http://schemas.openxmlformats.org/officeDocument/2006/relationships/hyperlink" Target="http://www.planalto.gov.br/ccivil_03/_ato2015-2018/2016/lei/l13243.htm" TargetMode="External"/><Relationship Id="rId39" Type="http://schemas.openxmlformats.org/officeDocument/2006/relationships/hyperlink" Target="https://www.jstatsoft.org/v25/i01/" TargetMode="External"/><Relationship Id="rId34" Type="http://schemas.openxmlformats.org/officeDocument/2006/relationships/hyperlink" Target="https://doi.org/10.1016/j.foodchem.2024.140903" TargetMode="External"/><Relationship Id="rId50" Type="http://schemas.openxmlformats.org/officeDocument/2006/relationships/hyperlink" Target="https://www.gov.br/agricultura/pt-br/assuntos/sustentabilidade/indicacao-geografica/o-que-e-indicacao-geografica-ig" TargetMode="External"/><Relationship Id="rId55" Type="http://schemas.openxmlformats.org/officeDocument/2006/relationships/hyperlink" Target="https://doi.org/10.1007/s10462-024-10844-w" TargetMode="External"/><Relationship Id="rId76" Type="http://schemas.openxmlformats.org/officeDocument/2006/relationships/hyperlink" Target="https://doi.org/10.1038/s41467-021-23102-2" TargetMode="External"/><Relationship Id="rId7" Type="http://schemas.openxmlformats.org/officeDocument/2006/relationships/image" Target="media/image3.png"/><Relationship Id="rId71" Type="http://schemas.openxmlformats.org/officeDocument/2006/relationships/hyperlink" Target="https://doi.org/10.1111/j.1475-4762.2007.00765.x" TargetMode="External"/><Relationship Id="rId2" Type="http://schemas.openxmlformats.org/officeDocument/2006/relationships/styles" Target="styles.xml"/><Relationship Id="rId29" Type="http://schemas.openxmlformats.org/officeDocument/2006/relationships/hyperlink" Target="https://doi.org/10.1108/BFJ-12-2014-0392" TargetMode="External"/><Relationship Id="rId24" Type="http://schemas.openxmlformats.org/officeDocument/2006/relationships/hyperlink" Target="https://doi.org/10.1080/01621459.1979.10481038" TargetMode="External"/><Relationship Id="rId40" Type="http://schemas.openxmlformats.org/officeDocument/2006/relationships/hyperlink" Target="https://doi.org/10.1111/1541-4337.70082" TargetMode="External"/><Relationship Id="rId45" Type="http://schemas.openxmlformats.org/officeDocument/2006/relationships/hyperlink" Target="https://doi.org/10.1016/j.foodchem.2021.130016" TargetMode="External"/><Relationship Id="rId66" Type="http://schemas.openxmlformats.org/officeDocument/2006/relationships/hyperlink" Target="https://doi.org/10.1162/dint_a_00213" TargetMode="External"/><Relationship Id="rId87" Type="http://schemas.openxmlformats.org/officeDocument/2006/relationships/theme" Target="theme/theme1.xml"/><Relationship Id="rId61" Type="http://schemas.openxmlformats.org/officeDocument/2006/relationships/hyperlink" Target="https://doi.org/10.2174/1386207324666210309102239" TargetMode="External"/><Relationship Id="rId82" Type="http://schemas.openxmlformats.org/officeDocument/2006/relationships/hyperlink" Target="https://doi.org/10.1016/j.ijmedinf.2019.08.01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46</Pages>
  <Words>15541</Words>
  <Characters>101333</Characters>
  <Application>Microsoft Office Word</Application>
  <DocSecurity>0</DocSecurity>
  <Lines>1809</Lines>
  <Paragraphs>503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cp:keywords/>
  <cp:lastModifiedBy>Diego Vidal Santos</cp:lastModifiedBy>
  <cp:revision>7</cp:revision>
  <dcterms:created xsi:type="dcterms:W3CDTF">2025-11-17T20:54:00Z</dcterms:created>
  <dcterms:modified xsi:type="dcterms:W3CDTF">2025-11-18T09:51:00Z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