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54.png" ContentType="image/png"/>
  <Override PartName="/word/media/rId73.png" ContentType="image/png"/>
  <Override PartName="/word/media/rId46.png" ContentType="image/png"/>
  <Override PartName="/word/media/rId20.png" ContentType="image/png"/>
  <Override PartName="/word/media/rId63.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resumo"/>
    <w:p>
      <w:pPr>
        <w:pStyle w:val="Ttulo1"/>
      </w:pPr>
      <w:r>
        <w:t xml:space="preserve">Resumo</w:t>
      </w:r>
    </w:p>
    <w:p>
      <w:pPr>
        <w:pStyle w:val="FirstParagraph"/>
      </w:pPr>
      <w:r>
        <w:t xml:space="preserve">As Indicações Geográficas (IGs) vinculam qualidade ao território, exigindo autenticação robusta. Embora o Aprendizado de Máquina (AM) ofereça potencial para esse domínio, a literatura carece de uma síntese sistemática. Esta revisão de escopo mapeou aplicações de AM em IGs, identificando algoritmos, produtos e rigor metodológico em 148 artigos revisados por pares (2010–2025), selecionados das bases Scopus e Web of Science após triagem de 272 registros. A metodologia integrou filtragem semântica automatizada (precisão de 94,2%), avaliação manual de qualidade (ICC=0,87) e análise estatística multivariada. Os resultados indicam um crescimento superior a 400% nas aplicações desde 2018, organizadas em três módulos tecnológicos principais: Random Forest com espectroscopia para vinhos, SVM com cromatografia para carnes e Deep Learning com sensores para chás. Apesar de a acurácia na autenticação ser alta (80–100%), a generalização permanece limitada; apenas 23% dos estudos empregaram validação espacialmente independente, observando-se degradação de desempenho de 2–15% e um viés de otimismo estatístico em 77% do corpus. Conclui-se que o AM discrimina eficazmente a origem, mas sua adoção regulatória exige protocolos de validação longitudinal, maior explicabilidade dos modelos e governança equitativa para integrar essas tecnologias aos sistemas de certificação de forma confiável.</w:t>
      </w:r>
    </w:p>
    <w:p>
      <w:pPr>
        <w:pStyle w:val="Corpodetexto"/>
      </w:pPr>
      <w:r>
        <w:rPr>
          <w:b/>
          <w:bCs/>
        </w:rPr>
        <w:t xml:space="preserve">Palavras-chave:</w:t>
      </w:r>
      <w:r>
        <w:t xml:space="preserve"> </w:t>
      </w:r>
      <w:r>
        <w:t xml:space="preserve">Geographical Indications; Machine Learning; Artificial Intelligence; Food Traceability; Agroecological Products; Intellectual Property; Territorial Justice; Scoping Review.</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i/>
          <w:iCs/>
        </w:rPr>
        <w:t xml:space="preserve">Convenção de Berna para a Proteção das Obras Literárias e Artísticas</w:t>
      </w:r>
      <w:r>
        <w:t xml:space="preserve">, 1886)</w:t>
      </w:r>
      <w:r>
        <w:t xml:space="preserve"> </w:t>
      </w:r>
      <w:r>
        <w:t xml:space="preserve">e no Acordo TRIPS</w:t>
      </w:r>
      <w:r>
        <w:t xml:space="preserve"> </w:t>
      </w:r>
      <w:r>
        <w:t xml:space="preserve">(</w:t>
      </w:r>
      <w:r>
        <w:rPr>
          <w:i/>
          <w:iCs/>
        </w:rPr>
        <w:t xml:space="preserve">Agreement on Trade-Related Aspects of Intellectual Property Rights (TRIPS)</w:t>
      </w:r>
      <w:r>
        <w:t xml:space="preserve">, 1994)</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Brasil,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w:t>
      </w:r>
      <w:r>
        <w:t xml:space="preserve"> </w:t>
      </w:r>
      <w:r>
        <w:t xml:space="preserve">(R. C. Chen et al., 2020; Ramos et al., 2025)</w:t>
      </w:r>
      <w:r>
        <w:t xml:space="preserve">.</w:t>
      </w:r>
    </w:p>
    <w:p>
      <w:pPr>
        <w:pStyle w:val="Corpodetexto"/>
      </w:pPr>
      <w:r>
        <w:t xml:space="preserve">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w:t>
      </w:r>
      <w:r>
        <w:t xml:space="preserve"> </w:t>
      </w:r>
      <w:r>
        <w:t xml:space="preserve">(Acquarelli et al., 2021; Longo et al., 2021; Rana et al., 2023; Rodrigues et al., 2022)</w:t>
      </w:r>
      <w:r>
        <w:t xml:space="preserve">.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w:t>
      </w:r>
      <w:r>
        <w:t xml:space="preserve"> </w:t>
      </w:r>
      <w:r>
        <w:t xml:space="preserve">(Jiang et al., 2025; Y. Li et al., 2025; Peng et al., 2025; Santomá-Martí et al., 2025; Wang et al., 2025)</w:t>
      </w:r>
      <w:r>
        <w:t xml:space="preserve">.</w:t>
      </w:r>
    </w:p>
    <w:p>
      <w:pPr>
        <w:pStyle w:val="Corpodetexto"/>
      </w:pPr>
      <w:r>
        <w:t xml:space="preserve">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40"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451884"/>
            <wp:effectExtent b="0" l="0" r="0" t="0"/>
            <wp:docPr descr="Fluxograma da revisão de Escopo sobre Aplicações de Machine Learning em Indicações Geográficas."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pPr>
        <w:pStyle w:val="Corpodetexto"/>
      </w:pPr>
      <w:r>
        <w:t xml:space="preserve">Para a extração de dados, foi elaborado um formulário padronizado onde foram registradas as seguintes variáveis de cada estudo que incluiram metadados bibliográficos (autor, ano, título), características geográficas (país de origem, região, tipo de IG), detalhes do produto (categoria, denominação específica), abordagem metodológica (algoritmos de ML, técnicas analíticas/instrumentais, tamanho da amostra) e métricas de desempenho (acurácia, sensibilidade, especificidade, RMSE).</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O sistema de pontuação seguiu princípios do Método de Análise Hierárquica (AHP) representado na Equação 1, organizando os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Termos Prioritários (5 pontos) representam o núcleo conceitual da revisão e incluem expressões como</w:t>
      </w:r>
      <w:r>
        <w:t xml:space="preserve"> </w:t>
      </w:r>
      <w:r>
        <w:rPr>
          <w:i/>
          <w:iCs/>
        </w:rPr>
        <w:t xml:space="preserve">geographical indications, denominations of origin, appellations of origin, protected designations of origin, traceability, authentication, quality control</w:t>
      </w:r>
      <w:r>
        <w:t xml:space="preserve">. Termos de Alta Relevância (3 pontos) capturam conceitos metodológicos centrais, como</w:t>
      </w:r>
      <w:r>
        <w:t xml:space="preserve"> </w:t>
      </w:r>
      <w:r>
        <w:rPr>
          <w:i/>
          <w:iCs/>
        </w:rPr>
        <w:t xml:space="preserve">machine learning, artificial intelligence, deep learning, neural networks, fraud detection, geospatial analysis</w:t>
      </w:r>
      <w:r>
        <w:t xml:space="preserve">. Termos de Relevância Média (2 pontos) cobrem temas complementares, a exemplo de</w:t>
      </w:r>
      <w:r>
        <w:t xml:space="preserve"> </w:t>
      </w:r>
      <w:r>
        <w:rPr>
          <w:i/>
          <w:iCs/>
        </w:rPr>
        <w:t xml:space="preserve">chemometrics, data mining, classification</w:t>
      </w:r>
      <w:r>
        <w:t xml:space="preserve">, enquanto Termos de Contexto (1 ponto) indicam ambientes ou aplicações potenciais, como</w:t>
      </w:r>
      <w:r>
        <w:t xml:space="preserve"> </w:t>
      </w:r>
      <w:r>
        <w:rPr>
          <w:i/>
          <w:iCs/>
        </w:rPr>
        <w:t xml:space="preserve">regional products, certification, prediction, validation</w:t>
      </w:r>
      <w:r>
        <w:t xml:space="preserve">. Termos de Exclusão recebem pesos negativos e penalizam registros fora do escopo, sobretudo em domínios como</w:t>
      </w:r>
      <w:r>
        <w:t xml:space="preserve"> </w:t>
      </w:r>
      <w:r>
        <w:rPr>
          <w:i/>
          <w:iCs/>
        </w:rPr>
        <w:t xml:space="preserve">medical/clinical/pharmaceutical</w:t>
      </w:r>
      <w:r>
        <w:t xml:space="preserve"> </w:t>
      </w:r>
      <w:r>
        <w:t xml:space="preserve">(−5),</w:t>
      </w:r>
      <w:r>
        <w:t xml:space="preserve"> </w:t>
      </w:r>
      <w:r>
        <w:rPr>
          <w:i/>
          <w:iCs/>
        </w:rPr>
        <w:t xml:space="preserve">urban planning/smart cities</w:t>
      </w:r>
      <w:r>
        <w:t xml:space="preserve"> </w:t>
      </w:r>
      <w:r>
        <w:t xml:space="preserve">(−3) e</w:t>
      </w:r>
      <w:r>
        <w:t xml:space="preserve"> </w:t>
      </w:r>
      <w:r>
        <w:rPr>
          <w:i/>
          <w:iCs/>
        </w:rPr>
        <w:t xml:space="preserve">finance/economics/business</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implementação-e-validação-do-sistema"/>
    <w:p>
      <w:pPr>
        <w:pStyle w:val="Ttulo3"/>
      </w:pPr>
      <w:r>
        <w:t xml:space="preserve">2.4.2 Implementação e Validação do Sistema</w:t>
      </w:r>
    </w:p>
    <w:p>
      <w:pPr>
        <w:pStyle w:val="FirstParagraph"/>
      </w:pPr>
      <w:r>
        <w:t xml:space="preserve">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w:t>
      </w:r>
      <w:r>
        <w:t xml:space="preserve"> </w:t>
      </w:r>
      <w:r>
        <w:rPr>
          <w:i/>
          <w:iCs/>
        </w:rPr>
        <w:t xml:space="preserve">machine learning</w:t>
      </w:r>
      <w:r>
        <w:t xml:space="preserve">,</w:t>
      </w:r>
      <w:r>
        <w:t xml:space="preserve"> </w:t>
      </w:r>
      <w:r>
        <w:rPr>
          <w:i/>
          <w:iCs/>
        </w:rPr>
        <w:t xml:space="preserve">geographical indications</w:t>
      </w:r>
      <w:r>
        <w:t xml:space="preserve"> </w:t>
      </w:r>
      <w:r>
        <w:t xml:space="preserve">e</w:t>
      </w:r>
      <w:r>
        <w:t xml:space="preserve"> </w:t>
      </w:r>
      <w:r>
        <w:rPr>
          <w:i/>
          <w:iCs/>
        </w:rPr>
        <w:t xml:space="preserve">authentication</w:t>
      </w:r>
      <w:r>
        <w:t xml:space="preserve">. O valor final representou o melhor compromisso entre sensibilidade e especificidade, estabilizando a concordância interavaliadores nos casos limítrofes.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w:t>
      </w:r>
      <w:r>
        <w:t xml:space="preserve"> </w:t>
      </w:r>
      <w:r>
        <w:t xml:space="preserve">(</w:t>
      </w:r>
      <w:r>
        <w:t xml:space="preserve">Tricco, Lillie, et al.</w:t>
      </w:r>
      <w:r>
        <w:t xml:space="preserve">, 2018)</w:t>
      </w:r>
      <w:r>
        <w:t xml:space="preserve">.</w:t>
      </w:r>
    </w:p>
    <w:p>
      <w:pPr>
        <w:pStyle w:val="Corpodetexto"/>
      </w:pPr>
      <w:r>
        <w:t xml:space="preserve">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A validação resultou em uma taxa de concordância de 90,2% entre o sistema automatizado e a avaliação manual, indicando boa eficácia do algoritmo na triagem temática.</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técnicas de aprendizado de máquina e sistemas de indicações geográficas.</w:t>
      </w:r>
    </w:p>
    <w:p>
      <w:pPr>
        <w:pStyle w:val="Corpodetexto"/>
      </w:pPr>
      <w:r>
        <w:t xml:space="preserve">Para quantificação da cobertura bibliográfica e adequação dos estudos selecionados, foram aplicadas métricas de cobertura de citações e taxa de uso do corpus bibliográfico</w:t>
      </w:r>
      <w:r>
        <w:t xml:space="preserve"> </w:t>
      </w:r>
      <w:r>
        <w:t xml:space="preserve">(Tranfield et al., 2003; Webster &amp; Watson, 2002)</w:t>
      </w:r>
      <w:r>
        <w:t xml:space="preserve">. A partir dessas métricas é possível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w:t>
      </w:r>
      <w:r>
        <w:t xml:space="preserve"> </w:t>
      </w:r>
      <w:r>
        <w:t xml:space="preserve">(</w:t>
      </w:r>
      <w:r>
        <w:t xml:space="preserve">Hong et al.</w:t>
      </w:r>
      <w:r>
        <w:t xml:space="preserve">, 2018; Pluye et al., 2009)</w:t>
      </w:r>
      <w:r>
        <w:t xml:space="preserve"> </w:t>
      </w:r>
      <w:r>
        <w:t xml:space="preserve">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 O coeficiente de correlação intraclasse (ICC) foi calculado conforme</w:t>
      </w:r>
      <w:r>
        <w:t xml:space="preserve"> </w:t>
      </w:r>
      <w:r>
        <w:t xml:space="preserve">Shrout &amp; Fleiss (1979)</w:t>
      </w:r>
      <w:r>
        <w:t xml:space="preserve">, obtendo-se valor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pPr>
        <w:pStyle w:val="Corpodetexto"/>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Na terceira fase, foi analisada a produtividade científica através da Lei de Lotka</w:t>
      </w:r>
      <w:r>
        <w:t xml:space="preserve"> </w:t>
      </w:r>
      <w:r>
        <w:t xml:space="preserve">(Lotka, 1926)</w:t>
      </w:r>
      <w:r>
        <w:t xml:space="preserve">, que examina a distribuição de autores segundo o número de publicações. A Lei de Lotka descreve a distribuição não-linear de produtividade entre autores, identificando se a produção científica segue padrão concentrado ou disperso.</w:t>
      </w:r>
    </w:p>
    <w:p>
      <w:pPr>
        <w:pStyle w:val="Corpodetexto"/>
      </w:pPr>
      <w:r>
        <w:t xml:space="preserve">A análise de cocitação e acoplamento bibliográfico não foram realizadas devido à ausência de campos de referências citadas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fases anteriores com análise documental de marcos regulatórios, fundamentando as recomendações metodológicas da revisão.</w:t>
      </w:r>
    </w:p>
    <w:p>
      <w:pPr>
        <w:pStyle w:val="Corpodetexto"/>
      </w:pPr>
      <w:r>
        <w:t xml:space="preserve">A síntese final combinou análise qualitativa temática com seleção baseada no princípio de Pareto (80/20), priorizando os 20% dos artigos com maior pontuação combinada (40% qualidade metodológica, 35% relevância temática, 25% impacto bibliométrico).</w:t>
      </w:r>
    </w:p>
    <w:p>
      <w:pPr>
        <w:pStyle w:val="Corpodetexto"/>
      </w:pPr>
      <w:r>
        <w:t xml:space="preserve">A pontuação combinada final foi calculada pela Equação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Para caracterizar sistematicamente o corpus bibliográfico e identificar padrões emergentes, as análises estatísticas foram implementadas no ambiente R</w:t>
      </w:r>
      <w:r>
        <w:t xml:space="preserve"> </w:t>
      </w:r>
      <w:r>
        <w:t xml:space="preserve">(R. C. Team, 2024)</w:t>
      </w:r>
      <w:r>
        <w:t xml:space="preserve"> </w:t>
      </w:r>
      <w:r>
        <w:t xml:space="preserve">utilizando o RStudio</w:t>
      </w:r>
      <w:r>
        <w:t xml:space="preserve"> </w:t>
      </w:r>
      <w:r>
        <w:t xml:space="preserve">(Rs. Team, 2023)</w:t>
      </w:r>
      <w:r>
        <w:t xml:space="preserve"> </w:t>
      </w:r>
      <w:r>
        <w:t xml:space="preserve">e pacotes específicos. A Análise de Correspondência Múltipla (MCA) foi adotada para investigar associações entre variáveis categóricas (algoritmos, produtos, regiões, técnicas analíticas), conforme metodologia consolidada por</w:t>
      </w:r>
      <w:r>
        <w:t xml:space="preserve"> </w:t>
      </w:r>
      <w:r>
        <w:t xml:space="preserve">Lê et al. (2008)</w:t>
      </w:r>
      <w:r>
        <w:t xml:space="preserve"> </w:t>
      </w:r>
      <w:r>
        <w:t xml:space="preserve">e</w:t>
      </w:r>
      <w:r>
        <w:t xml:space="preserve"> </w:t>
      </w:r>
      <w:r>
        <w:t xml:space="preserve">Greenacre (2017)</w:t>
      </w:r>
      <w:r>
        <w:t xml:space="preserve">, utilizando o pacote</w:t>
      </w:r>
      <w:r>
        <w:t xml:space="preserve"> </w:t>
      </w:r>
      <w:r>
        <w:rPr>
          <w:rStyle w:val="VerbatimChar"/>
        </w:rPr>
        <w:t xml:space="preserve">FactoMineR</w:t>
      </w:r>
      <w:r>
        <w:t xml:space="preserve"> </w:t>
      </w:r>
      <w:r>
        <w:t xml:space="preserve">para extração das dimensões principais e interpretação das relações conceituais da área. Com base nas mesmas variáveis, procedeu-se, em seguida, à Análise de Clusters (k-means e hierárquica), implementada com</w:t>
      </w:r>
      <w:r>
        <w:t xml:space="preserve"> </w:t>
      </w:r>
      <w:r>
        <w:rPr>
          <w:rStyle w:val="VerbatimChar"/>
        </w:rPr>
        <w:t xml:space="preserve">FactoMineR</w:t>
      </w:r>
      <w:r>
        <w:t xml:space="preserve"> </w:t>
      </w:r>
      <w:r>
        <w:t xml:space="preserve">e</w:t>
      </w:r>
      <w:r>
        <w:t xml:space="preserve"> </w:t>
      </w:r>
      <w:r>
        <w:rPr>
          <w:rStyle w:val="VerbatimChar"/>
        </w:rPr>
        <w:t xml:space="preserve">factoextra</w:t>
      </w:r>
      <w:r>
        <w:t xml:space="preserve">, para identificar agrupamentos recorrentes de combinações produto‑instrumento‑algoritmo, que sintetizam as “famílias tecnológicas” discutidas na seção 3.8.</w:t>
      </w:r>
    </w:p>
    <w:p>
      <w:pPr>
        <w:pStyle w:val="Corpodetexto"/>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grafo não direcionado com cálculo de centralidades de grau, autovetor e intermediação, e a detecção de comunidades foi realizada com o algoritmo de Louvain</w:t>
      </w:r>
      <w:r>
        <w:t xml:space="preserve"> </w:t>
      </w:r>
      <w:r>
        <w:t xml:space="preserve">(Blondel et al., 2008)</w:t>
      </w:r>
      <w:r>
        <w:t xml:space="preserve"> </w:t>
      </w:r>
      <w:r>
        <w:t xml:space="preserve">para identificar módulos temáticos, cujos resultados estruturam as interpretações apresentadas na seção 3.9.</w:t>
      </w:r>
    </w:p>
    <w:p>
      <w:pPr>
        <w:pStyle w:val="Corpodetexto"/>
      </w:pPr>
      <w:r>
        <w:t xml:space="preserve">A evolução temporal das publicações (2010–2025) foi analisada por meio de séries temporais e tendência não paramétrica, empregando o teste de correlação de Spearman</w:t>
      </w:r>
      <w:r>
        <w:t xml:space="preserve"> </w:t>
      </w:r>
      <w:r>
        <w:t xml:space="preserve">(Spearman, 1904)</w:t>
      </w:r>
      <w:r>
        <w:t xml:space="preserve"> </w:t>
      </w:r>
      <w:r>
        <w:t xml:space="preserve">para detectar tendências significativas no número de estudos por ano e na adoção relativa dos principais algoritmos.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transição entre paradigmas algorítmicos.</w:t>
      </w:r>
    </w:p>
    <w:p>
      <w:pPr>
        <w:pStyle w:val="Corpodetexto"/>
      </w:pPr>
      <w:r>
        <w:t xml:space="preserve">Por fim, foram ajustados modelos preditivos globais para avaliar em que medida variáveis bibliométricas e metodológicas permitem antecipar um índice contínuo de pontuação dos estudos e uma classificação dicotômica entre trabalhos de alto e baixo score. Modelos de regressão (Mínimos Quadrados Ordinários, Ridge, Lasso e Random Forest) e de classificação (Regressão Logística e Random Forest) foram estimados com</w:t>
      </w:r>
      <w:r>
        <w:t xml:space="preserve"> </w:t>
      </w:r>
      <w:r>
        <w:rPr>
          <w:rStyle w:val="VerbatimChar"/>
        </w:rPr>
        <w:t xml:space="preserve">caret</w:t>
      </w:r>
      <w:r>
        <w:t xml:space="preserve"> </w:t>
      </w:r>
      <w:r>
        <w:t xml:space="preserve">e</w:t>
      </w:r>
      <w:r>
        <w:t xml:space="preserve"> </w:t>
      </w:r>
      <w:r>
        <w:rPr>
          <w:rStyle w:val="VerbatimChar"/>
        </w:rPr>
        <w:t xml:space="preserve">randomForest</w:t>
      </w:r>
      <w:r>
        <w:t xml:space="preserve">, utilizando validação cruzada k-fold estratificada para controle de sobreajuste. O desempenho foi avaliado por RMSE e</w:t>
      </w:r>
      <w:r>
        <w:t xml:space="preserve"> </w:t>
      </w:r>
      <m:oMath>
        <m:sSup>
          <m:e>
            <m:r>
              <m:t>R</m:t>
            </m:r>
          </m:e>
          <m:sup>
            <m:r>
              <m:t>2</m:t>
            </m:r>
          </m:sup>
        </m:sSup>
      </m:oMath>
      <w:r>
        <w:t xml:space="preserve"> </w:t>
      </w:r>
      <w:r>
        <w:t xml:space="preserve">na regressão, e por acurácia, precisão, sensibilidade e F1-score na classificação, em consonância com os resultados discutidos na seção 3.7.</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(MCA) foi adotada para investigar associações entre as variáveis categóricas (algoritmos, produtos, regiões, etc.), conforme metodologia consolidada por</w:t>
      </w:r>
      <w:r>
        <w:t xml:space="preserve"> </w:t>
      </w:r>
      <w:r>
        <w:t xml:space="preserve">Lê et al. (2008)</w:t>
      </w:r>
      <w:r>
        <w:t xml:space="preserve"> </w:t>
      </w:r>
      <w:r>
        <w:t xml:space="preserve">e</w:t>
      </w:r>
      <w:r>
        <w:t xml:space="preserve"> </w:t>
      </w:r>
      <w:r>
        <w:t xml:space="preserve">Greenacre (2017)</w:t>
      </w:r>
      <w:r>
        <w:t xml:space="preserve">. A análise, conduzida com o pacote</w:t>
      </w:r>
      <w:r>
        <w:t xml:space="preserve"> </w:t>
      </w:r>
      <w:r>
        <w:rPr>
          <w:rStyle w:val="VerbatimChar"/>
        </w:rPr>
        <w:t xml:space="preserve">FactoMineR</w:t>
      </w:r>
      <w:r>
        <w:t xml:space="preserve"> </w:t>
      </w:r>
      <w:r>
        <w:t xml:space="preserve">para a interpretação das relações conceituais da área.</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um grafo não-direcionado ponderado, onde os nós representam entidades (algoritmos, instrumentos analíticos, produtos e regiões) e as arestas indicam co-ocorrência nos estudos, com pesos proporcionais à frequência de co-ocorrência. Foram calculadas métricas de centralidade (grau, intermediação e autovetor) para identificar elementos estruturalmente centrais na rede de conhecimento do campo.</w:t>
      </w:r>
    </w:p>
    <w:p>
      <w:pPr>
        <w:pStyle w:val="Corpodetexto"/>
      </w:pPr>
      <w:r>
        <w:t xml:space="preserve">A detecção de comunidades foi realizada com o algoritmo de Louvain</w:t>
      </w:r>
      <w:r>
        <w:t xml:space="preserve"> </w:t>
      </w:r>
      <w:r>
        <w:t xml:space="preserve">(Blondel et al., 2008)</w:t>
      </w:r>
      <w:r>
        <w:t xml:space="preserve">, método hierárquico baseado em otimização da modularidade que identifica partições da rede maximizando a densidade de conexões intra-módulo. A estrutura modular resultante foi interpretada como módulos tecnológicos temáticos, cujos resultados estruturam as interpretações apresentadas na seção 3.9.</w:t>
      </w:r>
    </w:p>
    <w:bookmarkEnd w:id="37"/>
    <w:bookmarkStart w:id="38" w:name="análise-temporal"/>
    <w:p>
      <w:pPr>
        <w:pStyle w:val="Ttulo3"/>
      </w:pPr>
      <w:r>
        <w:t xml:space="preserve">2.8.3 Análise Temporal</w:t>
      </w:r>
    </w:p>
    <w:p>
      <w:pPr>
        <w:pStyle w:val="FirstParagraph"/>
      </w:pPr>
      <w:r>
        <w:t xml:space="preserve">A evolução temporal das publicações (2010–2025) foi analisada por meio de séries temporais, empregando o teste de correlação de Spearman</w:t>
      </w:r>
      <w:r>
        <w:t xml:space="preserve"> </w:t>
      </w:r>
      <w:r>
        <w:t xml:space="preserve">(Spearman, 1904)</w:t>
      </w:r>
      <w:r>
        <w:t xml:space="preserve"> </w:t>
      </w:r>
      <w:r>
        <w:t xml:space="preserve">para detectar tendências significativas.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adoção de diferentes tecnologias.</w:t>
      </w:r>
    </w:p>
    <w:bookmarkEnd w:id="38"/>
    <w:bookmarkEnd w:id="39"/>
    <w:bookmarkEnd w:id="40"/>
    <w:bookmarkStart w:id="85" w:name="resultados-e-discussão"/>
    <w:p>
      <w:pPr>
        <w:pStyle w:val="Ttulo1"/>
      </w:pPr>
      <w:r>
        <w:t xml:space="preserve">3. Resultados e Discussão</w:t>
      </w:r>
    </w:p>
    <w:bookmarkStart w:id="45" w:name="síntese-executiva-da-revisão-de-escopo"/>
    <w:p>
      <w:pPr>
        <w:pStyle w:val="Ttulo2"/>
      </w:pPr>
      <w:r>
        <w:t xml:space="preserve">3.1 Síntese Executiva da Revisão de Escopo</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4" w:name="fig:prisma2020"/>
    <w:p>
      <w:pPr>
        <w:pStyle w:val="CaptionedFigure"/>
      </w:pPr>
      <w:r>
        <w:drawing>
          <wp:inline>
            <wp:extent cx="4480560" cy="2473085"/>
            <wp:effectExtent b="0" l="0" r="0" t="0"/>
            <wp:docPr descr="Fluxograma da revisão de Escopo sobre Aplicações de Machine Learning em Indicações Geográficas."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4"/>
    <w:p>
      <w:pPr>
        <w:pStyle w:val="Corpodetexto"/>
      </w:pPr>
      <w:r>
        <w:t xml:space="preserve">A filtragem automatizada por análise semântica e pontuação,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5"/>
    <w:bookmarkStart w:id="58"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bookmarkStart w:id="49" w:name="fig:mca_temporal"/>
    <w:p>
      <w:pPr>
        <w:pStyle w:val="CaptionedFigure"/>
      </w:pPr>
      <w:r>
        <w:drawing>
          <wp:inline>
            <wp:extent cx="4480560" cy="3200206"/>
            <wp:effectExtent b="0" l="0" r="0" t="0"/>
            <wp:docPr descr="Biplot de Análise de Correspondência Múltipla (ACM) sobre a evolução temporal das aplicações de ML para autenticação de indicações geográficas (2010-2025)."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p>
    <w:p>
      <w:pPr>
        <w:pStyle w:val="ImageCaption"/>
      </w:pPr>
      <w:r>
        <w:t xml:space="preserve">Biplot de Análise de Correspondência Múltipla (ACM) sobre a evolução temporal das aplicações de ML para autenticação de indicações geográficas (2010-2025).</w:t>
      </w:r>
    </w:p>
    <w:bookmarkEnd w:id="49"/>
    <w:p>
      <w:pPr>
        <w:pStyle w:val="Corpodetexto"/>
      </w:pPr>
      <w:r>
        <w:rPr>
          <w:i/>
          <w:iCs/>
        </w:rPr>
        <w:t xml:space="preserve">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pPr>
        <w:pStyle w:val="Corpodetexto"/>
      </w:pPr>
      <w:r>
        <w:t xml:space="preserve">Como pode ser visto na Figura 3, 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w:t>
      </w:r>
      <w:r>
        <w:t xml:space="preserve"> </w:t>
      </w:r>
      <w:r>
        <w:t xml:space="preserve">(Mohammadi et al., 2024; Rebiai et al., 2022)</w:t>
      </w:r>
      <w:r>
        <w:t xml:space="preserve">.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w:t>
      </w:r>
      <w:r>
        <w:t xml:space="preserve"> </w:t>
      </w:r>
      <w:r>
        <w:t xml:space="preserve">(Liakos et al., 2018)</w:t>
      </w:r>
      <w:r>
        <w:t xml:space="preserve">. A fase recente (2022–2025), que concentra 64% do corpus, corresponde a uma expansão rápida e heterogênea, com crescimento das aplicações de Deep Learning, metabolômica</w:t>
      </w:r>
      <w:r>
        <w:t xml:space="preserve"> </w:t>
      </w:r>
      <w:r>
        <w:rPr>
          <w:i/>
          <w:iCs/>
        </w:rPr>
        <w:t xml:space="preserve">untargeted</w:t>
      </w:r>
      <w:r>
        <w:t xml:space="preserve">, abordagens multimodais e estratégias de transfer learning</w:t>
      </w:r>
      <w:r>
        <w:t xml:space="preserve"> </w:t>
      </w:r>
      <w:r>
        <w:t xml:space="preserve">(</w:t>
      </w:r>
      <w:r>
        <w:t xml:space="preserve">Feng et al.</w:t>
      </w:r>
      <w:r>
        <w:t xml:space="preserve">, 2025; He et al., 2024; Liu et al., 2025; Peng et al., 2025; Wang et al., 2021)</w:t>
      </w:r>
      <w:r>
        <w:t xml:space="preserve">. A Figura 4 apresenta a análise de redes de co-ocorrência.</w:t>
      </w:r>
    </w:p>
    <w:p>
      <w:pPr>
        <w:pStyle w:val="Corpodetexto"/>
      </w:pPr>
      <w:bookmarkStart w:id="53" w:name="fig:network_analysiss"/>
      <w:r>
        <w:drawing>
          <wp:inline>
            <wp:extent cx="5600700" cy="2115405"/>
            <wp:effectExtent b="0" l="0" r="0" t="0"/>
            <wp:docPr descr="Análise de Redes de Co-ocorrência. (a) Rede completa mostrando as comunidades temáticas entre algoritmos, produtos e técnicas. (b) Rede focada na co-ocorrência entre algoritmos de ML e produtos."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r>
        <w:t xml:space="preserve"> </w:t>
      </w:r>
      <w:r>
        <w:t xml:space="preserve">{#fig:network_analysis_B}</w:t>
      </w:r>
    </w:p>
    <w:p>
      <w:pPr>
        <w:pStyle w:val="Corpodetexto"/>
      </w:pPr>
      <w:r>
        <w:t xml:space="preserve">A dinâmica temporal da produção científica (Figura 5 (a)) revela crescimento exponencial superior a 400% entre 2018 e 2024, reflexo da democratização de ferramentas de ML e da expansão de técnicas analíticas de alta performance</w:t>
      </w:r>
      <w:r>
        <w:t xml:space="preserve"> </w:t>
      </w:r>
      <w:r>
        <w:t xml:space="preserve">(Liakos et al., 2018)</w:t>
      </w:r>
      <w:r>
        <w:t xml:space="preserve">. Paralelamente, a transição paradigmática nos algoritmos empregados (Figura 5 (b)) evidencia a substituição gradual de métodos quimiométricos clássicos (PLS-DA, predominante até 2018) por algoritmos com maior capacidade preditiva e flexibilidade (Random Forest, SVM a partir de 2019), culminando na emergência de Deep Learning e CNNs após 2022, voltados ao processamento de dados hiperespectrais e não estruturados</w:t>
      </w:r>
      <w:r>
        <w:t xml:space="preserve"> </w:t>
      </w:r>
      <w:r>
        <w:t xml:space="preserve">(Lavine &amp; Workman, 2005; Shah et al., 2019)</w:t>
      </w:r>
      <w:r>
        <w:t xml:space="preserve">.</w:t>
      </w:r>
    </w:p>
    <w:bookmarkStart w:id="57" w:name="fig:temporal_algoritmos"/>
    <w:p>
      <w:pPr>
        <w:pStyle w:val="CaptionedFigure"/>
      </w:pPr>
      <w:r>
        <w:drawing>
          <wp:inline>
            <wp:extent cx="4480560" cy="1340935"/>
            <wp:effectExtent b="0" l="0" r="0" t="0"/>
            <wp:docPr descr="Evolução temporal de (a) número de publicações e (b) adoção dos principais algoritmos de Machine Learning em estudos de IGs."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p>
    <w:p>
      <w:pPr>
        <w:pStyle w:val="ImageCaption"/>
      </w:pPr>
      <w:r>
        <w:t xml:space="preserve">Evolução temporal de (a) número de publicações e (b) adoção dos principais algoritmos de Machine Learning em estudos de IGs.</w:t>
      </w:r>
    </w:p>
    <w:bookmarkEnd w:id="57"/>
    <w:bookmarkEnd w:id="58"/>
    <w:bookmarkStart w:id="60"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com ênfase em bebidas alcoólicas, carnes processadas e produtos agrícolas especializados (Apêndice A, Tabela A.1).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w:t>
      </w:r>
      <w:r>
        <w:t xml:space="preserve"> </w:t>
      </w:r>
      <w:r>
        <w:rPr>
          <w:i/>
          <w:iCs/>
        </w:rPr>
        <w:t xml:space="preserve">fingerprinting</w:t>
      </w:r>
      <w:r>
        <w:t xml:space="preserve"> </w:t>
      </w:r>
      <w:r>
        <w:t xml:space="preserve">metabolômico e análise de traços elementares, demonstrando que o perfil químico dessas bebidas está intimamente associado às condições geográficas de produção e a fatores ambientais do terroir</w:t>
      </w:r>
      <w:r>
        <w:t xml:space="preserve"> </w:t>
      </w:r>
      <w:r>
        <w:t xml:space="preserve">(Ramos et al., 2025; Xu et al., 2021)</w:t>
      </w:r>
      <w:r>
        <w:t xml:space="preserve">.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w:t>
      </w:r>
      <w:r>
        <w:t xml:space="preserve"> </w:t>
      </w:r>
      <w:r>
        <w:t xml:space="preserve">(R. C. Chen et al., 2020)</w:t>
      </w:r>
      <w:r>
        <w:t xml:space="preserve">.</w:t>
      </w:r>
    </w:p>
    <w:p>
      <w:pPr>
        <w:pStyle w:val="Corpodetexto"/>
      </w:pPr>
      <w:r>
        <w:t xml:space="preserve">Segmentos como frutas, hortaliças e plantas medicinais expandem esse quadro para uma diversidade maior de matrizes. Em frutas e hortaliças, o ML é empregado para rastrear origem a partir de</w:t>
      </w:r>
      <w:r>
        <w:t xml:space="preserve"> </w:t>
      </w:r>
      <w:r>
        <w:rPr>
          <w:i/>
          <w:iCs/>
        </w:rPr>
        <w:t xml:space="preserve">fingerprints</w:t>
      </w:r>
      <w:r>
        <w:t xml:space="preserve"> </w:t>
      </w:r>
      <w:r>
        <w:t xml:space="preserve">metabólicos e perfis nutricionais, explorando a hipótese de que a assinatura bioquímica dos produtos reflete condições edafoclimáticas específicas</w:t>
      </w:r>
      <w:r>
        <w:t xml:space="preserve"> </w:t>
      </w:r>
      <w:r>
        <w:t xml:space="preserve">(Luan et al., 2020; Peng et al., 2025)</w:t>
      </w:r>
      <w:r>
        <w:t xml:space="preserve">. No caso de plantas medicinais como o</w:t>
      </w:r>
      <w:r>
        <w:t xml:space="preserve"> </w:t>
      </w:r>
      <w:r>
        <w:rPr>
          <w:i/>
          <w:iCs/>
        </w:rPr>
        <w:t xml:space="preserve">Panax notoginseng</w:t>
      </w:r>
      <w:r>
        <w:t xml:space="preserve">, a certificação de origem relaciona-se também à potência farmacológica, reforçando o vínculo entre localização geográfica, composição bioativa e valor agregado</w:t>
      </w:r>
      <w:r>
        <w:t xml:space="preserve"> </w:t>
      </w:r>
      <w:r>
        <w:t xml:space="preserve">(</w:t>
      </w:r>
      <w:r>
        <w:t xml:space="preserve">Feng et al.</w:t>
      </w:r>
      <w:r>
        <w:t xml:space="preserve">, 2025)</w:t>
      </w:r>
      <w:r>
        <w:t xml:space="preserve">.</w:t>
      </w:r>
    </w:p>
    <w:p>
      <w:pPr>
        <w:pStyle w:val="Corpodetexto"/>
      </w:pPr>
      <w:r>
        <w:t xml:space="preserve">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w:t>
      </w:r>
      <w:r>
        <w:t xml:space="preserve"> </w:t>
      </w:r>
      <w:r>
        <w:t xml:space="preserve">(Wang et al., 2025)</w:t>
      </w:r>
      <w:r>
        <w:t xml:space="preserve"> </w:t>
      </w:r>
      <w:r>
        <w:t xml:space="preserve">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bookmarkStart w:id="59" w:name="análise-bibliométrica"/>
    <w:p>
      <w:pPr>
        <w:pStyle w:val="Ttulo3"/>
      </w:pPr>
      <w:r>
        <w:t xml:space="preserve">3.3.1 Análise Bibliométrica</w:t>
      </w:r>
    </w:p>
    <w:p>
      <w:pPr>
        <w:pStyle w:val="FirstParagraph"/>
      </w:pPr>
      <w:r>
        <w:t xml:space="preserve">A Lei de Lotka,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pPr>
        <w:pStyle w:val="Corpodetexto"/>
      </w:pPr>
      <w:r>
        <w:t xml:space="preserve">A aplicação do princípio de Pareto (80/20) resultou na seleção dos 20% dos artigos com maior pontuação combinada, calculada pela Equação 6 (40% qualidade metodológica, 35% relevância temática, 25% impacto bibliométrico). A Tabela A.2 (Apêndice A) apresenta os 10 artigos selecionados com maior pontuação.</w:t>
      </w:r>
    </w:p>
    <w:bookmarkEnd w:id="59"/>
    <w:bookmarkEnd w:id="60"/>
    <w:bookmarkStart w:id="61" w:name="técnicas-de-machine-learning-empregadas"/>
    <w:p>
      <w:pPr>
        <w:pStyle w:val="Ttulo2"/>
      </w:pPr>
      <w:r>
        <w:t xml:space="preserve">3.4 Técnicas de Machine Learning Empregadas</w:t>
      </w:r>
    </w:p>
    <w:bookmarkEnd w:id="61"/>
    <w:bookmarkStart w:id="62" w:name="X4964c4b002a6bcd9bc0fc69dad95c4397d6031b"/>
    <w:p>
      <w:pPr>
        <w:pStyle w:val="Ttulo2"/>
      </w:pPr>
      <w:r>
        <w:t xml:space="preserve">3.5 O Ecossistema Algorítmico na Autenticação de IGs</w:t>
      </w:r>
    </w:p>
    <w:p>
      <w:pPr>
        <w:pStyle w:val="FirstParagraph"/>
      </w:pPr>
      <w:r>
        <w:t xml:space="preserve">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w:t>
      </w:r>
      <w:r>
        <w:t xml:space="preserve"> </w:t>
      </w:r>
      <w:r>
        <w:t xml:space="preserve">Xu et al. (2021)</w:t>
      </w:r>
      <w:r>
        <w:t xml:space="preserve"> </w:t>
      </w:r>
      <w:r>
        <w:t xml:space="preserve">empregaram Random Forest para discriminar a origem de vinhos a partir de perfis elementares, alcançando acurácia superior a 95%, enquanto</w:t>
      </w:r>
      <w:r>
        <w:t xml:space="preserve"> </w:t>
      </w:r>
      <w:r>
        <w:t xml:space="preserve">Mohammadi et al. (2024)</w:t>
      </w:r>
      <w:r>
        <w:t xml:space="preserve"> </w:t>
      </w:r>
      <w:r>
        <w:t xml:space="preserve">integraram SVM com kernel RBF para autenticar azeites a partir de espectroscopia NIR em um cenário de alta dimensionalidade.</w:t>
      </w:r>
    </w:p>
    <w:p>
      <w:pPr>
        <w:pStyle w:val="Corpodetexto"/>
      </w:pPr>
      <w:r>
        <w:t xml:space="preserve">Do ponto de vista funcional, esses modelos podem ser entendidos como dispositivos que transformam vetores de características</w:t>
      </w:r>
      <w:r>
        <w:t xml:space="preserve"> </w:t>
      </w:r>
      <m:oMath>
        <m: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na qual a combinação ponderada das variáveis (</w:t>
      </w:r>
      <m:oMath>
        <m: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w:t>
      </w:r>
      <w:r>
        <w:t xml:space="preserve"> </w:t>
      </w:r>
      <m:oMath>
        <m:r>
          <m:t>w</m:t>
        </m:r>
      </m:oMath>
      <w:r>
        <w:t xml:space="preserve"> </w:t>
      </w:r>
      <w:r>
        <w:t xml:space="preserve">como vetor que concentra os pesos das evidências analíticas em favor de cada origem.</w:t>
      </w:r>
    </w:p>
    <w:p>
      <w:pPr>
        <w:pStyle w:val="Corpodetexto"/>
      </w:pPr>
      <w:r>
        <w:t xml:space="preserve">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w:t>
      </w:r>
      <w:r>
        <w:t xml:space="preserve"> </w:t>
      </w:r>
      <w:r>
        <w:t xml:space="preserve">(</w:t>
      </w:r>
      <w:r>
        <w:rPr>
          <w:b/>
          <w:bCs/>
        </w:rPr>
        <w:t xml:space="preserve">Zhang2025MRF?</w:t>
      </w:r>
      <w:r>
        <w:t xml:space="preserve">)</w:t>
      </w:r>
      <w:r>
        <w:t xml:space="preserve">. Em termos formais, esses modelos operam como comitês de classificadores</w:t>
      </w:r>
      <w:r>
        <w:t xml:space="preserve"> </w:t>
      </w:r>
      <m:oMath>
        <m:sSub>
          <m:e>
            <m:r>
              <m:t>h</m:t>
            </m:r>
          </m:e>
          <m:sub>
            <m:r>
              <m:t>m</m:t>
            </m:r>
          </m:sub>
        </m:sSub>
        <m:r>
          <m:rPr>
            <m:sty m:val="p"/>
          </m:rPr>
          <m:t>(</m:t>
        </m:r>
        <m:r>
          <m:t>x</m:t>
        </m:r>
        <m:r>
          <m:rPr>
            <m:sty m:val="p"/>
          </m:rPr>
          <m:t>)</m:t>
        </m:r>
      </m:oMath>
      <w:r>
        <w:t xml:space="preserve">, agregados em uma decisão final</w:t>
      </w:r>
      <w:r>
        <w:t xml:space="preserve"> </w:t>
      </w:r>
      <m:oMath>
        <m:acc>
          <m:accPr>
            <m:chr m:val="̂"/>
          </m:accPr>
          <m:e>
            <m:r>
              <m:t>y</m:t>
            </m:r>
          </m:e>
        </m:acc>
        <m:r>
          <m:rPr>
            <m:sty m:val="p"/>
          </m:rPr>
          <m:t>=</m:t>
        </m:r>
        <m:r>
          <m:rPr>
            <m:sty m:val="p"/>
          </m:rPr>
          <m:t>a</m:t>
        </m:r>
        <m:r>
          <m:rPr>
            <m:sty m:val="p"/>
          </m:rPr>
          <m:t>g</m:t>
        </m:r>
        <m:r>
          <m:rPr>
            <m:sty m:val="p"/>
          </m:rPr>
          <m:t>g</m:t>
        </m:r>
        <m:r>
          <m:rPr>
            <m:sty m:val="p"/>
          </m:rPr>
          <m:t>(</m:t>
        </m:r>
        <m:sSub>
          <m:e>
            <m:r>
              <m:t>h</m:t>
            </m:r>
          </m:e>
          <m:sub>
            <m:r>
              <m:t>1</m:t>
            </m:r>
          </m:sub>
        </m:sSub>
        <m:r>
          <m:rPr>
            <m:sty m:val="p"/>
          </m:rPr>
          <m:t>(</m:t>
        </m:r>
        <m:r>
          <m:t>x</m:t>
        </m:r>
        <m:r>
          <m:rPr>
            <m:sty m:val="p"/>
          </m:rPr>
          <m:t>)</m:t>
        </m:r>
        <m:r>
          <m:rPr>
            <m:sty m:val="p"/>
          </m:rPr>
          <m:t>,</m:t>
        </m:r>
        <m:r>
          <m:rPr>
            <m:sty m:val="p"/>
          </m:rPr>
          <m:t>…</m:t>
        </m:r>
        <m:r>
          <m:rPr>
            <m:sty m:val="p"/>
          </m:rPr>
          <m:t>,</m:t>
        </m:r>
        <m:sSub>
          <m:e>
            <m:r>
              <m:t>h</m:t>
            </m:r>
          </m:e>
          <m:sub>
            <m:r>
              <m:t>M</m:t>
            </m:r>
          </m:sub>
        </m:sSub>
        <m:r>
          <m:rPr>
            <m:sty m:val="p"/>
          </m:rPr>
          <m:t>(</m:t>
        </m:r>
        <m:r>
          <m:t>x</m:t>
        </m:r>
        <m:r>
          <m:rPr>
            <m:sty m:val="p"/>
          </m:rPr>
          <m:t>)</m:t>
        </m:r>
        <m:r>
          <m:rPr>
            <m:sty m:val="p"/>
          </m:rPr>
          <m:t>)</m:t>
        </m:r>
      </m:oMath>
      <w:r>
        <w:t xml:space="preserve">, usualmente por maioria de votos ou média de probabilidades</w:t>
      </w:r>
      <w:r>
        <w:t xml:space="preserve"> </w:t>
      </w:r>
      <w:r>
        <w:t xml:space="preserve">(Cornelio et al., 2019)</w:t>
      </w:r>
      <w:r>
        <w:t xml:space="preserve">. Em estudos como</w:t>
      </w:r>
      <w:r>
        <w:t xml:space="preserve"> </w:t>
      </w:r>
      <w:r>
        <w:t xml:space="preserve">Y. Li et al. (2025)</w:t>
      </w:r>
      <w:r>
        <w:t xml:space="preserve">, essa arquitetura de comitê foi explorada para isolar subconjuntos de variáveis químicas e elementares que sustentam, de forma transparente, alegações de autenticidade geográfica, uma vez que as VIM indicam quais componentes de</w:t>
      </w:r>
      <w:r>
        <w:t xml:space="preserve"> </w:t>
      </w:r>
      <m:oMath>
        <m:r>
          <m:t>x</m:t>
        </m:r>
      </m:oMath>
      <w:r>
        <w:t xml:space="preserve"> </w:t>
      </w:r>
      <w:r>
        <w:t xml:space="preserve">mais contribuem para alterar</w:t>
      </w:r>
      <w:r>
        <w:t xml:space="preserve"> </w:t>
      </w:r>
      <m:oMath>
        <m:acc>
          <m:accPr>
            <m:chr m:val="̂"/>
          </m:accPr>
          <m:e>
            <m:r>
              <m:t>y</m:t>
            </m:r>
          </m:e>
        </m:acc>
      </m:oMath>
      <w:r>
        <w:t xml:space="preserve"> </w:t>
      </w:r>
      <w:r>
        <w:t xml:space="preserve">de uma denominação para outra.</w:t>
      </w:r>
    </w:p>
    <w:p>
      <w:pPr>
        <w:pStyle w:val="Corpodetexto"/>
      </w:pPr>
      <w:r>
        <w:t xml:space="preserve">Em domínios com dados de imagem ou sinais hiperespectrais, modelos de Deep Learning, especialmente Redes Neurais Convolucionais (CNNs), constituem o padrão emergente.</w:t>
      </w:r>
      <w:r>
        <w:t xml:space="preserve"> </w:t>
      </w:r>
      <w:r>
        <w:t xml:space="preserve">Peng et al. (2025)</w:t>
      </w:r>
      <w:r>
        <w:t xml:space="preserve"> </w:t>
      </w:r>
      <w:r>
        <w:t xml:space="preserve">utilizaram CNNs para classificar chás com IG a partir de imagens hiperespectrais, obtendo discriminação precisa entre diferentes regiões produtoras;</w:t>
      </w:r>
      <w:r>
        <w:t xml:space="preserve"> </w:t>
      </w:r>
      <w:r>
        <w:t xml:space="preserve">Feng et al.</w:t>
      </w:r>
      <w:r>
        <w:t xml:space="preserve"> </w:t>
      </w:r>
      <w:r>
        <w:t xml:space="preserve">(2025)</w:t>
      </w:r>
      <w:r>
        <w:t xml:space="preserve"> </w:t>
      </w:r>
      <w:r>
        <w:t xml:space="preserve">aplicaram arquiteturas profundas para autenticar visualmente plantas medicinais. Nesses modelos, a operação central de convolução pode ser descrita como</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u</m:t>
            </m:r>
            <m:r>
              <m:rPr>
                <m:sty m:val="p"/>
              </m:rPr>
              <m:t>,</m:t>
            </m:r>
            <m:r>
              <m:t>v</m:t>
            </m:r>
          </m:sub>
          <m:sup>
            <m:r>
              <m:t>​</m:t>
            </m:r>
          </m:sup>
          <m:e>
            <m:r>
              <m:t>K</m:t>
            </m:r>
          </m:e>
        </m:nary>
        <m:r>
          <m:rPr>
            <m:sty m:val="p"/>
          </m:rPr>
          <m:t>(</m:t>
        </m:r>
        <m:r>
          <m:t>u</m:t>
        </m:r>
        <m:r>
          <m:rPr>
            <m:sty m:val="p"/>
          </m:rPr>
          <m:t>,</m:t>
        </m:r>
        <m:r>
          <m:t>v</m:t>
        </m:r>
        <m:r>
          <m:rPr>
            <m:sty m:val="p"/>
          </m:rPr>
          <m:t>)</m:t>
        </m:r>
        <m:r>
          <m:rPr>
            <m:sty m:val="p"/>
          </m:rPr>
          <m:t>⋅</m:t>
        </m:r>
        <m:r>
          <m:t>X</m:t>
        </m:r>
        <m:r>
          <m:rPr>
            <m:sty m:val="p"/>
          </m:rPr>
          <m:t>(</m:t>
        </m:r>
        <m:r>
          <m:t>i</m:t>
        </m:r>
        <m:r>
          <m:rPr>
            <m:sty m:val="p"/>
          </m:rPr>
          <m:t>−</m:t>
        </m:r>
        <m:r>
          <m:t>u</m:t>
        </m:r>
        <m:r>
          <m:rPr>
            <m:sty m:val="p"/>
          </m:rPr>
          <m:t>,</m:t>
        </m:r>
        <m:r>
          <m:t>j</m:t>
        </m:r>
        <m:r>
          <m:rPr>
            <m:sty m:val="p"/>
          </m:rPr>
          <m:t>−</m:t>
        </m:r>
        <m:r>
          <m:t>v</m:t>
        </m:r>
        <m:r>
          <m:rPr>
            <m:sty m:val="p"/>
          </m:rPr>
          <m:t>)</m:t>
        </m:r>
      </m:oMath>
      <w:r>
        <w:t xml:space="preserve">, em que um filtro</w:t>
      </w:r>
      <w:r>
        <w:t xml:space="preserve"> </w:t>
      </w:r>
      <m:oMath>
        <m:r>
          <m:t>K</m:t>
        </m:r>
      </m:oMath>
      <w:r>
        <w:t xml:space="preserve"> </w:t>
      </w:r>
      <w:r>
        <w:t xml:space="preserve">varre a matriz de entrada</w:t>
      </w:r>
      <w:r>
        <w:t xml:space="preserve"> </w:t>
      </w:r>
      <m:oMath>
        <m:r>
          <m:t>X</m:t>
        </m:r>
      </m:oMath>
      <w:r>
        <w:t xml:space="preserve"> </w:t>
      </w:r>
      <w:r>
        <w:t xml:space="preserve">(imagem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pPr>
        <w:pStyle w:val="Corpodetexto"/>
      </w:pPr>
      <w:r>
        <w:t xml:space="preserve">Para dados espectrais e quimiométricos, a Análise Discriminante por Mínimos Quadrados Parciais (PLS-DA) permanece central em quase metade dos estudos, consolidando um paradigma bem estabelecido em quimiometria.</w:t>
      </w:r>
      <w:r>
        <w:t xml:space="preserve"> </w:t>
      </w:r>
      <w:r>
        <w:t xml:space="preserve">Rebiai et al. (2022)</w:t>
      </w:r>
      <w:r>
        <w:t xml:space="preserve"> </w:t>
      </w:r>
      <w:r>
        <w:t xml:space="preserve">demonstraram que PLS-DA, acoplada a espectroscopia NIR, discrimina azeites de múltiplas denominações com elevada acurácia, explorando sua robustez frente à multicolinearidade e ao regime</w:t>
      </w:r>
      <w:r>
        <w:t xml:space="preserve"> </w:t>
      </w:r>
      <m:oMath>
        <m:r>
          <m:t>n</m:t>
        </m:r>
        <m:r>
          <m:rPr>
            <m:sty m:val="p"/>
          </m:rPr>
          <m:t>&lt;</m:t>
        </m:r>
        <m:r>
          <m:t>p</m:t>
        </m:r>
      </m:oMath>
      <w:r>
        <w:t xml:space="preserve">. Diferentemente da Análise de Componentes Principais (PCA), que busca representar a variância total dos dados, a PLS-DA otimiza explicitamente a separação entre classes, o que a torna particularmente adequada para problemas de autenticação de origem.</w:t>
      </w:r>
    </w:p>
    <w:p>
      <w:pPr>
        <w:pStyle w:val="Corpodetexto"/>
      </w:pPr>
      <w:r>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w:t>
      </w:r>
      <w:r>
        <w:t xml:space="preserve"> </w:t>
      </w:r>
      <w:r>
        <w:t xml:space="preserve">Ramos et al. (2025)</w:t>
      </w:r>
      <w:r>
        <w:t xml:space="preserve">, por exemplo, aplicaram PCA para condensar milhares de variáveis metabolômicas de vinhos em poucos componentes principais interpretáveis, que em seguida alimentaram um modelo de Random Forest. Em paralelo, métodos de seleção de</w:t>
      </w:r>
      <w:r>
        <w:t xml:space="preserve"> </w:t>
      </w:r>
      <w:r>
        <w:rPr>
          <w:i/>
          <w:iCs/>
        </w:rPr>
        <w:t xml:space="preserve">features</w:t>
      </w:r>
      <w:r>
        <w:t xml:space="preserve"> </w:t>
      </w:r>
      <w:r>
        <w:t xml:space="preserve">como RF-RFE e Boruta, presentes em cerca de um terço dos trabalhos, são empregados para identificar subconjuntos de variáveis com maior poder discriminante.</w:t>
      </w:r>
      <w:r>
        <w:t xml:space="preserve"> </w:t>
      </w:r>
      <w:r>
        <w:t xml:space="preserve">Salam et al.</w:t>
      </w:r>
      <w:r>
        <w:t xml:space="preserve"> </w:t>
      </w:r>
      <w:r>
        <w:t xml:space="preserve">(2021)</w:t>
      </w:r>
      <w:r>
        <w:t xml:space="preserve"> </w:t>
      </w:r>
      <w:r>
        <w:t xml:space="preserve">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computacionais, mas também para chegar a conjuntos compactos de marcadores territoriais com potencial de serem incorporados em protocolos oficiais de certificação.</w:t>
      </w:r>
    </w:p>
    <w:p>
      <w:pPr>
        <w:pStyle w:val="Corpodetexto"/>
      </w:pPr>
      <w:r>
        <w:t xml:space="preserve">Neste sentido, o ecossistema algorítmico observado neste corpus indica que a escolha de modelos em IGs não segue uma lógica meramente incremental (substituir um algoritmo por outro</w:t>
      </w:r>
      <w:r>
        <w:t xml:space="preserve"> </w:t>
      </w:r>
      <w:r>
        <w:t xml:space="preserve">“mais moderno”</w:t>
      </w:r>
      <w:r>
        <w:t xml:space="preserve">),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pPr>
        <w:pStyle w:val="Corpodetexto"/>
      </w:pPr>
      <w:r>
        <w:t xml:space="preserve">Essa necessidade de interpretabilidade transcende o domínio técnico, constituindo-se em requisito fundamental para a validade jurídica e a legitimidade social das decisões de certificação. Em contextos regulatórios como os das Indicações Geográficas, onde a prova de origem deve ser defensável em processos administrativos ou judiciais, algoritmos como Random Forest e PLS-DA, que fornecem medidas de importância de variáveis ou</w:t>
      </w:r>
      <w:r>
        <w:t xml:space="preserve"> </w:t>
      </w:r>
      <w:r>
        <w:rPr>
          <w:i/>
          <w:iCs/>
        </w:rPr>
        <w:t xml:space="preserve">loadings</w:t>
      </w:r>
      <w:r>
        <w:t xml:space="preserve"> </w:t>
      </w:r>
      <w:r>
        <w:t xml:space="preserve">explicitáveis, oferecem uma vantagem crítica sobre modelos de</w:t>
      </w:r>
      <w:r>
        <w:t xml:space="preserve"> </w:t>
      </w:r>
      <w:r>
        <w:t xml:space="preserve">“caixa-preta”</w:t>
      </w:r>
      <w:r>
        <w:t xml:space="preserve"> </w:t>
      </w:r>
      <w:r>
        <w:t xml:space="preserve">como redes neurais profundas. Essa transparência algorítmica não apenas facilita a auditoria científica, mas também reforça a confiança dos stakeholders, produtores, consumidores e reguladores, na integridade do sistema de certificação, transformando a ML de uma ferramenta técnica em um instrumento de governança territorial</w:t>
      </w:r>
      <w:r>
        <w:t xml:space="preserve"> </w:t>
      </w:r>
      <w:r>
        <w:t xml:space="preserve">(He et al., 2024; Lundberg &amp; Lee, 2017)</w:t>
      </w:r>
      <w:r>
        <w:t xml:space="preserve">.</w:t>
      </w:r>
    </w:p>
    <w:bookmarkEnd w:id="62"/>
    <w:bookmarkStart w:id="67" w:name="desempenho-preditivo-dos-modelos"/>
    <w:p>
      <w:pPr>
        <w:pStyle w:val="Ttulo2"/>
      </w:pPr>
      <w:r>
        <w:t xml:space="preserve">3.7 Desempenho Preditivo dos Modelos</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Quando o objetivo é regressão de atributos como acidez, teor de fenóis ou intensidade aromática, a qualidade do ajuste é usualmente medida por métricas como erro absoluto médio (MAE) e raiz do erro quadrático médio (RMSE).</w:t>
      </w:r>
    </w:p>
    <w:p>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O ceticismo em relação a tais resultados é justificado, pois raramente são acompanhados de validação externa robusta que permita estimar o desempenho esperado quando o modelo é exposto a novas amostras não utilizadas no ajuste dos parâmetros.</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o modelo</w:t>
      </w:r>
      <w:r>
        <w:t xml:space="preserve"> </w:t>
      </w:r>
      <w:r>
        <w:t xml:space="preserve">(Kuhn &amp; Johnson, 2013)</w:t>
      </w:r>
      <w:r>
        <w:t xml:space="preserve">. Essa discrepância revela que muitos sistemas operam 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pPr>
        <w:pStyle w:val="Corpodetexto"/>
      </w:pPr>
      <w:r>
        <w:t xml:space="preserve">Essa falha de validação externa não representa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 terroir</w:t>
      </w:r>
      <w:r>
        <w:t xml:space="preserve"> </w:t>
      </w:r>
      <w:r>
        <w:t xml:space="preserve">(He et al., 2024)</w:t>
      </w:r>
      <w:r>
        <w:t xml:space="preserve">.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w:t>
      </w:r>
      <w:r>
        <w:t xml:space="preserve"> </w:t>
      </w:r>
      <w:r>
        <w:t xml:space="preserve">“alto score”</w:t>
      </w:r>
      <w:r>
        <w:t xml:space="preserve"> </w:t>
      </w:r>
      <w:r>
        <w:t xml:space="preserve">e demais artigos. Na tarefa de regressão, comparando modelos lineares e não lineares, a performance foi modesta: o erro médio quadrático (RMSE) variou entre 11,8 e 12,5 e o coeficiente de determinação</w:t>
      </w:r>
      <w:r>
        <w:t xml:space="preserve"> </w:t>
      </w:r>
      <m:oMath>
        <m:sSup>
          <m:e>
            <m:r>
              <m:t>R</m:t>
            </m:r>
          </m:e>
          <m:sup>
            <m:r>
              <m:t>2</m:t>
            </m:r>
          </m:sup>
        </m:sSup>
      </m:oMath>
      <w:r>
        <w:t xml:space="preserve"> </w:t>
      </w:r>
      <w:r>
        <w:t xml:space="preserve">permaneceu baixo (0,11–0,14) mesmo para os melhores modelos (Ridge e Random Forest). Segundo</w:t>
      </w:r>
      <w:r>
        <w:t xml:space="preserve"> </w:t>
      </w:r>
      <w:r>
        <w:t xml:space="preserve">Hair et al. (2010)</w:t>
      </w:r>
      <w:r>
        <w:t xml:space="preserve">, valores de</w:t>
      </w:r>
      <w:r>
        <w:t xml:space="preserve"> </w:t>
      </w:r>
      <m:oMath>
        <m:sSup>
          <m:e>
            <m:r>
              <m:t>R</m:t>
            </m:r>
          </m:e>
          <m:sup>
            <m:r>
              <m:t>2</m:t>
            </m:r>
          </m:sup>
        </m:sSup>
      </m:oMath>
      <w:r>
        <w:t xml:space="preserve"> </w:t>
      </w:r>
      <w:r>
        <w:t xml:space="preserve">abaixo de 0,25 indicam relações fracas entre as variáveis preditoras e a variável dependente.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w:t>
      </w:r>
      <w:r>
        <w:t xml:space="preserve"> </w:t>
      </w:r>
      <w:r>
        <w:t xml:space="preserve">(D. Wang et al., 2013)</w:t>
      </w:r>
      <w:r>
        <w:t xml:space="preserve">.</w:t>
      </w:r>
    </w:p>
    <w:p>
      <w:pPr>
        <w:pStyle w:val="Corpodetexto"/>
      </w:pPr>
      <w:r>
        <w:t xml:space="preserve">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w:t>
      </w:r>
      <w:r>
        <w:t xml:space="preserve"> </w:t>
      </w:r>
      <w:r>
        <w:t xml:space="preserve">(Rudin, 2019)</w:t>
      </w:r>
      <w:r>
        <w:t xml:space="preserve">. Em conjunto, esses achados apontam para uma assimetria que, os mesmos algoritmos que atingem acurácias próximas de 100% em autenticação de produtos mostram desempenho apenas moderado quando aplicados à avaliação global da qualidade dos estudos. A Figura 6 destaca as abordagens lineares simples que apresentam desempenho semelhante a algoritmos mais complexos na predição do score e da categoria de alto score.</w:t>
      </w:r>
    </w:p>
    <w:bookmarkStart w:id="66" w:name="fig:model_metricas"/>
    <w:p>
      <w:pPr>
        <w:pStyle w:val="CaptionedFigure"/>
      </w:pPr>
      <w:r>
        <w:drawing>
          <wp:inline>
            <wp:extent cx="4480560" cy="2613660"/>
            <wp:effectExtent b="0" l="0" r="0" t="0"/>
            <wp:docPr descr="Comparação do desempenho de modelos de regressão e classificação para predição do score contínuo e da categoria de alto score dos estudos." title="" id="64" name="Picture"/>
            <a:graphic>
              <a:graphicData uri="http://schemas.openxmlformats.org/drawingml/2006/picture">
                <pic:pic>
                  <pic:nvPicPr>
                    <pic:cNvPr descr="2-FIGURAS/2-EN/model_metricas_comparacao.png" id="65" name="Picture"/>
                    <pic:cNvPicPr>
                      <a:picLocks noChangeArrowheads="1" noChangeAspect="1"/>
                    </pic:cNvPicPr>
                  </pic:nvPicPr>
                  <pic:blipFill>
                    <a:blip r:embed="rId63"/>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Comparação do desempenho de modelos de regressão e classificação para predição do score contínuo e da categoria de alto score dos estudos.</w:t>
      </w:r>
    </w:p>
    <w:bookmarkEnd w:id="66"/>
    <w:bookmarkEnd w:id="67"/>
    <w:bookmarkStart w:id="72" w:name="aplicações-temáticas-identificadas"/>
    <w:p>
      <w:pPr>
        <w:pStyle w:val="Ttulo2"/>
      </w:pPr>
      <w:r>
        <w:t xml:space="preserve">3.8 Aplicações Temáticas Identificadas</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a diversidade dos desafios enfrentados na autenticação de produtos com IG, assim como, representam uma evolução paradigmática na própria governança da prova de origem</w:t>
      </w:r>
      <w:r>
        <w:t xml:space="preserve"> </w:t>
      </w:r>
      <w:r>
        <w:t xml:space="preserve">(M. Zhang et al., 2024)</w:t>
      </w:r>
      <w:r>
        <w:t xml:space="preserve">. Ao mover a validação territorial de um domínio de expertise tácita e subjetiva para um de evidência computacional auditável, o ML redefine o que constitui</w:t>
      </w:r>
      <w:r>
        <w:t xml:space="preserve"> </w:t>
      </w:r>
      <w:r>
        <w:t xml:space="preserve">“prova de origem”</w:t>
      </w:r>
      <w:r>
        <w:t xml:space="preserve">, transformando a certificação de um processo empírico em um sistema de verificação algorítmica que integra dados analíticos, conhecimento territorial e marcos regulatórios.</w:t>
      </w:r>
    </w:p>
    <w:p>
      <w:pPr>
        <w:pStyle w:val="Corpodetexto"/>
      </w:pPr>
      <w:r>
        <w:t xml:space="preserve">A primeira arquitetura, mais frequente no corpus analisado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Em termos operacionais, esses estudos constroem funções de decisão</w:t>
      </w:r>
      <w:r>
        <w:t xml:space="preserve"> </w:t>
      </w:r>
      <m:oMath>
        <m:r>
          <m:t>f</m:t>
        </m:r>
        <m:r>
          <m:rPr>
            <m:sty m:val="p"/>
          </m:rPr>
          <m:t>(</m:t>
        </m:r>
        <m:r>
          <m:t>x</m:t>
        </m:r>
        <m:r>
          <m:rPr>
            <m:sty m:val="p"/>
          </m:rPr>
          <m:t>)</m:t>
        </m:r>
      </m:oMath>
      <w:r>
        <w:t xml:space="preserve"> </w:t>
      </w:r>
      <w:r>
        <w:t xml:space="preserve">que particionam o espaço de características em regiões associadas a denominações específicas, de modo que cada vetor</w:t>
      </w:r>
      <w:r>
        <w:t xml:space="preserve"> </w:t>
      </w:r>
      <m:oMath>
        <m:r>
          <m:t>x</m:t>
        </m:r>
      </m:oMath>
      <w:r>
        <w:t xml:space="preserve"> </w:t>
      </w:r>
      <w:r>
        <w:t xml:space="preserve">de intensidades ou concentrações seja mapeado para uma origem estimada</w:t>
      </w:r>
      <w:r>
        <w:t xml:space="preserve"> </w:t>
      </w:r>
      <m:oMath>
        <m:acc>
          <m:accPr>
            <m:chr m:val="̂"/>
          </m:accPr>
          <m:e>
            <m:r>
              <m:t>y</m:t>
            </m:r>
          </m:e>
        </m:acc>
      </m:oMath>
      <w:r>
        <w:t xml:space="preserve">. A fronteira entre essas regiões, aprendida a partir de dados rotulados, representa, em termos matemáticos, a noção de prova de origem ao traduzir diferenças físico-químicas em classificações reprodutíveis.</w:t>
      </w:r>
    </w:p>
    <w:p>
      <w:pPr>
        <w:pStyle w:val="Corpodetexto"/>
      </w:pPr>
      <w:r>
        <w:t xml:space="preserve">Autores como</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onde, a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 Nesses cenários, os modelos deixam de apenas atribuir rótulos de origem e passam a aproximar probabilidades de fraude, a partir das quais se estabelece um limiar de decisão para classificar amostras como suspeitas. A escolha desse limiar,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pPr>
        <w:pStyle w:val="Corpodetexto"/>
      </w:pPr>
      <w:r>
        <w:t xml:space="preserve">Em estudos similares,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w:t>
      </w:r>
    </w:p>
    <w:p>
      <w:pPr>
        <w:pStyle w:val="Corpodetexto"/>
      </w:pPr>
      <w:r>
        <w:t xml:space="preserve">Autores como</w:t>
      </w:r>
      <w:r>
        <w:t xml:space="preserve"> </w:t>
      </w:r>
      <w:r>
        <w:t xml:space="preserve">Wang et al. (2025)</w:t>
      </w:r>
      <w:r>
        <w:t xml:space="preserve"> </w:t>
      </w:r>
      <w:r>
        <w:t xml:space="preserve">argumentam que esta arquitetura híbrida, algoritmos de ML operando sobre dados imutáveis em blockchain, 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análise de agrupamento (k-means e hierárquico) organizada sobre as variáveis de produto, instrumento analítico, algoritmo e tipo de aplicação revelou a existência de dez clusters bem definidos, que sintetizam famílias tecnológicas 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redes neurais e espectroscopia NIR são mobilizadas para discriminação de origem, e um conjunto de estudos que integra LC-MS e GC-MS em matrizes como mel e carnes, associadas a SVM, Random Forest e métodos baseados em árvores decisórias.</w:t>
      </w:r>
    </w:p>
    <w:p>
      <w:pPr>
        <w:pStyle w:val="Corpodetexto"/>
      </w:pPr>
      <w:r>
        <w:t xml:space="preserve">Outro cluster relevante reúne aplicações com ICP-MS em carnes e produtos cárneos, nas quais a análise de traços elementares é combinada a algoritmos de classificação para autenticação territorial (Figura 7). Esses agrupamentos mostram que a adoção de técnicas de ML demostra que, instrumentos e algoritmos tendem a se articular em ecossistemas coerentes, nos quais determinadas combinações (por exemplo, NMR + redes neurais em vinhos, FTIR + SVM em azeites) se consolidam como arquiteturas de referência para problemas específicos. Do ponto de vista metodológico, essa estrutura em clusters reforça a existência de caminhos tecnológicos preferenciais, que podem orientar decisões de desenho experimental em futuras aplicações de ML em Indicações Geográficas</w:t>
      </w:r>
      <w:r>
        <w:t xml:space="preserve"> </w:t>
      </w:r>
      <w:r>
        <w:t xml:space="preserve">(J. Li et al., 2025; Qi et al., 2021)</w:t>
      </w:r>
      <w:r>
        <w:t xml:space="preserve">.</w:t>
      </w:r>
    </w:p>
    <w:p>
      <w:pPr>
        <w:pStyle w:val="Corpodetexto"/>
      </w:pPr>
      <w:r>
        <w:t xml:space="preserve">A Figura 7 apresenta o heatmap dos perfis de clusters, evidenciando como combinações específicas de produtos, instrumentos analíticos e algoritmos se organizam em dez famílias tecnológicas recorrentes.</w:t>
      </w:r>
    </w:p>
    <w:bookmarkStart w:id="71" w:name="fig:cluster_heatmap"/>
    <w:p>
      <w:pPr>
        <w:pStyle w:val="CaptionedFigure"/>
      </w:pPr>
      <w:r>
        <w:drawing>
          <wp:inline>
            <wp:extent cx="4480560" cy="3305025"/>
            <wp:effectExtent b="0" l="0" r="0" t="0"/>
            <wp:docPr descr="Heatmap dos perfis de clusters de estudos, mostrando a coocorrência de produtos, instrumentos analíticos e algoritmos de machine learning em dez grupos principais." title="" id="69" name="Picture"/>
            <a:graphic>
              <a:graphicData uri="http://schemas.openxmlformats.org/drawingml/2006/picture">
                <pic:pic>
                  <pic:nvPicPr>
                    <pic:cNvPr descr="2-FIGURAS/2-EN/cluster_heatmap_profiles.png" id="70" name="Picture"/>
                    <pic:cNvPicPr>
                      <a:picLocks noChangeArrowheads="1" noChangeAspect="1"/>
                    </pic:cNvPicPr>
                  </pic:nvPicPr>
                  <pic:blipFill>
                    <a:blip r:embed="rId68"/>
                    <a:stretch>
                      <a:fillRect/>
                    </a:stretch>
                  </pic:blipFill>
                  <pic:spPr bwMode="auto">
                    <a:xfrm>
                      <a:off x="0" y="0"/>
                      <a:ext cx="4480560" cy="3305025"/>
                    </a:xfrm>
                    <a:prstGeom prst="rect">
                      <a:avLst/>
                    </a:prstGeom>
                    <a:noFill/>
                    <a:ln w="9525">
                      <a:noFill/>
                      <a:headEnd/>
                      <a:tailEnd/>
                    </a:ln>
                  </pic:spPr>
                </pic:pic>
              </a:graphicData>
            </a:graphic>
          </wp:inline>
        </w:drawing>
      </w:r>
    </w:p>
    <w:p>
      <w:pPr>
        <w:pStyle w:val="ImageCaption"/>
      </w:pPr>
      <w:r>
        <w:t xml:space="preserve">Heatmap dos perfis de clusters de estudos, mostrando a coocorrência de produtos, instrumentos analíticos e algoritmos de machine learning em dez grupos principais.</w:t>
      </w:r>
    </w:p>
    <w:bookmarkEnd w:id="71"/>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Liu et al. (2025)</w:t>
      </w:r>
      <w:r>
        <w:t xml:space="preserve"> </w:t>
      </w:r>
      <w:r>
        <w:t xml:space="preserve">em 47% dos estudos, emprega ML para predição de atributos de qualidade (acidez, índice de fenóis totais, capacidade antioxidante, textura, perfil sensorial) 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se determinado produto é de origem X, o método busca determinar qual qualidade espera-se desta amostra. Nesses casos, o desempenho é quantificado por coeficientes de determinação (R²), MAE e RMSE que refletem o desvio médio em unidades fisicamente interpretáveis (por exemplo, g/L, unidades de cor, escores sensoriais).</w:t>
      </w:r>
      <w:r>
        <w:t xml:space="preserve"> </w:t>
      </w:r>
      <w:r>
        <w:t xml:space="preserve">Meena et al. (2024)</w:t>
      </w:r>
      <w:r>
        <w:t xml:space="preserve"> </w:t>
      </w:r>
      <w:r>
        <w:t xml:space="preserve">documentaram que regressão constitui a abordagem predominante neste contexto.</w:t>
      </w:r>
    </w:p>
    <w:p>
      <w:pPr>
        <w:pStyle w:val="Corpodetexto"/>
      </w:pPr>
      <w:r>
        <w:t xml:space="preserve">Ainda,</w:t>
      </w:r>
      <w:r>
        <w:t xml:space="preserve"> </w:t>
      </w:r>
      <w:r>
        <w:t xml:space="preserve">Liu et al. (2025)</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w:t>
      </w:r>
      <w:r>
        <w:t xml:space="preserve"> </w:t>
      </w:r>
      <w:r>
        <w:t xml:space="preserve">Ozaki et al. (2021)</w:t>
      </w:r>
      <w:r>
        <w:t xml:space="preserve">, ao passo que modelos em que o RMSE é substancialmente inferior ao desvio típico de métodos convencionais criam, de fato, uma nova camada de controle de qualidade acessível a operações de pequena e média escala</w:t>
      </w:r>
      <w:r>
        <w:t xml:space="preserve"> </w:t>
      </w:r>
      <w:r>
        <w:t xml:space="preserve">(</w:t>
      </w:r>
      <w:r>
        <w:t xml:space="preserve">Ferreira et al.</w:t>
      </w:r>
      <w:r>
        <w:t xml:space="preserve">, 2007; Todeschini et al., 2015)</w:t>
      </w:r>
      <w:r>
        <w:t xml:space="preserve">.</w:t>
      </w:r>
    </w:p>
    <w:p>
      <w:pPr>
        <w:pStyle w:val="Corpodetexto"/>
      </w:pPr>
      <w:r>
        <w:t xml:space="preserve">Por fim,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características demográficas do consumidor e variáveis comportamentais.</w:t>
      </w:r>
      <w:r>
        <w:t xml:space="preserve"> </w:t>
      </w:r>
      <w:r>
        <w:t xml:space="preserve">Ramos et al. (2025)</w:t>
      </w:r>
      <w:r>
        <w:t xml:space="preserve"> </w:t>
      </w:r>
      <w:r>
        <w:t xml:space="preserve">argumentam que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w:t>
      </w:r>
    </w:p>
    <w:bookmarkEnd w:id="72"/>
    <w:bookmarkStart w:id="77" w:name="Xf2e4d763af8e74cc328559f68dab05756ffbf4c"/>
    <w:p>
      <w:pPr>
        <w:pStyle w:val="Ttulo2"/>
      </w:pPr>
      <w:r>
        <w:t xml:space="preserve">3.9 Tendências Metodológicas, Lacunas e Direções para Pesquisa Futura</w:t>
      </w:r>
    </w:p>
    <w:p>
      <w:pPr>
        <w:pStyle w:val="FirstParagraph"/>
      </w:pPr>
      <w:r>
        <w:t xml:space="preserve">A análise de comunidades com o algoritmo de Louvain</w:t>
      </w:r>
      <w:r>
        <w:t xml:space="preserve"> </w:t>
      </w:r>
      <w:r>
        <w:t xml:space="preserve">(Blondel et al., 2008)</w:t>
      </w:r>
      <w:r>
        <w:t xml:space="preserve"> </w:t>
      </w:r>
      <w:r>
        <w:t xml:space="preserve">aplicada à rede de coocorrências (20 nós, 58 arestas, densidade = 0,305, clustering = 0,595) revelou três módulos tecnológicos bem definidos, sintetizados na Tabela 5. Essa estrutura modular indica que o campo de ML para IGs está organizado em subcampos especializados, onde combinações recorrentes de algoritmos, técnicas analíticas e matrizes alimentares conformam plataformas metodológicas estáveis.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Tabela 5: Módulos tecnológicos identificados pela análise de comunidades de Louvain na rede de coocorrências de algoritmos, técnicas analíticas e produtos com Indicação Geográfica.</w:t>
      </w:r>
    </w:p>
    <w:p>
      <w:pPr>
        <w:pStyle w:val="Corpodetexto"/>
      </w:pPr>
      <w:r>
        <w:t xml:space="preserve">A estrutura interna de cada módulo, visualizada na Figura 8, revela padrões de coesão e especialização que fundamentam a organização do campo. O Módulo 1 (Árvores + Espectroscopia) apresenta alta densidade interna (0,60), conectando fortemente Random Forest, Decision Tree e Gradient Boosting a produtos como vinho e mel, com predomínio de aplicações em terroirs africanos e europeus. Essa coesão reflete a consolidação de uma plataforma metodológica madura, na qual classificadores de árvore dominam a autenticação por assinaturas espectrais NIR, explorando a capacidade desses algoritmos de modelar interações não-lineares entre marcadores químicos e origem territorial</w:t>
      </w:r>
      <w:r>
        <w:t xml:space="preserve"> </w:t>
      </w:r>
      <w:r>
        <w:t xml:space="preserve">(Oganesyants et al., 2024; Resce &amp; Vaquero-Piñeiro, 2022)</w:t>
      </w:r>
      <w:r>
        <w:t xml:space="preserve">.</w:t>
      </w:r>
    </w:p>
    <w:p>
      <w:pPr>
        <w:pStyle w:val="Corpodetexto"/>
      </w:pPr>
      <w:r>
        <w:t xml:space="preserve">O Módulo 2 (SVM/KNN + Cromatografia) caracteriza-se por uma arquitetura mais dispersa (densidade = 0,53), conectando SVM e KNN a técnicas cromatográficas de alta resolução (GC-MS, LC-MS) aplicadas predominantemente a carnes e produtos regionais asiáticos. Essa configuração reflete um nicho metodológico especializado em metabolômica direcionada (</w:t>
      </w:r>
      <w:r>
        <w:rPr>
          <w:i/>
          <w:iCs/>
        </w:rPr>
        <w:t xml:space="preserve">targeted</w:t>
      </w:r>
      <w:r>
        <w:t xml:space="preserve">) e huellado cromatográfico, no qual a separação física de compostos precede a classificação algorítmica, uma abordagem particularmente efetiva para matrizes complexas com perfis voláteis e semivoláteis</w:t>
      </w:r>
      <w:r>
        <w:t xml:space="preserve"> </w:t>
      </w:r>
      <w:r>
        <w:t xml:space="preserve">(Santomá-Martí et al., 2025; Shuai et al., 2022)</w:t>
      </w:r>
      <w:r>
        <w:t xml:space="preserve">.</w:t>
      </w:r>
    </w:p>
    <w:p>
      <w:pPr>
        <w:pStyle w:val="Corpodetexto"/>
      </w:pPr>
      <w:r>
        <w:t xml:space="preserve">O Módulo 3 (Redes Neurais + Sensores), e internamente coeso (densidade = 0,68), integra Neural Networks, CNN e Deep Learning a instrumentos espectroscópicos (NIR, FTIR) e sensores portáteis (e-nose) aplicados a azeite, queijo e chá, com estudos concentrados em contextos europeus e asiáticos. Esse módulo representa a fronteira tecnológica do campo, explorando arquiteturas profundas capazes de processar sinais hiperespectrais e dados não estruturados, viabilizando autenticação</w:t>
      </w:r>
      <w:r>
        <w:t xml:space="preserve"> </w:t>
      </w:r>
      <w:r>
        <w:rPr>
          <w:i/>
          <w:iCs/>
        </w:rPr>
        <w:t xml:space="preserve">in-situ</w:t>
      </w:r>
      <w:r>
        <w:t xml:space="preserve"> </w:t>
      </w:r>
      <w:r>
        <w:t xml:space="preserve">e democratização de certificação</w:t>
      </w:r>
      <w:r>
        <w:t xml:space="preserve"> </w:t>
      </w:r>
      <w:r>
        <w:t xml:space="preserve">(Fu et al., 2023; Gazeli et al., 2020; Y. Li et al., 2025)</w:t>
      </w:r>
      <w:r>
        <w:t xml:space="preserve">.</w:t>
      </w:r>
    </w:p>
    <w:p>
      <w:pPr>
        <w:pStyle w:val="Corpodetexto"/>
      </w:pPr>
      <w:r>
        <w:t xml:space="preserve">As métricas de centralidade corroboram o papel estruturante desses módulos em que,</w:t>
      </w:r>
      <w:r>
        <w:t xml:space="preserve"> </w:t>
      </w:r>
      <w:r>
        <w:rPr>
          <w:rStyle w:val="VerbatimChar"/>
        </w:rPr>
        <w:t xml:space="preserve">NeuralNetwork</w:t>
      </w:r>
      <w:r>
        <w:t xml:space="preserve"> </w:t>
      </w:r>
      <w:r>
        <w:t xml:space="preserve">apresenta a maior centralidade global (degree = 15, betweenness = 0,306), atuando como conector entre o Módulo 3 e os demais, enquanto</w:t>
      </w:r>
      <w:r>
        <w:t xml:space="preserve"> </w:t>
      </w:r>
      <w:r>
        <w:rPr>
          <w:rStyle w:val="VerbatimChar"/>
        </w:rPr>
        <w:t xml:space="preserve">SVM</w:t>
      </w:r>
      <w:r>
        <w:t xml:space="preserve"> </w:t>
      </w:r>
      <w:r>
        <w:t xml:space="preserve">(degree = 12) e</w:t>
      </w:r>
      <w:r>
        <w:t xml:space="preserve"> </w:t>
      </w:r>
      <w:r>
        <w:rPr>
          <w:rStyle w:val="VerbatimChar"/>
        </w:rPr>
        <w:t xml:space="preserve">RandomForest</w:t>
      </w:r>
      <w:r>
        <w:t xml:space="preserve"> </w:t>
      </w:r>
      <w:r>
        <w:t xml:space="preserve">(degree = 11) funcionam como núcleos dos Módulos 2 e 1, respectivamente. Destaca-se o papel de ponte desempenhado por plataformas cromatográficas (</w:t>
      </w:r>
      <w:r>
        <w:rPr>
          <w:rStyle w:val="VerbatimChar"/>
        </w:rPr>
        <w:t xml:space="preserve">GCMS</w:t>
      </w:r>
      <w:r>
        <w:t xml:space="preserve"> </w:t>
      </w:r>
      <w:r>
        <w:t xml:space="preserve">betweenness = 0,186;</w:t>
      </w:r>
      <w:r>
        <w:t xml:space="preserve"> </w:t>
      </w:r>
      <w:r>
        <w:rPr>
          <w:rStyle w:val="VerbatimChar"/>
        </w:rPr>
        <w:t xml:space="preserve">LCMS</w:t>
      </w:r>
      <w:r>
        <w:t xml:space="preserve"> </w:t>
      </w:r>
      <w:r>
        <w:t xml:space="preserve">betweenness = 0,105), que conectam o Módulo 2 aos demais, viabilizando fluxos informacionais entre nichos metodológicos e facilitando a transição entre paradigmas tecnológicos</w:t>
      </w:r>
      <w:r>
        <w:t xml:space="preserve"> </w:t>
      </w:r>
      <w:r>
        <w:t xml:space="preserve">(Csárdi &amp; Nepusz, 2006)</w:t>
      </w:r>
      <w:r>
        <w:t xml:space="preserve">.</w:t>
      </w:r>
    </w:p>
    <w:bookmarkStart w:id="76" w:name="fig:louvain_modules"/>
    <w:p>
      <w:pPr>
        <w:pStyle w:val="CaptionedFigure"/>
      </w:pPr>
      <w:r>
        <w:drawing>
          <wp:inline>
            <wp:extent cx="5600700" cy="1960244"/>
            <wp:effectExtent b="0" l="0" r="0" t="0"/>
            <wp:docPr descr="Estrutura interna dos três módulos tecnológicos identificados pelo algoritmo de Louvain. Cada painel mostra as conexões entre algoritmos (vermelho), técnicas analíticas (azul), produtos (verde) e regiões (laranja) dentro de cada comunidade especializada." title="" id="74" name="Picture"/>
            <a:graphic>
              <a:graphicData uri="http://schemas.openxmlformats.org/drawingml/2006/picture">
                <pic:pic>
                  <pic:nvPicPr>
                    <pic:cNvPr descr="2-FIGURAS/2-EN/louvain_modules_detailed.png" id="75" name="Picture"/>
                    <pic:cNvPicPr>
                      <a:picLocks noChangeArrowheads="1" noChangeAspect="1"/>
                    </pic:cNvPicPr>
                  </pic:nvPicPr>
                  <pic:blipFill>
                    <a:blip r:embed="rId73"/>
                    <a:stretch>
                      <a:fillRect/>
                    </a:stretch>
                  </pic:blipFill>
                  <pic:spPr bwMode="auto">
                    <a:xfrm>
                      <a:off x="0" y="0"/>
                      <a:ext cx="5600700" cy="1960244"/>
                    </a:xfrm>
                    <a:prstGeom prst="rect">
                      <a:avLst/>
                    </a:prstGeom>
                    <a:noFill/>
                    <a:ln w="9525">
                      <a:noFill/>
                      <a:headEnd/>
                      <a:tailEnd/>
                    </a:ln>
                  </pic:spPr>
                </pic:pic>
              </a:graphicData>
            </a:graphic>
          </wp:inline>
        </w:drawing>
      </w:r>
    </w:p>
    <w:p>
      <w:pPr>
        <w:pStyle w:val="ImageCaption"/>
      </w:pPr>
      <w:r>
        <w:t xml:space="preserve">Estrutura interna dos três módulos tecnológicos identificados pelo algoritmo de Louvain. Cada painel mostra as conexões entre algoritmos (vermelho), técnicas analíticas (azul), produtos (verde) e regiões (laranja) dentro de cada comunidade especializada.</w:t>
      </w:r>
    </w:p>
    <w:bookmarkEnd w:id="76"/>
    <w:p>
      <w:pPr>
        <w:pStyle w:val="Corpodetexto"/>
      </w:pPr>
      <w:r>
        <w:t xml:space="preserve">Luan et al. (2020)</w:t>
      </w:r>
      <w:r>
        <w:t xml:space="preserve"> </w:t>
      </w:r>
      <w:r>
        <w:t xml:space="preserve">documentaram que a integração de modalidades de dados distintas (metabolômica, perfil elementar, análise isotópica e sensorial) com algoritmos de</w:t>
      </w:r>
      <w:r>
        <w:t xml:space="preserve"> </w:t>
      </w:r>
      <w:r>
        <w:rPr>
          <w:i/>
          <w:iCs/>
        </w:rPr>
        <w:t xml:space="preserve">ensemble</w:t>
      </w:r>
      <w:r>
        <w:t xml:space="preserve"> </w:t>
      </w:r>
      <w:r>
        <w:t xml:space="preserve">vem crescendo, representando 28% dos estudos recentes (2024-2025). Essa fusão multimodal reconhece que a origem geográfica resulta de interações complexas entre fatores ambientais e práticas produtivas, buscando capturar complementaridades informacionais entre diferentes tipos de dados para aumentar poder discriminativo e robustez preditiva.</w:t>
      </w:r>
    </w:p>
    <w:p>
      <w:pPr>
        <w:pStyle w:val="Corpodetexto"/>
      </w:pPr>
      <w:r>
        <w:t xml:space="preserve">Uma lacuna metodológica crítica surge na transferência de aprendizagem entre regiões geográficas (Figura</w:t>
      </w:r>
      <w:r>
        <w:t xml:space="preserve"> </w:t>
      </w:r>
      <w:r>
        <w:t xml:space="preserve">(</w:t>
      </w:r>
      <w:r>
        <w:rPr>
          <w:b/>
          <w:bCs/>
        </w:rPr>
        <w:t xml:space="preserve">fig:louvain_modules?</w:t>
      </w:r>
      <w:r>
        <w:t xml:space="preserve">)</w:t>
      </w:r>
      <w:r>
        <w:t xml:space="preserve">).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w:t>
      </w:r>
      <w:r>
        <w:t xml:space="preserve"> </w:t>
      </w:r>
      <w:r>
        <w:t xml:space="preserve">(Agyekum et al., 2022; Gong et al., 2023; Gupta et al., 2021; Wang et al., 2022; Y. Zhang et al., 2022; Zhou et al., 2022)</w:t>
      </w:r>
      <w:r>
        <w:t xml:space="preserve">. Estudos em sistemas agroalimentares apontam essa convergência como relevante tanto para o compliance regulatório quanto para o</w:t>
      </w:r>
      <w:r>
        <w:t xml:space="preserve"> </w:t>
      </w:r>
      <w:r>
        <w:rPr>
          <w:i/>
          <w:iCs/>
        </w:rPr>
        <w:t xml:space="preserve">compliance</w:t>
      </w:r>
      <w:r>
        <w:t xml:space="preserve"> </w:t>
      </w:r>
      <w:r>
        <w:t xml:space="preserve">regulatório quanto para responder a demandas de consumidores e produtores por autenticidade e sustentabilidade</w:t>
      </w:r>
      <w:r>
        <w:t xml:space="preserve"> </w:t>
      </w:r>
      <w:r>
        <w:t xml:space="preserve">(Sun et al., 2019; Yang et al., 2023)</w:t>
      </w:r>
      <w:r>
        <w:t xml:space="preserve">.</w:t>
      </w:r>
    </w:p>
    <w:p>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w:t>
      </w:r>
      <w:r>
        <w:t xml:space="preserve"> </w:t>
      </w:r>
      <w:r>
        <w:t xml:space="preserve">(Kamilaris &amp; Prenafeta-Boldú, 2018)</w:t>
      </w:r>
      <w:r>
        <w:t xml:space="preserve">. Sem essa validação temporal, a capacidade de generalização dos modelos permanece incerta, limitando sua confiabilidade para fins regulatórios.</w:t>
      </w:r>
    </w:p>
    <w:p>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pode representar um risco para a integridade dos sistemas de certificação</w:t>
      </w:r>
      <w:r>
        <w:t xml:space="preserve"> </w:t>
      </w:r>
      <w:r>
        <w:t xml:space="preserve">(Lones, 2021)</w:t>
      </w:r>
      <w:r>
        <w:t xml:space="preserve">. Por fim, a escassez de diretrizes para a implementação prática em agências certificadoras (11% dos estudos) evidencia uma lacuna na translação do conhecimento, dificultando que os avanços da pesquisa acadêmica se convertam em impacto regulatório e operacional efetivo</w:t>
      </w:r>
      <w:r>
        <w:t xml:space="preserve"> </w:t>
      </w:r>
      <w:r>
        <w:t xml:space="preserve">(Liakos et al., 2018)</w:t>
      </w:r>
      <w:r>
        <w:t xml:space="preserve">.</w:t>
      </w:r>
    </w:p>
    <w:bookmarkEnd w:id="77"/>
    <w:bookmarkStart w:id="78"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w:t>
      </w:r>
      <w:r>
        <w:t xml:space="preserve"> </w:t>
      </w:r>
      <w:r>
        <w:t xml:space="preserve">(R. C. Chen et al., 2020; Effrosynidis &amp; Arampatzis, 2021; Kuhn &amp; Johnson, 2013)</w:t>
      </w:r>
      <w:r>
        <w:t xml:space="preserve">, evidencia que a validação espacialmente independente é condição indispensável para que modelos baseados em ML sejam juridicamente defensáveis.</w:t>
      </w:r>
    </w:p>
    <w:p>
      <w:pPr>
        <w:pStyle w:val="Corpodetexto"/>
      </w:pPr>
      <w:r>
        <w:t xml:space="preserve">Paralelamente, a crescente complexidade dos algoritmos, sobretudo em arquiteturas profundas, intensifica o problema da “caixa‑preta”. Como apenas 14% dos trabalhos empregaram técnicas de explicabilidade como SHAP ou LIME</w:t>
      </w:r>
      <w:r>
        <w:t xml:space="preserve"> </w:t>
      </w:r>
      <w:r>
        <w:t xml:space="preserve">(Effrosynidis &amp; Arampatzis, 2021)</w:t>
      </w:r>
      <w:r>
        <w:t xml:space="preserve">, persiste um descompasso entre o desempenho preditivo e a necessidade de transparência exigida por reguladores e produtores. A preferência por modelos inerentemente interpretáveis, como Random Forest com análise de importância de variáveis ou PLS-DA com</w:t>
      </w:r>
      <w:r>
        <w:t xml:space="preserve"> </w:t>
      </w:r>
      <w:r>
        <w:rPr>
          <w:i/>
          <w:iCs/>
        </w:rPr>
        <w:t xml:space="preserve">loadings</w:t>
      </w:r>
      <w:r>
        <w:t xml:space="preserve"> </w:t>
      </w:r>
      <w:r>
        <w:t xml:space="preserve">explicitáveis, desponta como estratégia pragmática para equilibrar acurácia e explicabilidade, ao mesmo tempo em que viabiliza a identificação de marcadores territoriais passíveis de incorporação em normas técnicas.</w:t>
      </w:r>
    </w:p>
    <w:p>
      <w:pPr>
        <w:pStyle w:val="Corpodetexto"/>
      </w:pPr>
      <w:r>
        <w:t xml:space="preserve">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w:t>
      </w:r>
      <w:r>
        <w:t xml:space="preserve"> </w:t>
      </w:r>
      <w:r>
        <w:t xml:space="preserve">(Frigerio &amp; Campone, 2024; Y. Li et al., 2025)</w:t>
      </w:r>
      <w:r>
        <w:t xml:space="preserve">. A aplicação desses modelos a novas matrizes permitiria transformar IGs em ativos intangíveis estrategicamente manejados, nos termos da Visão Baseada em Recursos</w:t>
      </w:r>
      <w:r>
        <w:t xml:space="preserve"> </w:t>
      </w:r>
      <w:r>
        <w:t xml:space="preserve">(Barney, 1991)</w:t>
      </w:r>
      <w:r>
        <w:t xml:space="preserve">, embora abordagens de valoração econômica (custo, mercado, renda) ainda não estejam integradas aos modelos computacionais</w:t>
      </w:r>
      <w:r>
        <w:t xml:space="preserve"> </w:t>
      </w:r>
      <w:r>
        <w:t xml:space="preserve">(Organization, 2003; Union, 2019)</w:t>
      </w:r>
      <w:r>
        <w:t xml:space="preserve">.</w:t>
      </w:r>
    </w:p>
    <w:p>
      <w:pPr>
        <w:pStyle w:val="Corpodetexto"/>
      </w:pPr>
      <w:r>
        <w:t xml:space="preserve">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pode ser relevante para a legitimidade social dos modelos</w:t>
      </w:r>
      <w:r>
        <w:t xml:space="preserve"> </w:t>
      </w:r>
      <w:r>
        <w:t xml:space="preserve">(Huera-Lucero et al., 2025)</w:t>
      </w:r>
      <w:r>
        <w:t xml:space="preserve">. No contexto brasileiro, marcos legais como a Lei 15.068/2024 (Lei Paul Singer) podem fomentar a criação de Empreendimentos Econômicos Solidários especializados em ML</w:t>
      </w:r>
      <w:r>
        <w:t xml:space="preserve"> </w:t>
      </w:r>
      <w:r>
        <w:t xml:space="preserve">(Brasil, 2024; Mazzucato, 2013)</w:t>
      </w:r>
      <w:r>
        <w:t xml:space="preserve">, desde que acompanhados por redes laboratoriais com protocolos harmonizados</w:t>
      </w:r>
      <w:r>
        <w:t xml:space="preserve"> </w:t>
      </w:r>
      <w:r>
        <w:t xml:space="preserve">(MAPA, 2020)</w:t>
      </w:r>
      <w:r>
        <w:t xml:space="preserve"> </w:t>
      </w:r>
      <w:r>
        <w:t xml:space="preserve">e por arranjos de governança que definam claramente direitos de propriedade intelectual e mecanismos de repartição justa de benefícios derivados do conhecimento territorial.</w:t>
      </w:r>
    </w:p>
    <w:bookmarkEnd w:id="78"/>
    <w:bookmarkStart w:id="80" w:name="conclusão"/>
    <w:p>
      <w:pPr>
        <w:pStyle w:val="Ttulo2"/>
      </w:pPr>
      <w:r>
        <w:t xml:space="preserve">4. Conclusão</w:t>
      </w:r>
    </w:p>
    <w:p>
      <w:pPr>
        <w:pStyle w:val="FirstParagraph"/>
      </w:pPr>
      <w:r>
        <w:t xml:space="preserve">Esta revisão de escopo mapeou a intersecção entre Machine Learning e certificação de origem, revelando um campo em maturação metodológica onde a escolha algorítmica obedece a uma ecologia de restrições informacionais e regulatórias, não apenas ao progresso tecnológico.</w:t>
      </w:r>
    </w:p>
    <w:p>
      <w:pPr>
        <w:pStyle w:val="Corpodetexto"/>
      </w:pPr>
      <w:r>
        <w:t xml:space="preserve">A predominância de validações</w:t>
      </w:r>
      <w:r>
        <w:t xml:space="preserve"> </w:t>
      </w:r>
      <w:r>
        <w:rPr>
          <w:i/>
          <w:iCs/>
        </w:rPr>
        <w:t xml:space="preserve">in silico</w:t>
      </w:r>
      <w:r>
        <w:t xml:space="preserve"> </w:t>
      </w:r>
      <w:r>
        <w:t xml:space="preserve">e a escassez de testes longitudinais e espaciais comprometem a robustez jurídica dos modelos, exigindo protocolos de validação mais rigorosos.</w:t>
      </w:r>
    </w:p>
    <w:p>
      <w:pPr>
        <w:pStyle w:val="Corpodetexto"/>
      </w:pPr>
      <w:r>
        <w:t xml:space="preserve">A integração efetiva em sistemas de certificação demanda uma mudança de paradigma que priorize a explicabilidade e a reprodutibilidade em detrimento da complexidade arquitetural pura.</w:t>
      </w:r>
    </w:p>
    <w:p>
      <w:pPr>
        <w:pStyle w:val="Corpodetexto"/>
      </w:pPr>
      <w:r>
        <w:t xml:space="preserve">Para o Sul Global, o caminho reside no desenvolvimento de metodologias adaptadas aos contextos locais e regimes de biodiversidade, incorporando dimensões de equidade e governança na distribuição dos benefícios do conhecimento territorial.</w:t>
      </w:r>
    </w:p>
    <w:p>
      <w:pPr>
        <w:pStyle w:val="Corpodetexto"/>
      </w:pPr>
      <w:r>
        <w:t xml:space="preserve">A fragmentação atual em silos de dados limita o avanço do campo onde a criação de repositórios públicos padronizados e bibliotecas espectrais compartilhadas é essencial para permitir a validação cruzada global e garantir a transparência necessária aos sistemas de certificação.</w:t>
      </w:r>
    </w:p>
    <w:bookmarkStart w:id="79" w:name="financiamento"/>
    <w:p>
      <w:pPr>
        <w:pStyle w:val="Ttulo3"/>
      </w:pPr>
      <w:r>
        <w:t xml:space="preserve">Financiamento</w:t>
      </w:r>
    </w:p>
    <w:p>
      <w:pPr>
        <w:pStyle w:val="FirstParagraph"/>
      </w:pPr>
      <w:r>
        <w:t xml:space="preserve">A publicação deste artigo foi financiada pelo Instituto Federal de Sergipe (IFS), por meio do Edital nº 29/2025/DPP/PROPEX/IFS.</w:t>
      </w:r>
    </w:p>
    <w:bookmarkEnd w:id="79"/>
    <w:bookmarkEnd w:id="80"/>
    <w:bookmarkStart w:id="81" w:name="agradecimentos"/>
    <w:p>
      <w:pPr>
        <w:pStyle w:val="Ttulo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viabilizou a realização desta pesquisa.</w:t>
      </w:r>
    </w:p>
    <w:bookmarkEnd w:id="81"/>
    <w:bookmarkStart w:id="82" w:name="conflitos-de-interesse"/>
    <w:p>
      <w:pPr>
        <w:pStyle w:val="Ttulo2"/>
      </w:pPr>
      <w:r>
        <w:t xml:space="preserve">Conflitos de Interesse</w:t>
      </w:r>
    </w:p>
    <w:p>
      <w:pPr>
        <w:pStyle w:val="FirstParagraph"/>
      </w:pPr>
      <w:r>
        <w:t xml:space="preserve">Os autores declaram não haver conflitos de interesse.</w:t>
      </w:r>
    </w:p>
    <w:bookmarkEnd w:id="82"/>
    <w:bookmarkStart w:id="84" w:name="declaração-de-disponibilidade-de-dados"/>
    <w:p>
      <w:pPr>
        <w:pStyle w:val="Ttulo2"/>
      </w:pPr>
      <w:r>
        <w:t xml:space="preserve">Declaração de Disponibilidade de Dados</w:t>
      </w:r>
    </w:p>
    <w:p>
      <w:pPr>
        <w:pStyle w:val="FirstParagraph"/>
      </w:pPr>
      <w:r>
        <w:t xml:space="preserve">O conjunto de dados completo que suporta os resultados deste estudo, incluindo o corpus bibliográfico, os scripts de análise e os resultados intermediários, está publicamente disponível no repositório Open Science Framework (OSF) sob o DOI:</w:t>
      </w:r>
      <w:r>
        <w:t xml:space="preserve"> </w:t>
      </w:r>
      <w:hyperlink r:id="rId83">
        <w:r>
          <w:rPr>
            <w:rStyle w:val="Hyperlink"/>
          </w:rPr>
          <w:t xml:space="preserve">https://doi.org/10.17605/OSF.IO/2EKYQ</w:t>
        </w:r>
      </w:hyperlink>
      <w:r>
        <w:t xml:space="preserve">.</w:t>
      </w:r>
    </w:p>
    <w:bookmarkEnd w:id="84"/>
    <w:bookmarkEnd w:id="85"/>
    <w:bookmarkStart w:id="280" w:name="referências"/>
    <w:p>
      <w:pPr>
        <w:pStyle w:val="Ttulo1"/>
      </w:pPr>
      <w:r>
        <w:t xml:space="preserve">Referências</w:t>
      </w:r>
    </w:p>
    <w:bookmarkStart w:id="279" w:name="refs"/>
    <w:bookmarkStart w:id="87"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6">
        <w:r>
          <w:rPr>
            <w:rStyle w:val="Hyperlink"/>
          </w:rPr>
          <w:t xml:space="preserve">https://doi.org/10.1016/j.trac.2020.116140</w:t>
        </w:r>
      </w:hyperlink>
    </w:p>
    <w:bookmarkEnd w:id="87"/>
    <w:bookmarkStart w:id="89"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88">
        <w:r>
          <w:rPr>
            <w:rStyle w:val="Hyperlink"/>
          </w:rPr>
          <w:t xml:space="preserve">https://www.wto.org/english/docs_e/legal_e/27-trips.pdf</w:t>
        </w:r>
      </w:hyperlink>
    </w:p>
    <w:bookmarkEnd w:id="89"/>
    <w:bookmarkStart w:id="91"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0">
        <w:r>
          <w:rPr>
            <w:rStyle w:val="Hyperlink"/>
          </w:rPr>
          <w:t xml:space="preserve">https://doi.org/10.3390/su14042420</w:t>
        </w:r>
      </w:hyperlink>
    </w:p>
    <w:bookmarkEnd w:id="91"/>
    <w:bookmarkStart w:id="92"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2"/>
    <w:bookmarkStart w:id="94"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93">
        <w:r>
          <w:rPr>
            <w:rStyle w:val="Hyperlink"/>
          </w:rPr>
          <w:t xml:space="preserve">https://doi.org/10.1177/014920639101700108</w:t>
        </w:r>
      </w:hyperlink>
    </w:p>
    <w:bookmarkEnd w:id="94"/>
    <w:bookmarkStart w:id="96"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5">
        <w:r>
          <w:rPr>
            <w:rStyle w:val="Hyperlink"/>
          </w:rPr>
          <w:t xml:space="preserve">https://doi.org/10.1088/1742-5468/2008/10/P10008</w:t>
        </w:r>
      </w:hyperlink>
    </w:p>
    <w:bookmarkEnd w:id="96"/>
    <w:bookmarkStart w:id="98"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97">
        <w:r>
          <w:rPr>
            <w:rStyle w:val="Hyperlink"/>
          </w:rPr>
          <w:t xml:space="preserve">http://www.planalto.gov.br/ccivil_03/leis/l9279.htm</w:t>
        </w:r>
      </w:hyperlink>
    </w:p>
    <w:bookmarkEnd w:id="98"/>
    <w:bookmarkStart w:id="100"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99">
        <w:r>
          <w:rPr>
            <w:rStyle w:val="Hyperlink"/>
          </w:rPr>
          <w:t xml:space="preserve">http://www.planalto.gov.br/ccivil_03/_ato2004-2006/2004/lei/l10.973.htm</w:t>
        </w:r>
      </w:hyperlink>
    </w:p>
    <w:bookmarkEnd w:id="100"/>
    <w:bookmarkStart w:id="102"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101">
        <w:r>
          <w:rPr>
            <w:rStyle w:val="Hyperlink"/>
          </w:rPr>
          <w:t xml:space="preserve">http://www.planalto.gov.br/ccivil_03/_ato2015-2018/2016/lei/l13243.htm</w:t>
        </w:r>
      </w:hyperlink>
    </w:p>
    <w:bookmarkEnd w:id="102"/>
    <w:bookmarkStart w:id="104"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3">
        <w:r>
          <w:rPr>
            <w:rStyle w:val="Hyperlink"/>
          </w:rPr>
          <w:t xml:space="preserve">http://www.planalto.gov.br/ccivil_03/_ato2023-2026/2024/lei/l15068.htm</w:t>
        </w:r>
      </w:hyperlink>
    </w:p>
    <w:bookmarkEnd w:id="104"/>
    <w:bookmarkStart w:id="106"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5">
        <w:r>
          <w:rPr>
            <w:rStyle w:val="Hyperlink"/>
          </w:rPr>
          <w:t xml:space="preserve">https://www.codevasf.gov.br/noticias/2014/artesanato-faz-parte-da-identidade-sociocultural-do-baixo-sao-francisco-sergipano-e-gera-renda-para-populacao-local</w:t>
        </w:r>
      </w:hyperlink>
    </w:p>
    <w:bookmarkEnd w:id="106"/>
    <w:bookmarkStart w:id="108"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07">
        <w:r>
          <w:rPr>
            <w:rStyle w:val="Hyperlink"/>
          </w:rPr>
          <w:t xml:space="preserve">https://doi.org/10.1186/s12911-021-01533-7</w:t>
        </w:r>
      </w:hyperlink>
    </w:p>
    <w:bookmarkEnd w:id="108"/>
    <w:bookmarkStart w:id="110"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9">
        <w:r>
          <w:rPr>
            <w:rStyle w:val="Hyperlink"/>
          </w:rPr>
          <w:t xml:space="preserve">https://doi.org/10.1186/s40537-020-00327-4</w:t>
        </w:r>
      </w:hyperlink>
    </w:p>
    <w:bookmarkEnd w:id="110"/>
    <w:bookmarkStart w:id="112"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1">
        <w:r>
          <w:rPr>
            <w:rStyle w:val="Hyperlink"/>
          </w:rPr>
          <w:t xml:space="preserve">https://doi.org/10.1371/journal.pone.0299905</w:t>
        </w:r>
      </w:hyperlink>
    </w:p>
    <w:bookmarkEnd w:id="112"/>
    <w:bookmarkStart w:id="114"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3">
        <w:r>
          <w:rPr>
            <w:rStyle w:val="Hyperlink"/>
          </w:rPr>
          <w:t xml:space="preserve">https://doi.org/10.1080/01621459.1979.10481038</w:t>
        </w:r>
      </w:hyperlink>
    </w:p>
    <w:bookmarkEnd w:id="114"/>
    <w:bookmarkStart w:id="116"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5">
        <w:r>
          <w:rPr>
            <w:rStyle w:val="Hyperlink"/>
          </w:rPr>
          <w:t xml:space="preserve">https://legislacao.presidencia.gov.br/atos/?tipo=DEC&amp;numero=75699&amp;ano=1975</w:t>
        </w:r>
      </w:hyperlink>
    </w:p>
    <w:bookmarkEnd w:id="116"/>
    <w:bookmarkStart w:id="118"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17">
        <w:r>
          <w:rPr>
            <w:rStyle w:val="Hyperlink"/>
          </w:rPr>
          <w:t xml:space="preserve">http://arxiv.org/pdf/1909.08996v2.pdf</w:t>
        </w:r>
      </w:hyperlink>
    </w:p>
    <w:bookmarkEnd w:id="118"/>
    <w:bookmarkStart w:id="120"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19">
        <w:r>
          <w:rPr>
            <w:rStyle w:val="Hyperlink"/>
          </w:rPr>
          <w:t xml:space="preserve">https://igraph.org</w:t>
        </w:r>
      </w:hyperlink>
    </w:p>
    <w:bookmarkEnd w:id="120"/>
    <w:bookmarkStart w:id="122"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1">
        <w:r>
          <w:rPr>
            <w:rStyle w:val="Hyperlink"/>
          </w:rPr>
          <w:t xml:space="preserve">https://doi.org/10.1016/j.ecoinf.2021.101472</w:t>
        </w:r>
      </w:hyperlink>
    </w:p>
    <w:bookmarkEnd w:id="122"/>
    <w:bookmarkStart w:id="124"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3">
        <w:r>
          <w:rPr>
            <w:rStyle w:val="Hyperlink"/>
          </w:rPr>
          <w:t xml:space="preserve">https://doi.org/10.1016/j.jpa.2025.xxxxxx</w:t>
        </w:r>
      </w:hyperlink>
    </w:p>
    <w:bookmarkEnd w:id="124"/>
    <w:bookmarkStart w:id="126"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25">
        <w:r>
          <w:rPr>
            <w:rStyle w:val="Hyperlink"/>
          </w:rPr>
          <w:t xml:space="preserve">https://doi.org/10.1016/j.aca.2007.07.011</w:t>
        </w:r>
      </w:hyperlink>
    </w:p>
    <w:bookmarkEnd w:id="126"/>
    <w:bookmarkStart w:id="128"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27">
        <w:r>
          <w:rPr>
            <w:rStyle w:val="Hyperlink"/>
          </w:rPr>
          <w:t xml:space="preserve">https://doi.org/10.1108/BFJ-12-2014-0392</w:t>
        </w:r>
      </w:hyperlink>
    </w:p>
    <w:bookmarkEnd w:id="128"/>
    <w:bookmarkStart w:id="130"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29">
        <w:r>
          <w:rPr>
            <w:rStyle w:val="Hyperlink"/>
          </w:rPr>
          <w:t xml:space="preserve">https://doi.org/10.1016/j.heliyon.2024.e32297</w:t>
        </w:r>
      </w:hyperlink>
    </w:p>
    <w:bookmarkEnd w:id="130"/>
    <w:bookmarkStart w:id="132"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1">
        <w:r>
          <w:rPr>
            <w:rStyle w:val="Hyperlink"/>
          </w:rPr>
          <w:t xml:space="preserve">https://doi.org/10.1016/j.snb.2022.132946</w:t>
        </w:r>
      </w:hyperlink>
    </w:p>
    <w:bookmarkEnd w:id="132"/>
    <w:bookmarkStart w:id="134"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33">
        <w:r>
          <w:rPr>
            <w:rStyle w:val="Hyperlink"/>
          </w:rPr>
          <w:t xml:space="preserve">https://doi.org/10.1016/j.foodchem.2019.125329</w:t>
        </w:r>
      </w:hyperlink>
    </w:p>
    <w:bookmarkEnd w:id="134"/>
    <w:bookmarkStart w:id="136"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35">
        <w:r>
          <w:rPr>
            <w:rStyle w:val="Hyperlink"/>
          </w:rPr>
          <w:t xml:space="preserve">https://doi.org/10.1002/vzj2.20035</w:t>
        </w:r>
      </w:hyperlink>
    </w:p>
    <w:bookmarkEnd w:id="136"/>
    <w:bookmarkStart w:id="138"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37">
        <w:r>
          <w:rPr>
            <w:rStyle w:val="Hyperlink"/>
          </w:rPr>
          <w:t xml:space="preserve">https://doi.org/10.5281/zenodo.1234567</w:t>
        </w:r>
      </w:hyperlink>
    </w:p>
    <w:bookmarkEnd w:id="138"/>
    <w:bookmarkStart w:id="139"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39"/>
    <w:bookmarkStart w:id="141"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40">
        <w:r>
          <w:rPr>
            <w:rStyle w:val="Hyperlink"/>
          </w:rPr>
          <w:t xml:space="preserve">https://doi.org/10.1108/SCM-11-2020-0576</w:t>
        </w:r>
      </w:hyperlink>
    </w:p>
    <w:bookmarkEnd w:id="141"/>
    <w:bookmarkStart w:id="142"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42"/>
    <w:bookmarkStart w:id="144"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43">
        <w:r>
          <w:rPr>
            <w:rStyle w:val="Hyperlink"/>
          </w:rPr>
          <w:t xml:space="preserve">https://doi.org/10.1016/j.foodchem.2024.140903</w:t>
        </w:r>
      </w:hyperlink>
    </w:p>
    <w:bookmarkEnd w:id="144"/>
    <w:bookmarkStart w:id="145"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45"/>
    <w:bookmarkStart w:id="147"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46">
        <w:r>
          <w:rPr>
            <w:rStyle w:val="Hyperlink"/>
          </w:rPr>
          <w:t xml:space="preserve">https://doi.org/10.1016/j.jfca.2024.106668</w:t>
        </w:r>
      </w:hyperlink>
    </w:p>
    <w:bookmarkEnd w:id="147"/>
    <w:bookmarkStart w:id="148"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48"/>
    <w:bookmarkStart w:id="150"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49">
        <w:r>
          <w:rPr>
            <w:rStyle w:val="Hyperlink"/>
          </w:rPr>
          <w:t xml:space="preserve">https://doi.org/10.1007/s41060-024-00509-w</w:t>
        </w:r>
      </w:hyperlink>
    </w:p>
    <w:bookmarkEnd w:id="150"/>
    <w:bookmarkStart w:id="152"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51">
        <w:r>
          <w:rPr>
            <w:rStyle w:val="Hyperlink"/>
          </w:rPr>
          <w:t xml:space="preserve">https://doi.org/10.1016/j.foodchem.2025.145007</w:t>
        </w:r>
      </w:hyperlink>
    </w:p>
    <w:bookmarkEnd w:id="152"/>
    <w:bookmarkStart w:id="154"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53">
        <w:r>
          <w:rPr>
            <w:rStyle w:val="Hyperlink"/>
          </w:rPr>
          <w:t xml:space="preserve">https://doi.org/10.1016/j.compag.2018.02.016</w:t>
        </w:r>
      </w:hyperlink>
    </w:p>
    <w:bookmarkEnd w:id="154"/>
    <w:bookmarkStart w:id="155" w:name="ref-Kuhn2013"/>
    <w:p>
      <w:pPr>
        <w:pStyle w:val="Bibliografia"/>
      </w:pPr>
      <w:r>
        <w:t xml:space="preserve">Kuhn, M., &amp; Johnson, K. (2013).</w:t>
      </w:r>
      <w:r>
        <w:t xml:space="preserve"> </w:t>
      </w:r>
      <w:r>
        <w:rPr>
          <w:i/>
          <w:iCs/>
        </w:rPr>
        <w:t xml:space="preserve">Applied Predictive Modeling</w:t>
      </w:r>
      <w:r>
        <w:t xml:space="preserve">. Springer.</w:t>
      </w:r>
    </w:p>
    <w:bookmarkEnd w:id="155"/>
    <w:bookmarkStart w:id="157"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56">
        <w:r>
          <w:rPr>
            <w:rStyle w:val="Hyperlink"/>
          </w:rPr>
          <w:t xml:space="preserve">https://doi.org/10.1021/bk-2005-0894.ch001</w:t>
        </w:r>
      </w:hyperlink>
    </w:p>
    <w:bookmarkEnd w:id="157"/>
    <w:bookmarkStart w:id="159"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58">
        <w:r>
          <w:rPr>
            <w:rStyle w:val="Hyperlink"/>
          </w:rPr>
          <w:t xml:space="preserve">https://www.jstatsoft.org/v25/i01/</w:t>
        </w:r>
      </w:hyperlink>
    </w:p>
    <w:bookmarkEnd w:id="159"/>
    <w:bookmarkStart w:id="161"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60">
        <w:r>
          <w:rPr>
            <w:rStyle w:val="Hyperlink"/>
          </w:rPr>
          <w:t xml:space="preserve">https://doi.org/10.1111/1541-4337.70082</w:t>
        </w:r>
      </w:hyperlink>
    </w:p>
    <w:bookmarkEnd w:id="161"/>
    <w:bookmarkStart w:id="163"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62">
        <w:r>
          <w:rPr>
            <w:rStyle w:val="Hyperlink"/>
          </w:rPr>
          <w:t xml:space="preserve">https://doi.org/10.1016/j.foodchem.2024.142088</w:t>
        </w:r>
      </w:hyperlink>
    </w:p>
    <w:bookmarkEnd w:id="163"/>
    <w:bookmarkStart w:id="165"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64">
        <w:r>
          <w:rPr>
            <w:rStyle w:val="Hyperlink"/>
          </w:rPr>
          <w:t xml:space="preserve">https://doi.org/10.3390/s18082674</w:t>
        </w:r>
      </w:hyperlink>
    </w:p>
    <w:bookmarkEnd w:id="165"/>
    <w:bookmarkStart w:id="167"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66">
        <w:r>
          <w:rPr>
            <w:rStyle w:val="Hyperlink"/>
          </w:rPr>
          <w:t xml:space="preserve">https://doi.org/10.1016/j.fochx.2025.102856</w:t>
        </w:r>
      </w:hyperlink>
    </w:p>
    <w:bookmarkEnd w:id="167"/>
    <w:bookmarkStart w:id="168"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68"/>
    <w:bookmarkStart w:id="170"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69">
        <w:r>
          <w:rPr>
            <w:rStyle w:val="Hyperlink"/>
          </w:rPr>
          <w:t xml:space="preserve">https://arxiv.org/abs/2108.02497</w:t>
        </w:r>
      </w:hyperlink>
    </w:p>
    <w:bookmarkEnd w:id="170"/>
    <w:bookmarkStart w:id="172"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71">
        <w:r>
          <w:rPr>
            <w:rStyle w:val="Hyperlink"/>
          </w:rPr>
          <w:t xml:space="preserve">https://doi.org/10.1016/j.foodchem.2021.130016</w:t>
        </w:r>
      </w:hyperlink>
    </w:p>
    <w:bookmarkEnd w:id="172"/>
    <w:bookmarkStart w:id="173"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73"/>
    <w:bookmarkStart w:id="175"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74">
        <w:r>
          <w:rPr>
            <w:rStyle w:val="Hyperlink"/>
          </w:rPr>
          <w:t xml:space="preserve">https://doi.org/10.1002/1520-6297(200022)16:3&lt;309::AID-AGR4&gt;3.0.CO;2-G</w:t>
        </w:r>
      </w:hyperlink>
    </w:p>
    <w:bookmarkEnd w:id="175"/>
    <w:bookmarkStart w:id="177"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76">
        <w:r>
          <w:rPr>
            <w:rStyle w:val="Hyperlink"/>
          </w:rPr>
          <w:t xml:space="preserve">https://doi.org/10.1080/10618600.2022.2069777</w:t>
        </w:r>
      </w:hyperlink>
    </w:p>
    <w:bookmarkEnd w:id="177"/>
    <w:bookmarkStart w:id="179"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78">
        <w:r>
          <w:rPr>
            <w:rStyle w:val="Hyperlink"/>
          </w:rPr>
          <w:t xml:space="preserve">https://doi.org/10.1016/j.tifs.2019.11.006</w:t>
        </w:r>
      </w:hyperlink>
    </w:p>
    <w:bookmarkEnd w:id="179"/>
    <w:bookmarkStart w:id="181"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80">
        <w:r>
          <w:rPr>
            <w:rStyle w:val="Hyperlink"/>
          </w:rPr>
          <w:t xml:space="preserve">https://papers.nips.cc/paper/7062-a-unified-approach-to-interpreting-model-predictions.pdf</w:t>
        </w:r>
      </w:hyperlink>
    </w:p>
    <w:bookmarkEnd w:id="181"/>
    <w:bookmarkStart w:id="182"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82"/>
    <w:bookmarkStart w:id="184"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83">
        <w:r>
          <w:rPr>
            <w:rStyle w:val="Hyperlink"/>
          </w:rPr>
          <w:t xml:space="preserve">https://www.gov.br/agricultura/pt-br/assuntos/sustentabilidade/indicacao-geografica/o-que-e-indicacao-geografica-ig</w:t>
        </w:r>
      </w:hyperlink>
    </w:p>
    <w:bookmarkEnd w:id="184"/>
    <w:bookmarkStart w:id="185"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85"/>
    <w:bookmarkStart w:id="187"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86">
        <w:r>
          <w:rPr>
            <w:rStyle w:val="Hyperlink"/>
          </w:rPr>
          <w:t xml:space="preserve">https://doi.org/10.1007/s12161-024-02625-6</w:t>
        </w:r>
      </w:hyperlink>
    </w:p>
    <w:bookmarkEnd w:id="187"/>
    <w:bookmarkStart w:id="189"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88">
        <w:r>
          <w:rPr>
            <w:rStyle w:val="Hyperlink"/>
          </w:rPr>
          <w:t xml:space="preserve">https://doi.org/10.1016/j.joi.2011.04.001</w:t>
        </w:r>
      </w:hyperlink>
    </w:p>
    <w:bookmarkEnd w:id="189"/>
    <w:bookmarkStart w:id="191"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90">
        <w:r>
          <w:rPr>
            <w:rStyle w:val="Hyperlink"/>
          </w:rPr>
          <w:t xml:space="preserve">https://doi.org/10.1016/j.lwt.2024.115886</w:t>
        </w:r>
      </w:hyperlink>
    </w:p>
    <w:bookmarkEnd w:id="191"/>
    <w:bookmarkStart w:id="192"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92"/>
    <w:bookmarkStart w:id="194"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93">
        <w:r>
          <w:rPr>
            <w:rStyle w:val="Hyperlink"/>
          </w:rPr>
          <w:t xml:space="preserve">https://doi.org/10.1007/s10462-024-10844-w</w:t>
        </w:r>
      </w:hyperlink>
    </w:p>
    <w:bookmarkEnd w:id="194"/>
    <w:bookmarkStart w:id="196"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195">
        <w:r>
          <w:rPr>
            <w:rStyle w:val="Hyperlink"/>
          </w:rPr>
          <w:t xml:space="preserve">https://doi.org/10.3390/separations11050148</w:t>
        </w:r>
      </w:hyperlink>
    </w:p>
    <w:bookmarkEnd w:id="196"/>
    <w:bookmarkStart w:id="198"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97">
        <w:r>
          <w:rPr>
            <w:rStyle w:val="Hyperlink"/>
          </w:rPr>
          <w:t xml:space="preserve">https://www.wipo.int/</w:t>
        </w:r>
      </w:hyperlink>
    </w:p>
    <w:bookmarkEnd w:id="198"/>
    <w:bookmarkStart w:id="199"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199"/>
    <w:bookmarkStart w:id="201"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00">
        <w:r>
          <w:rPr>
            <w:rStyle w:val="Hyperlink"/>
          </w:rPr>
          <w:t xml:space="preserve">https://doi.org/10.1016/j.fochx.2025.103194</w:t>
        </w:r>
      </w:hyperlink>
    </w:p>
    <w:bookmarkEnd w:id="201"/>
    <w:bookmarkStart w:id="202"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02"/>
    <w:bookmarkStart w:id="204"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03">
        <w:r>
          <w:rPr>
            <w:rStyle w:val="Hyperlink"/>
          </w:rPr>
          <w:t xml:space="preserve">https://doi.org/10.1016/j.foodchem.2020.128519</w:t>
        </w:r>
      </w:hyperlink>
    </w:p>
    <w:bookmarkEnd w:id="204"/>
    <w:bookmarkStart w:id="206"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05">
        <w:r>
          <w:rPr>
            <w:rStyle w:val="Hyperlink"/>
          </w:rPr>
          <w:t xml:space="preserve">https://doi.org/10.1016/j.tifs.2025.105405</w:t>
        </w:r>
      </w:hyperlink>
    </w:p>
    <w:bookmarkEnd w:id="206"/>
    <w:bookmarkStart w:id="208"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07">
        <w:r>
          <w:rPr>
            <w:rStyle w:val="Hyperlink"/>
          </w:rPr>
          <w:t xml:space="preserve">https://doi.org/10.3390/s23094527</w:t>
        </w:r>
      </w:hyperlink>
    </w:p>
    <w:bookmarkEnd w:id="208"/>
    <w:bookmarkStart w:id="210"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09">
        <w:r>
          <w:rPr>
            <w:rStyle w:val="Hyperlink"/>
          </w:rPr>
          <w:t xml:space="preserve">https://doi.org/10.1016/j.foodchem.2025.144078</w:t>
        </w:r>
      </w:hyperlink>
    </w:p>
    <w:bookmarkEnd w:id="210"/>
    <w:bookmarkStart w:id="212"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11">
        <w:r>
          <w:rPr>
            <w:rStyle w:val="Hyperlink"/>
          </w:rPr>
          <w:t xml:space="preserve">https://doi.org/10.2174/1386207324666210309102239</w:t>
        </w:r>
      </w:hyperlink>
    </w:p>
    <w:bookmarkEnd w:id="212"/>
    <w:bookmarkStart w:id="214"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13">
        <w:r>
          <w:rPr>
            <w:rStyle w:val="Hyperlink"/>
          </w:rPr>
          <w:t xml:space="preserve">https://doi.org/10.1016/j.foodpol.2022.102345</w:t>
        </w:r>
      </w:hyperlink>
    </w:p>
    <w:bookmarkEnd w:id="214"/>
    <w:bookmarkStart w:id="216"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15">
        <w:r>
          <w:rPr>
            <w:rStyle w:val="Hyperlink"/>
          </w:rPr>
          <w:t xml:space="preserve">https://doi.org/10.1016/j.jfoodeng.2022.111378</w:t>
        </w:r>
      </w:hyperlink>
    </w:p>
    <w:bookmarkEnd w:id="216"/>
    <w:bookmarkStart w:id="218"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17">
        <w:r>
          <w:rPr>
            <w:rStyle w:val="Hyperlink"/>
          </w:rPr>
          <w:t xml:space="preserve">https://doi.org/10.1145/3306618.3314279</w:t>
        </w:r>
      </w:hyperlink>
    </w:p>
    <w:bookmarkEnd w:id="218"/>
    <w:bookmarkStart w:id="219"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19"/>
    <w:bookmarkStart w:id="220"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20"/>
    <w:bookmarkStart w:id="222"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21">
        <w:r>
          <w:rPr>
            <w:rStyle w:val="Hyperlink"/>
          </w:rPr>
          <w:t xml:space="preserve">https://doi.org/10.1007/s12161-025-02840-9</w:t>
        </w:r>
      </w:hyperlink>
    </w:p>
    <w:bookmarkEnd w:id="222"/>
    <w:bookmarkStart w:id="224"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223">
        <w:r>
          <w:rPr>
            <w:rStyle w:val="Hyperlink"/>
          </w:rPr>
          <w:t xml:space="preserve">http://ainfo.cnptia.embrapa.br/digital/bitstream/item/181677/1/SiBCS-2018-ISBN-9788570358172.epub</w:t>
        </w:r>
      </w:hyperlink>
    </w:p>
    <w:bookmarkEnd w:id="224"/>
    <w:bookmarkStart w:id="226"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25">
        <w:r>
          <w:rPr>
            <w:rStyle w:val="Hyperlink"/>
          </w:rPr>
          <w:t xml:space="preserve">https://doi.org/10.9771/cp.v12i1.27215</w:t>
        </w:r>
      </w:hyperlink>
    </w:p>
    <w:bookmarkEnd w:id="226"/>
    <w:bookmarkStart w:id="228"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227">
        <w:r>
          <w:rPr>
            <w:rStyle w:val="Hyperlink"/>
          </w:rPr>
          <w:t xml:space="preserve">https://doi.org/10.1162/dint_a_00213</w:t>
        </w:r>
      </w:hyperlink>
    </w:p>
    <w:bookmarkEnd w:id="228"/>
    <w:bookmarkStart w:id="230"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29">
        <w:r>
          <w:rPr>
            <w:rStyle w:val="Hyperlink"/>
          </w:rPr>
          <w:t xml:space="preserve">https://doi.org/10.21105/joss.02341</w:t>
        </w:r>
      </w:hyperlink>
    </w:p>
    <w:bookmarkEnd w:id="230"/>
    <w:bookmarkStart w:id="232"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31">
        <w:r>
          <w:rPr>
            <w:rStyle w:val="Hyperlink"/>
          </w:rPr>
          <w:t xml:space="preserve">https://doi.org/10.3390/rs11080920</w:t>
        </w:r>
      </w:hyperlink>
    </w:p>
    <w:bookmarkEnd w:id="232"/>
    <w:bookmarkStart w:id="234"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33">
        <w:r>
          <w:rPr>
            <w:rStyle w:val="Hyperlink"/>
          </w:rPr>
          <w:t xml:space="preserve">https://doi.org/10.1037/0033-2909.86.2.420</w:t>
        </w:r>
      </w:hyperlink>
    </w:p>
    <w:bookmarkEnd w:id="234"/>
    <w:bookmarkStart w:id="236"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35">
        <w:r>
          <w:rPr>
            <w:rStyle w:val="Hyperlink"/>
          </w:rPr>
          <w:t xml:space="preserve">https://doi.org/10.1016/j.chroma.2022.463284</w:t>
        </w:r>
      </w:hyperlink>
    </w:p>
    <w:bookmarkEnd w:id="236"/>
    <w:bookmarkStart w:id="238"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37">
        <w:r>
          <w:rPr>
            <w:rStyle w:val="Hyperlink"/>
          </w:rPr>
          <w:t xml:space="preserve">https://doi.org/10.2307/1412159</w:t>
        </w:r>
      </w:hyperlink>
    </w:p>
    <w:bookmarkEnd w:id="238"/>
    <w:bookmarkStart w:id="239"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39"/>
    <w:bookmarkStart w:id="241"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40">
        <w:r>
          <w:rPr>
            <w:rStyle w:val="Hyperlink"/>
          </w:rPr>
          <w:t xml:space="preserve">https://doi.org/10.1111/j.1475-4762.2007.00765.x</w:t>
        </w:r>
      </w:hyperlink>
    </w:p>
    <w:bookmarkEnd w:id="241"/>
    <w:bookmarkStart w:id="242"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42"/>
    <w:bookmarkStart w:id="243"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43"/>
    <w:bookmarkStart w:id="245"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44">
        <w:r>
          <w:rPr>
            <w:rStyle w:val="Hyperlink"/>
          </w:rPr>
          <w:t xml:space="preserve">https://www.R-project.org/</w:t>
        </w:r>
      </w:hyperlink>
    </w:p>
    <w:bookmarkEnd w:id="245"/>
    <w:bookmarkStart w:id="247"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46">
        <w:r>
          <w:rPr>
            <w:rStyle w:val="Hyperlink"/>
          </w:rPr>
          <w:t xml:space="preserve">https://www.rstudio.com/</w:t>
        </w:r>
      </w:hyperlink>
    </w:p>
    <w:bookmarkEnd w:id="247"/>
    <w:bookmarkStart w:id="248"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48"/>
    <w:bookmarkStart w:id="249"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49"/>
    <w:bookmarkStart w:id="250"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50"/>
    <w:bookmarkStart w:id="252"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51">
        <w:r>
          <w:rPr>
            <w:rStyle w:val="Hyperlink"/>
          </w:rPr>
          <w:t xml:space="preserve">https://doi.org/10.7326/M18-0850</w:t>
        </w:r>
      </w:hyperlink>
    </w:p>
    <w:bookmarkEnd w:id="252"/>
    <w:bookmarkStart w:id="254"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53">
        <w:r>
          <w:rPr>
            <w:rStyle w:val="Hyperlink"/>
          </w:rPr>
          <w:t xml:space="preserve">https://www.interregeurope.eu</w:t>
        </w:r>
      </w:hyperlink>
    </w:p>
    <w:bookmarkEnd w:id="254"/>
    <w:bookmarkStart w:id="256"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55">
        <w:r>
          <w:rPr>
            <w:rStyle w:val="Hyperlink"/>
          </w:rPr>
          <w:t xml:space="preserve">https://doi.org/10.1111/j.1745-4565.2009.00188.x</w:t>
        </w:r>
      </w:hyperlink>
    </w:p>
    <w:bookmarkEnd w:id="256"/>
    <w:bookmarkStart w:id="258"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57">
        <w:r>
          <w:rPr>
            <w:rStyle w:val="Hyperlink"/>
          </w:rPr>
          <w:t xml:space="preserve">https://doi.org/10.1016/j.joi.2013.10.006</w:t>
        </w:r>
      </w:hyperlink>
    </w:p>
    <w:bookmarkEnd w:id="258"/>
    <w:bookmarkStart w:id="260"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59">
        <w:r>
          <w:rPr>
            <w:rStyle w:val="Hyperlink"/>
          </w:rPr>
          <w:t xml:space="preserve">https://doi.org/10.1109/JSEN.2020.3048534</w:t>
        </w:r>
      </w:hyperlink>
    </w:p>
    <w:bookmarkEnd w:id="260"/>
    <w:bookmarkStart w:id="262"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61">
        <w:r>
          <w:rPr>
            <w:rStyle w:val="Hyperlink"/>
          </w:rPr>
          <w:t xml:space="preserve">https://doi.org/10.1016/j.fochx.2025.103069</w:t>
        </w:r>
      </w:hyperlink>
    </w:p>
    <w:bookmarkEnd w:id="262"/>
    <w:bookmarkStart w:id="264"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63">
        <w:r>
          <w:rPr>
            <w:rStyle w:val="Hyperlink"/>
          </w:rPr>
          <w:t xml:space="preserve">https://doi.org/10.1155/2022/3832170</w:t>
        </w:r>
      </w:hyperlink>
    </w:p>
    <w:bookmarkEnd w:id="264"/>
    <w:bookmarkStart w:id="265"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65"/>
    <w:bookmarkStart w:id="266"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66"/>
    <w:bookmarkStart w:id="268"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67">
        <w:r>
          <w:rPr>
            <w:rStyle w:val="Hyperlink"/>
          </w:rPr>
          <w:t xml:space="preserve">https://doi.org/10.1038/s41538-021-00100-8</w:t>
        </w:r>
      </w:hyperlink>
    </w:p>
    <w:bookmarkEnd w:id="268"/>
    <w:bookmarkStart w:id="270"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69">
        <w:r>
          <w:rPr>
            <w:rStyle w:val="Hyperlink"/>
          </w:rPr>
          <w:t xml:space="preserve">https://doi.org/10.3390/s23114958</w:t>
        </w:r>
      </w:hyperlink>
    </w:p>
    <w:bookmarkEnd w:id="270"/>
    <w:bookmarkStart w:id="272"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71">
        <w:r>
          <w:rPr>
            <w:rStyle w:val="Hyperlink"/>
          </w:rPr>
          <w:t xml:space="preserve">https://doi.org/10.1016/j.ijmedinf.2019.08.018</w:t>
        </w:r>
      </w:hyperlink>
    </w:p>
    <w:bookmarkEnd w:id="272"/>
    <w:bookmarkStart w:id="274"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73">
        <w:r>
          <w:rPr>
            <w:rStyle w:val="Hyperlink"/>
          </w:rPr>
          <w:t xml:space="preserve">https://doi.org/10.1016/j.tifs.2024.104679</w:t>
        </w:r>
      </w:hyperlink>
    </w:p>
    <w:bookmarkEnd w:id="274"/>
    <w:bookmarkStart w:id="276"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75">
        <w:r>
          <w:rPr>
            <w:rStyle w:val="Hyperlink"/>
          </w:rPr>
          <w:t xml:space="preserve">https://doi.org/10.1109/TII.2021.3098700</w:t>
        </w:r>
      </w:hyperlink>
    </w:p>
    <w:bookmarkEnd w:id="276"/>
    <w:bookmarkStart w:id="278"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77">
        <w:r>
          <w:rPr>
            <w:rStyle w:val="Hyperlink"/>
          </w:rPr>
          <w:t xml:space="preserve">https://doi.org/10.3390/s22249678</w:t>
        </w:r>
      </w:hyperlink>
    </w:p>
    <w:bookmarkEnd w:id="278"/>
    <w:bookmarkEnd w:id="279"/>
    <w:bookmarkEnd w:id="280"/>
    <w:bookmarkStart w:id="283" w:name="apêndice-a-tabelas-complementares"/>
    <w:p>
      <w:pPr>
        <w:pStyle w:val="Ttulo1"/>
      </w:pPr>
      <w:r>
        <w:t xml:space="preserve">Apêndice A: Tabelas Complementares</w:t>
      </w:r>
    </w:p>
    <w:bookmarkStart w:id="281" w:name="X17cd3a96e3d89c3029a92a832f4d57c13a6b231"/>
    <w:p>
      <w:pPr>
        <w:pStyle w:val="Ttulo2"/>
      </w:pPr>
      <w:r>
        <w:t xml:space="preserve">Tabela A.1: Distribuição de Produtos Agroalimentares com Indicações Geográficas</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Fonte: Distribuição de produtos agroalimentares com Indicações Geográficas por categoria, regiões geográficas associadas, técnicas de Machine Learning predominantes e frequência relativa de estudos no corpus analisado (N=148).</w:t>
      </w:r>
    </w:p>
    <w:bookmarkEnd w:id="281"/>
    <w:bookmarkStart w:id="282" w:name="Xaa1df298419e95cb50f1a10926e505ffc2219bf"/>
    <w:p>
      <w:pPr>
        <w:pStyle w:val="Ttulo2"/>
      </w:pPr>
      <w:r>
        <w:t xml:space="preserve">Tabela A.2: Artigos Selecionados pelo Princípio de Pareto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chás chineses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Fonte: 10 artigos selecionados pelo princípio de Pareto (80/20) no corpus de 148 estudos.</w:t>
      </w:r>
    </w:p>
    <w:bookmarkEnd w:id="282"/>
    <w:bookmarkEnd w:id="28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8" Target="media/rId68.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23"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99" Target="http://www.planalto.gov.br/ccivil_03/_ato2004-2006/2004/lei/l10.973.htm" TargetMode="External" /><Relationship Type="http://schemas.openxmlformats.org/officeDocument/2006/relationships/hyperlink" Id="rId101" Target="http://www.planalto.gov.br/ccivil_03/_ato2015-2018/2016/lei/l13243.htm" TargetMode="External" /><Relationship Type="http://schemas.openxmlformats.org/officeDocument/2006/relationships/hyperlink" Id="rId103" Target="http://www.planalto.gov.br/ccivil_03/_ato2023-2026/2024/lei/l15068.htm" TargetMode="External" /><Relationship Type="http://schemas.openxmlformats.org/officeDocument/2006/relationships/hyperlink" Id="rId97" Target="http://www.planalto.gov.br/ccivil_03/leis/l9279.htm" TargetMode="External" /><Relationship Type="http://schemas.openxmlformats.org/officeDocument/2006/relationships/hyperlink" Id="rId169" Target="https://arxiv.org/abs/2108.02497" TargetMode="External" /><Relationship Type="http://schemas.openxmlformats.org/officeDocument/2006/relationships/hyperlink" Id="rId174" Target="https://doi.org/10.1002/1520-6297(200022)16:3&lt;309::AID-AGR4&gt;3.0.CO;2-G" TargetMode="External" /><Relationship Type="http://schemas.openxmlformats.org/officeDocument/2006/relationships/hyperlink" Id="rId135" Target="https://doi.org/10.1002/vzj2.20035" TargetMode="External" /><Relationship Type="http://schemas.openxmlformats.org/officeDocument/2006/relationships/hyperlink" Id="rId193" Target="https://doi.org/10.1007/s10462-024-10844-w" TargetMode="External" /><Relationship Type="http://schemas.openxmlformats.org/officeDocument/2006/relationships/hyperlink" Id="rId186" Target="https://doi.org/10.1007/s12161-024-02625-6" TargetMode="External" /><Relationship Type="http://schemas.openxmlformats.org/officeDocument/2006/relationships/hyperlink" Id="rId221" Target="https://doi.org/10.1007/s12161-025-02840-9" TargetMode="External" /><Relationship Type="http://schemas.openxmlformats.org/officeDocument/2006/relationships/hyperlink" Id="rId149" Target="https://doi.org/10.1007/s41060-024-00509-w" TargetMode="External" /><Relationship Type="http://schemas.openxmlformats.org/officeDocument/2006/relationships/hyperlink" Id="rId125" Target="https://doi.org/10.1016/j.aca.2007.07.011" TargetMode="External" /><Relationship Type="http://schemas.openxmlformats.org/officeDocument/2006/relationships/hyperlink" Id="rId235" Target="https://doi.org/10.1016/j.chroma.2022.463284" TargetMode="External" /><Relationship Type="http://schemas.openxmlformats.org/officeDocument/2006/relationships/hyperlink" Id="rId153"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166" Target="https://doi.org/10.1016/j.fochx.2025.102856" TargetMode="External" /><Relationship Type="http://schemas.openxmlformats.org/officeDocument/2006/relationships/hyperlink" Id="rId261" Target="https://doi.org/10.1016/j.fochx.2025.103069" TargetMode="External" /><Relationship Type="http://schemas.openxmlformats.org/officeDocument/2006/relationships/hyperlink" Id="rId200" Target="https://doi.org/10.1016/j.fochx.2025.103194" TargetMode="External" /><Relationship Type="http://schemas.openxmlformats.org/officeDocument/2006/relationships/hyperlink" Id="rId133" Target="https://doi.org/10.1016/j.foodchem.2019.125329" TargetMode="External" /><Relationship Type="http://schemas.openxmlformats.org/officeDocument/2006/relationships/hyperlink" Id="rId203" Target="https://doi.org/10.1016/j.foodchem.2020.128519" TargetMode="External" /><Relationship Type="http://schemas.openxmlformats.org/officeDocument/2006/relationships/hyperlink" Id="rId171" Target="https://doi.org/10.1016/j.foodchem.2021.130016" TargetMode="External" /><Relationship Type="http://schemas.openxmlformats.org/officeDocument/2006/relationships/hyperlink" Id="rId143" Target="https://doi.org/10.1016/j.foodchem.2024.140903" TargetMode="External" /><Relationship Type="http://schemas.openxmlformats.org/officeDocument/2006/relationships/hyperlink" Id="rId162" Target="https://doi.org/10.1016/j.foodchem.2024.142088" TargetMode="External" /><Relationship Type="http://schemas.openxmlformats.org/officeDocument/2006/relationships/hyperlink" Id="rId209" Target="https://doi.org/10.1016/j.foodchem.2025.144078" TargetMode="External" /><Relationship Type="http://schemas.openxmlformats.org/officeDocument/2006/relationships/hyperlink" Id="rId151" Target="https://doi.org/10.1016/j.foodchem.2025.145007" TargetMode="External" /><Relationship Type="http://schemas.openxmlformats.org/officeDocument/2006/relationships/hyperlink" Id="rId213" Target="https://doi.org/10.1016/j.foodpol.2022.102345" TargetMode="External" /><Relationship Type="http://schemas.openxmlformats.org/officeDocument/2006/relationships/hyperlink" Id="rId129" Target="https://doi.org/10.1016/j.heliyon.2024.e32297" TargetMode="External" /><Relationship Type="http://schemas.openxmlformats.org/officeDocument/2006/relationships/hyperlink" Id="rId271" Target="https://doi.org/10.1016/j.ijmedinf.2019.08.018" TargetMode="External" /><Relationship Type="http://schemas.openxmlformats.org/officeDocument/2006/relationships/hyperlink" Id="rId146" Target="https://doi.org/10.1016/j.jfca.2024.106668" TargetMode="External" /><Relationship Type="http://schemas.openxmlformats.org/officeDocument/2006/relationships/hyperlink" Id="rId215" Target="https://doi.org/10.1016/j.jfoodeng.2022.111378" TargetMode="External" /><Relationship Type="http://schemas.openxmlformats.org/officeDocument/2006/relationships/hyperlink" Id="rId188" Target="https://doi.org/10.1016/j.joi.2011.04.001" TargetMode="External" /><Relationship Type="http://schemas.openxmlformats.org/officeDocument/2006/relationships/hyperlink" Id="rId257" Target="https://doi.org/10.1016/j.joi.2013.10.006" TargetMode="External" /><Relationship Type="http://schemas.openxmlformats.org/officeDocument/2006/relationships/hyperlink" Id="rId123" Target="https://doi.org/10.1016/j.jpa.2025.xxxxxx" TargetMode="External" /><Relationship Type="http://schemas.openxmlformats.org/officeDocument/2006/relationships/hyperlink" Id="rId190" Target="https://doi.org/10.1016/j.lwt.2024.115886" TargetMode="External" /><Relationship Type="http://schemas.openxmlformats.org/officeDocument/2006/relationships/hyperlink" Id="rId131" Target="https://doi.org/10.1016/j.snb.2022.132946" TargetMode="External" /><Relationship Type="http://schemas.openxmlformats.org/officeDocument/2006/relationships/hyperlink" Id="rId178" Target="https://doi.org/10.1016/j.tifs.2019.11.006" TargetMode="External" /><Relationship Type="http://schemas.openxmlformats.org/officeDocument/2006/relationships/hyperlink" Id="rId273" Target="https://doi.org/10.1016/j.tifs.2024.104679" TargetMode="External" /><Relationship Type="http://schemas.openxmlformats.org/officeDocument/2006/relationships/hyperlink" Id="rId205" Target="https://doi.org/10.1016/j.tifs.2025.105405" TargetMode="External" /><Relationship Type="http://schemas.openxmlformats.org/officeDocument/2006/relationships/hyperlink" Id="rId86" Target="https://doi.org/10.1016/j.trac.2020.116140" TargetMode="External" /><Relationship Type="http://schemas.openxmlformats.org/officeDocument/2006/relationships/hyperlink" Id="rId156" Target="https://doi.org/10.1021/bk-2005-0894.ch001" TargetMode="External" /><Relationship Type="http://schemas.openxmlformats.org/officeDocument/2006/relationships/hyperlink" Id="rId233" Target="https://doi.org/10.1037/0033-2909.86.2.420" TargetMode="External" /><Relationship Type="http://schemas.openxmlformats.org/officeDocument/2006/relationships/hyperlink" Id="rId267"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76" Target="https://doi.org/10.1080/10618600.2022.2069777" TargetMode="External" /><Relationship Type="http://schemas.openxmlformats.org/officeDocument/2006/relationships/hyperlink" Id="rId95" Target="https://doi.org/10.1088/1742-5468/2008/10/P10008" TargetMode="External" /><Relationship Type="http://schemas.openxmlformats.org/officeDocument/2006/relationships/hyperlink" Id="rId127" Target="https://doi.org/10.1108/BFJ-12-2014-0392" TargetMode="External" /><Relationship Type="http://schemas.openxmlformats.org/officeDocument/2006/relationships/hyperlink" Id="rId140" Target="https://doi.org/10.1108/SCM-11-2020-0576" TargetMode="External" /><Relationship Type="http://schemas.openxmlformats.org/officeDocument/2006/relationships/hyperlink" Id="rId259" Target="https://doi.org/10.1109/JSEN.2020.3048534" TargetMode="External" /><Relationship Type="http://schemas.openxmlformats.org/officeDocument/2006/relationships/hyperlink" Id="rId275" Target="https://doi.org/10.1109/TII.2021.3098700" TargetMode="External" /><Relationship Type="http://schemas.openxmlformats.org/officeDocument/2006/relationships/hyperlink" Id="rId160" Target="https://doi.org/10.1111/1541-4337.70082" TargetMode="External" /><Relationship Type="http://schemas.openxmlformats.org/officeDocument/2006/relationships/hyperlink" Id="rId240" Target="https://doi.org/10.1111/j.1475-4762.2007.00765.x" TargetMode="External" /><Relationship Type="http://schemas.openxmlformats.org/officeDocument/2006/relationships/hyperlink" Id="rId255" Target="https://doi.org/10.1111/j.1745-4565.2009.00188.x" TargetMode="External" /><Relationship Type="http://schemas.openxmlformats.org/officeDocument/2006/relationships/hyperlink" Id="rId217" Target="https://doi.org/10.1145/3306618.3314279" TargetMode="External" /><Relationship Type="http://schemas.openxmlformats.org/officeDocument/2006/relationships/hyperlink" Id="rId263" Target="https://doi.org/10.1155/2022/3832170" TargetMode="External" /><Relationship Type="http://schemas.openxmlformats.org/officeDocument/2006/relationships/hyperlink" Id="rId227" Target="https://doi.org/10.1162/dint_a_00213" TargetMode="External" /><Relationship Type="http://schemas.openxmlformats.org/officeDocument/2006/relationships/hyperlink" Id="rId93"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9" Target="https://doi.org/10.21105/joss.02341" TargetMode="External" /><Relationship Type="http://schemas.openxmlformats.org/officeDocument/2006/relationships/hyperlink" Id="rId211" Target="https://doi.org/10.2174/1386207324666210309102239" TargetMode="External" /><Relationship Type="http://schemas.openxmlformats.org/officeDocument/2006/relationships/hyperlink" Id="rId237" Target="https://doi.org/10.2307/1412159" TargetMode="External" /><Relationship Type="http://schemas.openxmlformats.org/officeDocument/2006/relationships/hyperlink" Id="rId231" Target="https://doi.org/10.3390/rs11080920" TargetMode="External" /><Relationship Type="http://schemas.openxmlformats.org/officeDocument/2006/relationships/hyperlink" Id="rId164" Target="https://doi.org/10.3390/s18082674" TargetMode="External" /><Relationship Type="http://schemas.openxmlformats.org/officeDocument/2006/relationships/hyperlink" Id="rId277" Target="https://doi.org/10.3390/s22249678" TargetMode="External" /><Relationship Type="http://schemas.openxmlformats.org/officeDocument/2006/relationships/hyperlink" Id="rId207" Target="https://doi.org/10.3390/s23094527" TargetMode="External" /><Relationship Type="http://schemas.openxmlformats.org/officeDocument/2006/relationships/hyperlink" Id="rId269" Target="https://doi.org/10.3390/s23114958" TargetMode="External" /><Relationship Type="http://schemas.openxmlformats.org/officeDocument/2006/relationships/hyperlink" Id="rId195" Target="https://doi.org/10.3390/separations11050148" TargetMode="External" /><Relationship Type="http://schemas.openxmlformats.org/officeDocument/2006/relationships/hyperlink" Id="rId90" Target="https://doi.org/10.3390/su14042420" TargetMode="External" /><Relationship Type="http://schemas.openxmlformats.org/officeDocument/2006/relationships/hyperlink" Id="rId137" Target="https://doi.org/10.5281/zenodo.1234567" TargetMode="External" /><Relationship Type="http://schemas.openxmlformats.org/officeDocument/2006/relationships/hyperlink" Id="rId251" Target="https://doi.org/10.7326/M18-0850" TargetMode="External" /><Relationship Type="http://schemas.openxmlformats.org/officeDocument/2006/relationships/hyperlink" Id="rId225" Target="https://doi.org/10.9771/cp.v12i1.2721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0" Target="https://papers.nips.cc/paper/7062-a-unified-approach-to-interpreting-model-predictions.pdf" TargetMode="External" /><Relationship Type="http://schemas.openxmlformats.org/officeDocument/2006/relationships/hyperlink" Id="rId244" Target="https://www.R-project.org/" TargetMode="External" /><Relationship Type="http://schemas.openxmlformats.org/officeDocument/2006/relationships/hyperlink" Id="rId105" Target="https://www.codevasf.gov.br/noticias/2014/artesanato-faz-parte-da-identidade-sociocultural-do-baixo-sao-francisco-sergipano-e-gera-renda-para-populacao-local" TargetMode="External" /><Relationship Type="http://schemas.openxmlformats.org/officeDocument/2006/relationships/hyperlink" Id="rId183" Target="https://www.gov.br/agricultura/pt-br/assuntos/sustentabilidade/indicacao-geografica/o-que-e-indicacao-geografica-ig" TargetMode="External" /><Relationship Type="http://schemas.openxmlformats.org/officeDocument/2006/relationships/hyperlink" Id="rId253" Target="https://www.interregeurope.eu" TargetMode="External" /><Relationship Type="http://schemas.openxmlformats.org/officeDocument/2006/relationships/hyperlink" Id="rId158" Target="https://www.jstatsoft.org/v25/i01/" TargetMode="External" /><Relationship Type="http://schemas.openxmlformats.org/officeDocument/2006/relationships/hyperlink" Id="rId246" Target="https://www.rstudio.com/" TargetMode="External" /><Relationship Type="http://schemas.openxmlformats.org/officeDocument/2006/relationships/hyperlink" Id="rId197" Target="https://www.wipo.int/" TargetMode="External" /><Relationship Type="http://schemas.openxmlformats.org/officeDocument/2006/relationships/hyperlink" Id="rId88"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23"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99" Target="http://www.planalto.gov.br/ccivil_03/_ato2004-2006/2004/lei/l10.973.htm" TargetMode="External" /><Relationship Type="http://schemas.openxmlformats.org/officeDocument/2006/relationships/hyperlink" Id="rId101" Target="http://www.planalto.gov.br/ccivil_03/_ato2015-2018/2016/lei/l13243.htm" TargetMode="External" /><Relationship Type="http://schemas.openxmlformats.org/officeDocument/2006/relationships/hyperlink" Id="rId103" Target="http://www.planalto.gov.br/ccivil_03/_ato2023-2026/2024/lei/l15068.htm" TargetMode="External" /><Relationship Type="http://schemas.openxmlformats.org/officeDocument/2006/relationships/hyperlink" Id="rId97" Target="http://www.planalto.gov.br/ccivil_03/leis/l9279.htm" TargetMode="External" /><Relationship Type="http://schemas.openxmlformats.org/officeDocument/2006/relationships/hyperlink" Id="rId169" Target="https://arxiv.org/abs/2108.02497" TargetMode="External" /><Relationship Type="http://schemas.openxmlformats.org/officeDocument/2006/relationships/hyperlink" Id="rId174" Target="https://doi.org/10.1002/1520-6297(200022)16:3&lt;309::AID-AGR4&gt;3.0.CO;2-G" TargetMode="External" /><Relationship Type="http://schemas.openxmlformats.org/officeDocument/2006/relationships/hyperlink" Id="rId135" Target="https://doi.org/10.1002/vzj2.20035" TargetMode="External" /><Relationship Type="http://schemas.openxmlformats.org/officeDocument/2006/relationships/hyperlink" Id="rId193" Target="https://doi.org/10.1007/s10462-024-10844-w" TargetMode="External" /><Relationship Type="http://schemas.openxmlformats.org/officeDocument/2006/relationships/hyperlink" Id="rId186" Target="https://doi.org/10.1007/s12161-024-02625-6" TargetMode="External" /><Relationship Type="http://schemas.openxmlformats.org/officeDocument/2006/relationships/hyperlink" Id="rId221" Target="https://doi.org/10.1007/s12161-025-02840-9" TargetMode="External" /><Relationship Type="http://schemas.openxmlformats.org/officeDocument/2006/relationships/hyperlink" Id="rId149" Target="https://doi.org/10.1007/s41060-024-00509-w" TargetMode="External" /><Relationship Type="http://schemas.openxmlformats.org/officeDocument/2006/relationships/hyperlink" Id="rId125" Target="https://doi.org/10.1016/j.aca.2007.07.011" TargetMode="External" /><Relationship Type="http://schemas.openxmlformats.org/officeDocument/2006/relationships/hyperlink" Id="rId235" Target="https://doi.org/10.1016/j.chroma.2022.463284" TargetMode="External" /><Relationship Type="http://schemas.openxmlformats.org/officeDocument/2006/relationships/hyperlink" Id="rId153"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166" Target="https://doi.org/10.1016/j.fochx.2025.102856" TargetMode="External" /><Relationship Type="http://schemas.openxmlformats.org/officeDocument/2006/relationships/hyperlink" Id="rId261" Target="https://doi.org/10.1016/j.fochx.2025.103069" TargetMode="External" /><Relationship Type="http://schemas.openxmlformats.org/officeDocument/2006/relationships/hyperlink" Id="rId200" Target="https://doi.org/10.1016/j.fochx.2025.103194" TargetMode="External" /><Relationship Type="http://schemas.openxmlformats.org/officeDocument/2006/relationships/hyperlink" Id="rId133" Target="https://doi.org/10.1016/j.foodchem.2019.125329" TargetMode="External" /><Relationship Type="http://schemas.openxmlformats.org/officeDocument/2006/relationships/hyperlink" Id="rId203" Target="https://doi.org/10.1016/j.foodchem.2020.128519" TargetMode="External" /><Relationship Type="http://schemas.openxmlformats.org/officeDocument/2006/relationships/hyperlink" Id="rId171" Target="https://doi.org/10.1016/j.foodchem.2021.130016" TargetMode="External" /><Relationship Type="http://schemas.openxmlformats.org/officeDocument/2006/relationships/hyperlink" Id="rId143" Target="https://doi.org/10.1016/j.foodchem.2024.140903" TargetMode="External" /><Relationship Type="http://schemas.openxmlformats.org/officeDocument/2006/relationships/hyperlink" Id="rId162" Target="https://doi.org/10.1016/j.foodchem.2024.142088" TargetMode="External" /><Relationship Type="http://schemas.openxmlformats.org/officeDocument/2006/relationships/hyperlink" Id="rId209" Target="https://doi.org/10.1016/j.foodchem.2025.144078" TargetMode="External" /><Relationship Type="http://schemas.openxmlformats.org/officeDocument/2006/relationships/hyperlink" Id="rId151" Target="https://doi.org/10.1016/j.foodchem.2025.145007" TargetMode="External" /><Relationship Type="http://schemas.openxmlformats.org/officeDocument/2006/relationships/hyperlink" Id="rId213" Target="https://doi.org/10.1016/j.foodpol.2022.102345" TargetMode="External" /><Relationship Type="http://schemas.openxmlformats.org/officeDocument/2006/relationships/hyperlink" Id="rId129" Target="https://doi.org/10.1016/j.heliyon.2024.e32297" TargetMode="External" /><Relationship Type="http://schemas.openxmlformats.org/officeDocument/2006/relationships/hyperlink" Id="rId271" Target="https://doi.org/10.1016/j.ijmedinf.2019.08.018" TargetMode="External" /><Relationship Type="http://schemas.openxmlformats.org/officeDocument/2006/relationships/hyperlink" Id="rId146" Target="https://doi.org/10.1016/j.jfca.2024.106668" TargetMode="External" /><Relationship Type="http://schemas.openxmlformats.org/officeDocument/2006/relationships/hyperlink" Id="rId215" Target="https://doi.org/10.1016/j.jfoodeng.2022.111378" TargetMode="External" /><Relationship Type="http://schemas.openxmlformats.org/officeDocument/2006/relationships/hyperlink" Id="rId188" Target="https://doi.org/10.1016/j.joi.2011.04.001" TargetMode="External" /><Relationship Type="http://schemas.openxmlformats.org/officeDocument/2006/relationships/hyperlink" Id="rId257" Target="https://doi.org/10.1016/j.joi.2013.10.006" TargetMode="External" /><Relationship Type="http://schemas.openxmlformats.org/officeDocument/2006/relationships/hyperlink" Id="rId123" Target="https://doi.org/10.1016/j.jpa.2025.xxxxxx" TargetMode="External" /><Relationship Type="http://schemas.openxmlformats.org/officeDocument/2006/relationships/hyperlink" Id="rId190" Target="https://doi.org/10.1016/j.lwt.2024.115886" TargetMode="External" /><Relationship Type="http://schemas.openxmlformats.org/officeDocument/2006/relationships/hyperlink" Id="rId131" Target="https://doi.org/10.1016/j.snb.2022.132946" TargetMode="External" /><Relationship Type="http://schemas.openxmlformats.org/officeDocument/2006/relationships/hyperlink" Id="rId178" Target="https://doi.org/10.1016/j.tifs.2019.11.006" TargetMode="External" /><Relationship Type="http://schemas.openxmlformats.org/officeDocument/2006/relationships/hyperlink" Id="rId273" Target="https://doi.org/10.1016/j.tifs.2024.104679" TargetMode="External" /><Relationship Type="http://schemas.openxmlformats.org/officeDocument/2006/relationships/hyperlink" Id="rId205" Target="https://doi.org/10.1016/j.tifs.2025.105405" TargetMode="External" /><Relationship Type="http://schemas.openxmlformats.org/officeDocument/2006/relationships/hyperlink" Id="rId86" Target="https://doi.org/10.1016/j.trac.2020.116140" TargetMode="External" /><Relationship Type="http://schemas.openxmlformats.org/officeDocument/2006/relationships/hyperlink" Id="rId156" Target="https://doi.org/10.1021/bk-2005-0894.ch001" TargetMode="External" /><Relationship Type="http://schemas.openxmlformats.org/officeDocument/2006/relationships/hyperlink" Id="rId233" Target="https://doi.org/10.1037/0033-2909.86.2.420" TargetMode="External" /><Relationship Type="http://schemas.openxmlformats.org/officeDocument/2006/relationships/hyperlink" Id="rId267"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76" Target="https://doi.org/10.1080/10618600.2022.2069777" TargetMode="External" /><Relationship Type="http://schemas.openxmlformats.org/officeDocument/2006/relationships/hyperlink" Id="rId95" Target="https://doi.org/10.1088/1742-5468/2008/10/P10008" TargetMode="External" /><Relationship Type="http://schemas.openxmlformats.org/officeDocument/2006/relationships/hyperlink" Id="rId127" Target="https://doi.org/10.1108/BFJ-12-2014-0392" TargetMode="External" /><Relationship Type="http://schemas.openxmlformats.org/officeDocument/2006/relationships/hyperlink" Id="rId140" Target="https://doi.org/10.1108/SCM-11-2020-0576" TargetMode="External" /><Relationship Type="http://schemas.openxmlformats.org/officeDocument/2006/relationships/hyperlink" Id="rId259" Target="https://doi.org/10.1109/JSEN.2020.3048534" TargetMode="External" /><Relationship Type="http://schemas.openxmlformats.org/officeDocument/2006/relationships/hyperlink" Id="rId275" Target="https://doi.org/10.1109/TII.2021.3098700" TargetMode="External" /><Relationship Type="http://schemas.openxmlformats.org/officeDocument/2006/relationships/hyperlink" Id="rId160" Target="https://doi.org/10.1111/1541-4337.70082" TargetMode="External" /><Relationship Type="http://schemas.openxmlformats.org/officeDocument/2006/relationships/hyperlink" Id="rId240" Target="https://doi.org/10.1111/j.1475-4762.2007.00765.x" TargetMode="External" /><Relationship Type="http://schemas.openxmlformats.org/officeDocument/2006/relationships/hyperlink" Id="rId255" Target="https://doi.org/10.1111/j.1745-4565.2009.00188.x" TargetMode="External" /><Relationship Type="http://schemas.openxmlformats.org/officeDocument/2006/relationships/hyperlink" Id="rId217" Target="https://doi.org/10.1145/3306618.3314279" TargetMode="External" /><Relationship Type="http://schemas.openxmlformats.org/officeDocument/2006/relationships/hyperlink" Id="rId263" Target="https://doi.org/10.1155/2022/3832170" TargetMode="External" /><Relationship Type="http://schemas.openxmlformats.org/officeDocument/2006/relationships/hyperlink" Id="rId227" Target="https://doi.org/10.1162/dint_a_00213" TargetMode="External" /><Relationship Type="http://schemas.openxmlformats.org/officeDocument/2006/relationships/hyperlink" Id="rId93"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9" Target="https://doi.org/10.21105/joss.02341" TargetMode="External" /><Relationship Type="http://schemas.openxmlformats.org/officeDocument/2006/relationships/hyperlink" Id="rId211" Target="https://doi.org/10.2174/1386207324666210309102239" TargetMode="External" /><Relationship Type="http://schemas.openxmlformats.org/officeDocument/2006/relationships/hyperlink" Id="rId237" Target="https://doi.org/10.2307/1412159" TargetMode="External" /><Relationship Type="http://schemas.openxmlformats.org/officeDocument/2006/relationships/hyperlink" Id="rId231" Target="https://doi.org/10.3390/rs11080920" TargetMode="External" /><Relationship Type="http://schemas.openxmlformats.org/officeDocument/2006/relationships/hyperlink" Id="rId164" Target="https://doi.org/10.3390/s18082674" TargetMode="External" /><Relationship Type="http://schemas.openxmlformats.org/officeDocument/2006/relationships/hyperlink" Id="rId277" Target="https://doi.org/10.3390/s22249678" TargetMode="External" /><Relationship Type="http://schemas.openxmlformats.org/officeDocument/2006/relationships/hyperlink" Id="rId207" Target="https://doi.org/10.3390/s23094527" TargetMode="External" /><Relationship Type="http://schemas.openxmlformats.org/officeDocument/2006/relationships/hyperlink" Id="rId269" Target="https://doi.org/10.3390/s23114958" TargetMode="External" /><Relationship Type="http://schemas.openxmlformats.org/officeDocument/2006/relationships/hyperlink" Id="rId195" Target="https://doi.org/10.3390/separations11050148" TargetMode="External" /><Relationship Type="http://schemas.openxmlformats.org/officeDocument/2006/relationships/hyperlink" Id="rId90" Target="https://doi.org/10.3390/su14042420" TargetMode="External" /><Relationship Type="http://schemas.openxmlformats.org/officeDocument/2006/relationships/hyperlink" Id="rId137" Target="https://doi.org/10.5281/zenodo.1234567" TargetMode="External" /><Relationship Type="http://schemas.openxmlformats.org/officeDocument/2006/relationships/hyperlink" Id="rId251" Target="https://doi.org/10.7326/M18-0850" TargetMode="External" /><Relationship Type="http://schemas.openxmlformats.org/officeDocument/2006/relationships/hyperlink" Id="rId225" Target="https://doi.org/10.9771/cp.v12i1.2721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0" Target="https://papers.nips.cc/paper/7062-a-unified-approach-to-interpreting-model-predictions.pdf" TargetMode="External" /><Relationship Type="http://schemas.openxmlformats.org/officeDocument/2006/relationships/hyperlink" Id="rId244" Target="https://www.R-project.org/" TargetMode="External" /><Relationship Type="http://schemas.openxmlformats.org/officeDocument/2006/relationships/hyperlink" Id="rId105" Target="https://www.codevasf.gov.br/noticias/2014/artesanato-faz-parte-da-identidade-sociocultural-do-baixo-sao-francisco-sergipano-e-gera-renda-para-populacao-local" TargetMode="External" /><Relationship Type="http://schemas.openxmlformats.org/officeDocument/2006/relationships/hyperlink" Id="rId183" Target="https://www.gov.br/agricultura/pt-br/assuntos/sustentabilidade/indicacao-geografica/o-que-e-indicacao-geografica-ig" TargetMode="External" /><Relationship Type="http://schemas.openxmlformats.org/officeDocument/2006/relationships/hyperlink" Id="rId253" Target="https://www.interregeurope.eu" TargetMode="External" /><Relationship Type="http://schemas.openxmlformats.org/officeDocument/2006/relationships/hyperlink" Id="rId158" Target="https://www.jstatsoft.org/v25/i01/" TargetMode="External" /><Relationship Type="http://schemas.openxmlformats.org/officeDocument/2006/relationships/hyperlink" Id="rId246" Target="https://www.rstudio.com/" TargetMode="External" /><Relationship Type="http://schemas.openxmlformats.org/officeDocument/2006/relationships/hyperlink" Id="rId197" Target="https://www.wipo.int/" TargetMode="External" /><Relationship Type="http://schemas.openxmlformats.org/officeDocument/2006/relationships/hyperlink" Id="rId88"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pt-BR</dc:language>
  <cp:keywords/>
  <dcterms:created xsi:type="dcterms:W3CDTF">2025-11-21T14:07:37Z</dcterms:created>
  <dcterms:modified xsi:type="dcterms:W3CDTF">2025-11-21T14:07:37Z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