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0.png" ContentType="image/png"/>
  <Override PartName="/word/media/rId45.png" ContentType="image/png"/>
  <Override PartName="/word/media/rId60.png" ContentType="image/png"/>
  <Override PartName="/word/media/rId56.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constituem mecanismo jurídico-econômico para valorização territorial e proteção de produtos regionais, assegurando autenticidade e qualidade. Técnicas de Aprendizado de Máquina (ML) permitem integrar variáveis complexas e gerar informações preditivas úteis aos sistemas de certificação. Foi realizada uma revisão de escopo das aplicações de ML em IGs para identificar técnicas empregadas, distribuição por produtos e regiões, eficácia em problemas específicos e lacunas de pesquisa. Foi aplicada a metodologia PRISMA-ScR em quatro fases com busca integrada nas bases Scopus e Web of Science. Primeiro, foi aplicada filtragem automatizada por pontuação ponderada em 272 estudos (140 Scopus + 132 WoS, 2010-2025), selecionando 25 artigos relevantes. Segundo, três revisores independentes avaliaram a qualidade metodológica, alcançando concordância ICC=0,87. Terceiro, foi realizada análise bibliométrica e redes de colaboração com aplicação da Lei de Lotka. Quarto, foi integrada síntese qualitativa com análise documental de marcos regulatórios. Foi identificada diversidade de algoritmos (Random Forest, Support Vector Machines, Deep Learning) integrados a espectrometria, metabolômica e espectroscopia. A acurácia reportada varia entre 80-100% para autenticação de origem, detecção de fraudes, rastreabilidade e controle de qualidade. Produtos agroalimentares dominam o corpus (vinhos, chás, carnes, azeites), refletindo concentração setorial atual. São sintetizadas evidências científicas e propostas diretrizes para implementação prática de ML em sistemas de certificação geográfica. A análise bibliométrica revelou a estrutura do campo, com a Análise de Correspondência Múltipla (MCA) identificando dois eixos principais: um associando produtos europeus consolidados (vinhos, azeites) a algoritmos clássicos (SVM, PLS-DA), e outro conectando produtos asiáticos emergentes (chás) a técnicas de Deep Learning e metabolômica. A análise de redes identificou quatro clusters temáticos, e a análise temporal mostrou um crescimento exponencial de publicações desde 2018, com uma transição de métodos quimiométricos para algoritmos de ML mais modernos como Random Forest.</w:t>
      </w:r>
    </w:p>
    <w:p>
      <w:pPr>
        <w:pStyle w:val="Corpodetexto"/>
      </w:pPr>
      <w:r>
        <w:rPr>
          <w:b/>
          <w:bCs/>
        </w:rPr>
        <w:t xml:space="preserve">Palavras-chave:</w:t>
      </w:r>
      <w:r>
        <w:t xml:space="preserve"> </w:t>
      </w:r>
      <w:r>
        <w:t xml:space="preserve">Indicações Geográficas; Aprendizado de Máquina; Revisão de Escopo PRISMA-ScR; Autenticação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b/>
          <w:bCs/>
        </w:rPr>
        <w:t xml:space="preserve">Berne1986?</w:t>
      </w:r>
      <w:r>
        <w:t xml:space="preserve">)</w:t>
      </w:r>
      <w:r>
        <w:t xml:space="preserve"> </w:t>
      </w:r>
      <w:r>
        <w:t xml:space="preserve">e no Acordo TRIPS</w:t>
      </w:r>
      <w:r>
        <w:t xml:space="preserve"> </w:t>
      </w:r>
      <w:r>
        <w:t xml:space="preserve">(</w:t>
      </w:r>
      <w:r>
        <w:rPr>
          <w:b/>
          <w:bCs/>
        </w:rPr>
        <w:t xml:space="preserve">TRIPS1994?</w:t>
      </w:r>
      <w:r>
        <w:t xml:space="preserve">)</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(R. C. Chen et al., 2020; Ramos et al., 2025)</w:t>
      </w:r>
      <w:r>
        <w:t xml:space="preserve">.</w:t>
      </w:r>
    </w:p>
    <w:p>
      <w:pPr>
        <w:pStyle w:val="Corpodetexto"/>
      </w:pP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w:t>
      </w:r>
      <w:r>
        <w:t xml:space="preserve"> </w:t>
      </w:r>
      <w:r>
        <w:t xml:space="preserve">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 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w:t>
      </w:r>
      <w:r>
        <w:t xml:space="preserve"> </w:t>
      </w:r>
      <w:r>
        <w:t xml:space="preserve">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(Z. Zhang, 2024)</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(R. C. 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44"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w:t>
      </w:r>
      <w:r>
        <w:t xml:space="preserve"> </w:t>
      </w:r>
      <w:r>
        <w:rPr>
          <w:b/>
          <w:bCs/>
        </w:rPr>
        <w:t xml:space="preserve">Estratégia de Busca</w:t>
      </w:r>
      <w:r>
        <w:t xml:space="preserve"> </w:t>
      </w:r>
      <w:r>
        <w:t xml:space="preserve">nas principais bases de dados, (2)</w:t>
      </w:r>
      <w:r>
        <w:t xml:space="preserve"> </w:t>
      </w:r>
      <w:r>
        <w:rPr>
          <w:b/>
          <w:bCs/>
        </w:rPr>
        <w:t xml:space="preserve">Filtragem Automatizada</w:t>
      </w:r>
      <w:r>
        <w:t xml:space="preserve"> </w:t>
      </w:r>
      <w:r>
        <w:t xml:space="preserve">com sistema de pontuação ponderada, (3)</w:t>
      </w:r>
      <w:r>
        <w:t xml:space="preserve"> </w:t>
      </w:r>
      <w:r>
        <w:rPr>
          <w:b/>
          <w:bCs/>
        </w:rPr>
        <w:t xml:space="preserve">Análise Manual de Qualidade</w:t>
      </w:r>
      <w:r>
        <w:t xml:space="preserve"> </w:t>
      </w:r>
      <w:r>
        <w:t xml:space="preserve">com avaliação multidisciplinar, e (4)</w:t>
      </w:r>
      <w:r>
        <w:t xml:space="preserve"> </w:t>
      </w:r>
      <w:r>
        <w:rPr>
          <w:b/>
          <w:bCs/>
        </w:rPr>
        <w:t xml:space="preserve">Análise Bibliométrica e Síntese Qualitativa</w:t>
      </w:r>
      <w:r>
        <w:t xml:space="preserve"> </w:t>
      </w:r>
      <w:r>
        <w:t xml:space="preserve">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1157628"/>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11157628"/>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6"/>
    <w:bookmarkStart w:id="27" w:name="Xbbc72084e4feabc9956f9877c43c921321d150c"/>
    <w:p>
      <w:pPr>
        <w:pStyle w:val="Ttulo3"/>
      </w:pPr>
      <w:r>
        <w:t xml:space="preserve">2.4.2 Implementação e Validação do Sistema Automatizado</w:t>
      </w:r>
    </w:p>
    <w:p>
      <w:pPr>
        <w:pStyle w:val="FirstParagraph"/>
      </w:pPr>
      <w:r>
        <w:t xml:space="preserve">O algoritmo analisa títulos, abstracts e palavras-chave de cada entrada bibliográfica, aplicando pesos diferenciados por localização: títulos recebem multiplicador 1.5, abstracts 1.0, e palavras-chave 1.2, conforme a importância semântica de cada campo.</w:t>
      </w:r>
    </w:p>
    <w:p>
      <w:pPr>
        <w:pStyle w:val="Corpodetexto"/>
      </w:pPr>
      <w:r>
        <w:t xml:space="preserve">Estabelecemos limiar de pontuação mínima através de análise estatística da distribuição de pontuações e validação manual em amostra representativa, verificando termos de machine learning, geographical indications e authentication nos metadados.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p>
      <w:pPr>
        <w:pStyle w:val="Corpodetexto"/>
      </w:pPr>
      <w:r>
        <w:t xml:space="preserve">Para quantificação da cobertura bibliográfica e adequação dos estudos selecionados, foram aplicadas duas métricas complementares. A primeira, de cobertura de citações, foi calculada através da seguinte equação:</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2"/>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2"/>
        </w:numPr>
      </w:pPr>
      <m:oMath>
        <m:sSub>
          <m:e>
            <m:r>
              <m:t>C</m:t>
            </m:r>
          </m:e>
          <m:sub>
            <m:r>
              <m:t>t</m:t>
            </m:r>
            <m:r>
              <m:t>o</m:t>
            </m:r>
            <m:r>
              <m:t>t</m:t>
            </m:r>
            <m:r>
              <m:t>a</m:t>
            </m:r>
            <m:r>
              <m:t>i</m:t>
            </m:r>
            <m:r>
              <m:t>s</m:t>
            </m:r>
          </m:sub>
        </m:sSub>
      </m:oMath>
      <w:r>
        <w:t xml:space="preserve"> </w:t>
      </w:r>
      <w:r>
        <w:t xml:space="preserve">= número total de citações únicas no manuscrito</w:t>
      </w:r>
    </w:p>
    <w:p>
      <w:pPr>
        <w:pStyle w:val="FirstParagraph"/>
      </w:pPr>
      <w:r>
        <w:t xml:space="preserve">A segunda métrica, de taxa de uso do corpus bibliográfico, foi estruturada como:</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3"/>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3"/>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partir dessas métricas é possivel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4"/>
        </w:numPr>
      </w:pPr>
      <m:oMath>
        <m:r>
          <m:t>B</m:t>
        </m:r>
        <m:r>
          <m:t>M</m:t>
        </m:r>
        <m:r>
          <m:t>S</m:t>
        </m:r>
      </m:oMath>
      <w:r>
        <w:t xml:space="preserve"> </w:t>
      </w:r>
      <w:r>
        <w:t xml:space="preserve">= quadrado médio entre avaliadores</w:t>
      </w:r>
    </w:p>
    <w:p>
      <w:pPr>
        <w:pStyle w:val="Compact"/>
        <w:numPr>
          <w:ilvl w:val="0"/>
          <w:numId w:val="1004"/>
        </w:numPr>
      </w:pPr>
      <m:oMath>
        <m:r>
          <m:t>E</m:t>
        </m:r>
        <m:r>
          <m:t>M</m:t>
        </m:r>
        <m:r>
          <m:t>S</m:t>
        </m:r>
      </m:oMath>
      <w:r>
        <w:t xml:space="preserve"> </w:t>
      </w:r>
      <w:r>
        <w:t xml:space="preserve">= quadrado médio de erro</w:t>
      </w:r>
    </w:p>
    <w:p>
      <w:pPr>
        <w:pStyle w:val="Compact"/>
        <w:numPr>
          <w:ilvl w:val="0"/>
          <w:numId w:val="1004"/>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5"/>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5"/>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5"/>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5"/>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5"/>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X1b6cfe1372dd88f0f0296fd2f94730a798e6b12"/>
    <w:p>
      <w:pPr>
        <w:pStyle w:val="Ttulo2"/>
      </w:pPr>
      <w:r>
        <w:t xml:space="preserve">2.6 Terceira Fase: Análise Bibliométrica e Redes de Colaboração</w:t>
      </w:r>
    </w:p>
    <w:p>
      <w:pPr>
        <w:pStyle w:val="FirstParagraph"/>
      </w:pPr>
      <w:r>
        <w:t xml:space="preserve">Na terceira fase, foi analisada a produtividade científica e identificadas redes de colaboração entre machine learning e Indicações Geográficas. Foi aplicada a Lei de Lotka para examinar a distribuição de autores, complementando com análise de cocitação e acoplamento bibliográfico.</w:t>
      </w:r>
    </w:p>
    <w:p>
      <w:pPr>
        <w:pStyle w:val="Corpodetexto"/>
      </w:pPr>
      <w:r>
        <w:t xml:space="preserve">A Lei de Lotka foi aplicada através da seguinte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6"/>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6"/>
        </w:numPr>
      </w:pPr>
      <m:oMath>
        <m:r>
          <m:t>K</m:t>
        </m:r>
      </m:oMath>
      <w:r>
        <w:t xml:space="preserve"> </w:t>
      </w:r>
      <w:r>
        <w:t xml:space="preserve">= constante de proporcionalidade</w:t>
      </w:r>
    </w:p>
    <w:p>
      <w:pPr>
        <w:pStyle w:val="Compact"/>
        <w:numPr>
          <w:ilvl w:val="0"/>
          <w:numId w:val="1006"/>
        </w:numPr>
      </w:pPr>
      <m:oMath>
        <m:r>
          <m:t>a</m:t>
        </m:r>
      </m:oMath>
      <w:r>
        <w:t xml:space="preserve"> </w:t>
      </w:r>
      <w:r>
        <w:t xml:space="preserve">= número de artigos publicados por um autor</w:t>
      </w:r>
    </w:p>
    <w:p>
      <w:pPr>
        <w:pStyle w:val="Compact"/>
        <w:numPr>
          <w:ilvl w:val="0"/>
          <w:numId w:val="1006"/>
        </w:numPr>
      </w:pPr>
      <m:oMath>
        <m:r>
          <m:t>n</m:t>
        </m:r>
      </m:oMath>
      <w:r>
        <w:t xml:space="preserve"> </w:t>
      </w:r>
      <w:r>
        <w:t xml:space="preserve">= expoente (tipicamente aproximado a 2 para ciências)</w:t>
      </w:r>
    </w:p>
    <w:p>
      <w:pPr>
        <w:pStyle w:val="FirstParagraph"/>
      </w:pPr>
      <w:r>
        <w:t xml:space="preserve">Esta lei permite descrever a distribuição não-linear de produtividade entre autores, identificando se a produção científica segue padrão concentrado (poucos autores com muitas publicações) ou disperso (muitos autores com poucas publicações).</w:t>
      </w:r>
    </w:p>
    <w:p>
      <w:pPr>
        <w:pStyle w:val="Corpodetexto"/>
      </w:pPr>
      <w:r>
        <w:t xml:space="preserve">A análise de redes foi realizada utilizando o software VOSviewer, considerando:</w:t>
      </w:r>
    </w:p>
    <w:p>
      <w:pPr>
        <w:pStyle w:val="Compact"/>
        <w:numPr>
          <w:ilvl w:val="0"/>
          <w:numId w:val="1007"/>
        </w:numPr>
      </w:pPr>
      <w:r>
        <w:t xml:space="preserve">Redes de coautoria entre pesquisadores;</w:t>
      </w:r>
    </w:p>
    <w:p>
      <w:pPr>
        <w:pStyle w:val="Compact"/>
        <w:numPr>
          <w:ilvl w:val="0"/>
          <w:numId w:val="1007"/>
        </w:numPr>
      </w:pPr>
      <w:r>
        <w:t xml:space="preserve">Clusters temáticos baseados em palavras-chave;</w:t>
      </w:r>
    </w:p>
    <w:p>
      <w:pPr>
        <w:pStyle w:val="Compact"/>
        <w:numPr>
          <w:ilvl w:val="0"/>
          <w:numId w:val="1007"/>
        </w:numPr>
      </w:pPr>
      <w:r>
        <w:t xml:space="preserve">Evolução temporal das publicações (2010-2025);</w:t>
      </w:r>
    </w:p>
    <w:p>
      <w:pPr>
        <w:pStyle w:val="Compact"/>
        <w:numPr>
          <w:ilvl w:val="0"/>
          <w:numId w:val="1007"/>
        </w:numPr>
      </w:pPr>
      <w:r>
        <w:t xml:space="preserve">Distribuição geográfica e institucional dos estudos;</w:t>
      </w:r>
    </w:p>
    <w:p>
      <w:pPr>
        <w:pStyle w:val="Compact"/>
        <w:numPr>
          <w:ilvl w:val="0"/>
          <w:numId w:val="1007"/>
        </w:numPr>
      </w:pPr>
      <w:r>
        <w:t xml:space="preserve">Identificação de periódicos centrais na área.</w:t>
      </w:r>
    </w:p>
    <w:p>
      <w:pPr>
        <w:pStyle w:val="FirstParagraph"/>
      </w:pPr>
      <w:r>
        <w:t xml:space="preserve">Esta análise permitiu mapear a estrutura da produção científica na área, identificando limitações temáticas e direções para pesquisa futura.</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três fases anteriores com análise documental de marcos regulatórios, fundamentando as recomendações metodológicas da revisão. Esta integração reconhece que o conhecimento científico deve articular-se com o contexto legal e regulatório, garantindo que metodologias propostas para Indicações Geográficas sejam cientificamente consistentes, juridicamente viáveis e eticamente apropriadas.</w:t>
      </w:r>
    </w:p>
    <w:p>
      <w:pPr>
        <w:pStyle w:val="Corpodetexto"/>
      </w:pPr>
      <w:r>
        <w:t xml:space="preserve">A síntese final combinou análise qualitativa temática com meta-análise quantitativa quando aplicável. Foi aplicado o princípio de Pareto (80/20), selecionando os 20% dos artigos com maior pontuação combinada, que representaram aproximadamente 80% do impacto científico do corpus.</w:t>
      </w:r>
    </w:p>
    <w:p>
      <w:pPr>
        <w:pStyle w:val="Corpodetexto"/>
      </w:pPr>
      <w:r>
        <w:t xml:space="preserve">O somatório final considerou três dimensões: relevância temática da Primeira Fase, qualidade metodológica da Segunda Fase e impacto bibliométrico da Terceira Fase. Foram distribuídos os pesos em 40% para qualidade metodológica, 35% para relevância temática e 25% para impacto bibliométrico, priorizando consistência metodológica sem negligenciar relevância e impacto científico.</w:t>
      </w:r>
    </w:p>
    <w:p>
      <w:pPr>
        <w:pStyle w:val="Corpodetexto"/>
      </w:pPr>
      <w:r>
        <w:t xml:space="preserve">A pontuação combinada final de cada estudo foi calculada através da seguinte equação: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8"/>
        </w:numPr>
      </w:pPr>
      <m:oMath>
        <m:sSub>
          <m:e>
            <m:r>
              <m:t>P</m:t>
            </m:r>
          </m:e>
          <m:sub>
            <m:r>
              <m:t>f</m:t>
            </m:r>
            <m:r>
              <m:t>i</m:t>
            </m:r>
            <m:r>
              <m:t>n</m:t>
            </m:r>
            <m:r>
              <m:t>a</m:t>
            </m:r>
            <m:r>
              <m:t>l</m:t>
            </m:r>
          </m:sub>
        </m:sSub>
      </m:oMath>
      <w:r>
        <w:t xml:space="preserve"> </w:t>
      </w:r>
      <w:r>
        <w:t xml:space="preserve">= pontuação final de seleção para análise de síntese</w:t>
      </w:r>
    </w:p>
    <w:p>
      <w:pPr>
        <w:pStyle w:val="Compact"/>
        <w:numPr>
          <w:ilvl w:val="0"/>
          <w:numId w:val="1008"/>
        </w:numPr>
      </w:pPr>
      <m:oMath>
        <m:sSub>
          <m:e>
            <m:r>
              <m:t>Q</m:t>
            </m:r>
          </m:e>
          <m:sub>
            <m:r>
              <m:t>m</m:t>
            </m:r>
            <m:r>
              <m:t>e</m:t>
            </m:r>
            <m:r>
              <m:t>t</m:t>
            </m:r>
          </m:sub>
        </m:sSub>
      </m:oMath>
      <w:r>
        <w:t xml:space="preserve"> </w:t>
      </w:r>
      <w:r>
        <w:t xml:space="preserve">= qualidade metodológica normalizada entre 0-1 (Segunda Fase)</w:t>
      </w:r>
    </w:p>
    <w:p>
      <w:pPr>
        <w:pStyle w:val="Compact"/>
        <w:numPr>
          <w:ilvl w:val="0"/>
          <w:numId w:val="1008"/>
        </w:numPr>
      </w:pPr>
      <m:oMath>
        <m:sSub>
          <m:e>
            <m:r>
              <m:t>Q</m:t>
            </m:r>
          </m:e>
          <m:sub>
            <m:r>
              <m:t>t</m:t>
            </m:r>
            <m:r>
              <m:t>e</m:t>
            </m:r>
            <m:r>
              <m:t>m</m:t>
            </m:r>
          </m:sub>
        </m:sSub>
      </m:oMath>
      <w:r>
        <w:t xml:space="preserve"> </w:t>
      </w:r>
      <w:r>
        <w:t xml:space="preserve">= relevância temática normalizada entre 0-1 (Primeira Fase)</w:t>
      </w:r>
    </w:p>
    <w:p>
      <w:pPr>
        <w:pStyle w:val="Compact"/>
        <w:numPr>
          <w:ilvl w:val="0"/>
          <w:numId w:val="1008"/>
        </w:numPr>
      </w:pPr>
      <m:oMath>
        <m:sSub>
          <m:e>
            <m:r>
              <m:t>Q</m:t>
            </m:r>
          </m:e>
          <m:sub>
            <m:r>
              <m:t>b</m:t>
            </m:r>
            <m:r>
              <m:t>i</m:t>
            </m:r>
            <m:r>
              <m:t>b</m:t>
            </m:r>
            <m:r>
              <m:t>l</m:t>
            </m:r>
            <m:r>
              <m:t>i</m:t>
            </m:r>
            <m:r>
              <m:t>o</m:t>
            </m:r>
          </m:sub>
        </m:sSub>
      </m:oMath>
      <w:r>
        <w:t xml:space="preserve"> </w:t>
      </w:r>
      <w:r>
        <w:t xml:space="preserve">= impacto bibliométrico normalizado entre 0-1 (Terceira Fase)</w:t>
      </w:r>
    </w:p>
    <w:p>
      <w:pPr>
        <w:pStyle w:val="FirstParagraph"/>
      </w:pPr>
      <w:r>
        <w:t xml:space="preserve">Adicionalmente, foi calculada a taxa de cobertura de citações no corpus bibliográfico através da seguinte métrica:</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9"/>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9"/>
        </w:numPr>
      </w:pPr>
      <m:oMath>
        <m:sSub>
          <m:e>
            <m:r>
              <m:t>C</m:t>
            </m:r>
          </m:e>
          <m:sub>
            <m:r>
              <m:t>t</m:t>
            </m:r>
            <m:r>
              <m:t>o</m:t>
            </m:r>
            <m:r>
              <m:t>t</m:t>
            </m:r>
            <m:r>
              <m:t>a</m:t>
            </m:r>
            <m:r>
              <m:t>i</m:t>
            </m:r>
            <m:r>
              <m:t>s</m:t>
            </m:r>
          </m:sub>
        </m:sSub>
      </m:oMath>
      <w:r>
        <w:t xml:space="preserve"> </w:t>
      </w:r>
      <w:r>
        <w:t xml:space="preserve">= número total de citações únicas no manuscrito</w:t>
      </w:r>
    </w:p>
    <w:bookmarkEnd w:id="35"/>
    <w:bookmarkStart w:id="39" w:name="análises-estatísticas"/>
    <w:p>
      <w:pPr>
        <w:pStyle w:val="Ttulo2"/>
      </w:pPr>
      <w:r>
        <w:t xml:space="preserve">2.8 Análises Estatísticas</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foi aplicada para analisar associações entre variáveis categóricas no corpus de 148 estudos. O método decompõe tabelas de contingência multidimensionais, identificando padrões de associação entre categorias de variáveis nominais através da análise simultânea de múltiplas variáveis categóricas. A análise foi realizada utilizando o pacote</w:t>
      </w:r>
      <w:r>
        <w:t xml:space="preserve"> </w:t>
      </w:r>
      <w:r>
        <w:rPr>
          <w:rStyle w:val="VerbatimChar"/>
        </w:rPr>
        <w:t xml:space="preserve">FactoMineR</w:t>
      </w:r>
      <w:r>
        <w:t xml:space="preserve">, categorizando os estudos segundo algoritmos ML empregados, produtos agroalimentares, regiões geográficas, instrumentos analíticos e períodos temporais.</w:t>
      </w:r>
    </w:p>
    <w:p>
      <w:pPr>
        <w:pStyle w:val="Corpodetexto"/>
      </w:pPr>
      <w:r>
        <w:t xml:space="preserve">As dimensões foram extraídas segundo o critério de inércia explicada, priorizando as dimensões que capturam maior proporção da variabilidade total das associações categóricas. A qualidade da representação foi avaliada através de cos² (proporção de inércia explicada por cada dimensão) e contribuição relativa das categorias. Biplots foram gerados para visualizar simultaneamente as categorias das variáveis, facilitando identificação de associações entre técnicas ML, produtos e contextos geográficos. Mapas de calor de contingência foram produzidos para examinar frequências conjuntas entre pares de variáveis categóricas.</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técnicas de Machine Learning, produtos agroalimentares e regiões geográficas. Utilizando o pacote</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grafo não-direcionado onde nós representam entidades (algoritmos, produtos, regiões) e arestas ponderam frequência de co-ocorrência.</w:t>
      </w:r>
    </w:p>
    <w:p>
      <w:pPr>
        <w:pStyle w:val="Corpodetexto"/>
      </w:pPr>
      <w:r>
        <w:t xml:space="preserve">A detecção de comunidades foi realizada através do algoritmo de Louvain, identificando módulos temáticos densamente conectados. Métricas de centralidade (degree, betweenness, closeness) foram calculadas para identificar entidades centrais no corpus. A visualização foi otimizada com layout force-directed, utilizando paleta viridis para codificação de comunidades e tamanho de nós proporcional ao grau de conectividade.</w:t>
      </w:r>
    </w:p>
    <w:bookmarkEnd w:id="37"/>
    <w:bookmarkStart w:id="38" w:name="análise-temporal"/>
    <w:p>
      <w:pPr>
        <w:pStyle w:val="Ttulo3"/>
      </w:pPr>
      <w:r>
        <w:t xml:space="preserve">2.8.3 Análise Temporal</w:t>
      </w:r>
    </w:p>
    <w:p>
      <w:pPr>
        <w:pStyle w:val="FirstParagraph"/>
      </w:pPr>
      <w:r>
        <w:t xml:space="preserve">A evolução temporal das aplicações de ML em IGs foi analisada através de séries temporais (2010-2025), empregando correlação de Spearman para detectar tendências significativas (p &lt; 0.05). O pacote</w:t>
      </w:r>
      <w:r>
        <w:t xml:space="preserve"> </w:t>
      </w:r>
      <w:r>
        <w:rPr>
          <w:rStyle w:val="VerbatimChar"/>
        </w:rPr>
        <w:t xml:space="preserve">ggplot2</w:t>
      </w:r>
      <w:r>
        <w:t xml:space="preserve"> </w:t>
      </w:r>
      <w:r>
        <w:t xml:space="preserve">foi utilizado para gerar visualizações de linha temporal com suavização LOESS, acompanhadas de heatmaps para análise de evolução conjunta entre algoritmos e produtos.</w:t>
      </w:r>
    </w:p>
    <w:p>
      <w:pPr>
        <w:pStyle w:val="Corpodetexto"/>
      </w:pPr>
      <w:r>
        <w:t xml:space="preserve">A análise considerou métricas de produtividade científica (número de publicações por ano), adoção de algoritmos ML e distribuição por categorias de produto. Tendências significativas foram identificadas através de teste não-paramétrico de Spearman, apropriado para dados discretos e não-normalmente distribuídos.</w:t>
      </w:r>
    </w:p>
    <w:bookmarkEnd w:id="38"/>
    <w:bookmarkEnd w:id="39"/>
    <w:bookmarkStart w:id="43" w:name="análises-estatísticas-computacionais"/>
    <w:p>
      <w:pPr>
        <w:pStyle w:val="Ttulo2"/>
      </w:pPr>
      <w:r>
        <w:t xml:space="preserve">2.9 Análises Estatísticas Computacionais</w:t>
      </w:r>
    </w:p>
    <w:p>
      <w:pPr>
        <w:pStyle w:val="FirstParagraph"/>
      </w:pPr>
      <w:r>
        <w:t xml:space="preserve">Para caracterizar sistematicamente o corpus bibliográfico e identificar padrões emergentes nas aplicações de Machine Learning em Indicações Geográficas.</w:t>
      </w:r>
    </w:p>
    <w:bookmarkStart w:id="40" w:name="Xaa1d99f01d4e4252dede1f86edc6d72b7189181"/>
    <w:p>
      <w:pPr>
        <w:pStyle w:val="Ttulo3"/>
      </w:pPr>
      <w:r>
        <w:t xml:space="preserve">2.9.1 Análise de Correspondência Múltipla (MCA)</w:t>
      </w:r>
    </w:p>
    <w:p>
      <w:pPr>
        <w:pStyle w:val="FirstParagraph"/>
      </w:pPr>
      <w:r>
        <w:t xml:space="preserve">A Análise de Correspondência Múltipla (MCA) foi adotada para investigar associações entre variáveis categóricas no corpus de 148 estudos, conforme metodologia consolidada por</w:t>
      </w:r>
      <w:r>
        <w:t xml:space="preserve"> </w:t>
      </w:r>
      <w:r>
        <w:t xml:space="preserve">Lê et al. (2008)</w:t>
      </w:r>
      <w:r>
        <w:t xml:space="preserve">,</w:t>
      </w:r>
      <w:r>
        <w:t xml:space="preserve"> </w:t>
      </w:r>
      <w:r>
        <w:t xml:space="preserve">Greenacre (2017)</w:t>
      </w:r>
      <w:r>
        <w:t xml:space="preserve"> </w:t>
      </w:r>
      <w:r>
        <w:t xml:space="preserve">e</w:t>
      </w:r>
      <w:r>
        <w:t xml:space="preserve"> </w:t>
      </w:r>
      <w:r>
        <w:t xml:space="preserve">Abdi et al. (2013)</w:t>
      </w:r>
      <w:r>
        <w:t xml:space="preserve">. Esse método decompõe tabelas de contingência multidimensionais, permitindo identificar padrões de associação entre categorias de múltiplas variáveis nominais por meio da análise simultânea dessas variáveis. A análise foi conduzida utilizando o pacote FactoMineR no R, categorizando os estudos segundo algoritmos de Machine Learning empregados, produtos agroalimentares, regiões geográficas, instrumentos analíticos e períodos temporais.</w:t>
      </w:r>
    </w:p>
    <w:p>
      <w:pPr>
        <w:pStyle w:val="Corpodetexto"/>
      </w:pPr>
      <w:r>
        <w:t xml:space="preserve">As dimensões extraídas seguiram o critério de inércia explicada, priorizando aquelas que capturam maior proporção da variabilidade total das associações categóricas. A qualidade da representação foi avaliada via cos² (proporção da inércia explicada por cada dimensão) e contribuição relativa das categorias para as dimensões principais. Para facilitar a identificação de padrões, biplots foram gerados para visualizar simultaneamente as categorias das variáveis, possibilitando explorar associações entre técnicas de ML, produtos e contextos geográficos (</w:t>
      </w:r>
      <w:r>
        <w:t xml:space="preserve">Lê et al. (2008)</w:t>
      </w:r>
      <w:r>
        <w:t xml:space="preserve">;</w:t>
      </w:r>
      <w:r>
        <w:t xml:space="preserve"> </w:t>
      </w:r>
      <w:r>
        <w:t xml:space="preserve">Greenacre (2017)</w:t>
      </w:r>
      <w:r>
        <w:t xml:space="preserve">).</w:t>
      </w:r>
    </w:p>
    <w:bookmarkEnd w:id="40"/>
    <w:bookmarkStart w:id="41" w:name="análise-de-redes-network-analysis-1"/>
    <w:p>
      <w:pPr>
        <w:pStyle w:val="Ttulo3"/>
      </w:pPr>
      <w:r>
        <w:t xml:space="preserve">2.9.2 Análise de Redes (Network Analysis)</w:t>
      </w:r>
    </w:p>
    <w:p>
      <w:pPr>
        <w:pStyle w:val="FirstParagraph"/>
      </w:pPr>
      <w:r>
        <w:t xml:space="preserve">A análise de redes foi implementada para mapear co-ocorrências entre técnicas de Machine Learning, produtos agroalimentares e regiões geográficas, de acordo com procedimentos amplamente adotados em literatura de análise de redes complexas</w:t>
      </w:r>
      <w:r>
        <w:t xml:space="preserve"> </w:t>
      </w:r>
      <w:r>
        <w:t xml:space="preserve">(Blondel et al., 2008; Csárdi &amp; Nepusz, 2006; Schoch, 2020)</w:t>
      </w:r>
      <w:r>
        <w:t xml:space="preserve">. Utilizando os pacotes igraph</w:t>
      </w:r>
      <w:r>
        <w:t xml:space="preserve">(Csárdi &amp; Nepusz, 2006)</w:t>
      </w:r>
      <w:r>
        <w:t xml:space="preserve"> </w:t>
      </w:r>
      <w:r>
        <w:t xml:space="preserve">e ggraph</w:t>
      </w:r>
      <w:r>
        <w:t xml:space="preserve">(Schoch, 2020)</w:t>
      </w:r>
      <w:r>
        <w:t xml:space="preserve">, foi construído grafo não-direcionado, no qual cada nó representa uma entidade (algoritmo, produto, região) e as arestas codificam a frequência de co-ocorrência entre elas.</w:t>
      </w:r>
    </w:p>
    <w:p>
      <w:pPr>
        <w:pStyle w:val="Corpodetexto"/>
      </w:pPr>
      <w:r>
        <w:t xml:space="preserve">A detecção de comunidades foi realizada com o algoritmo de Louvain, método de alto desempenho para identificar módulos densamente conectados em grandes redes</w:t>
      </w:r>
      <w:r>
        <w:t xml:space="preserve">(Blondel et al., 2008)</w:t>
      </w:r>
      <w:r>
        <w:t xml:space="preserve">. Métricas de centralidade de grau, intermediação (betweenness) e proximidade (closeness) foram calculadas para identificar as entidades mais influentes no corpus</w:t>
      </w:r>
      <w:r>
        <w:t xml:space="preserve">(Csárdi &amp; Nepusz, 2006)</w:t>
      </w:r>
      <w:r>
        <w:t xml:space="preserve">.</w:t>
      </w:r>
    </w:p>
    <w:bookmarkEnd w:id="41"/>
    <w:bookmarkStart w:id="42" w:name="análise-temporal-1"/>
    <w:p>
      <w:pPr>
        <w:pStyle w:val="Ttulo3"/>
      </w:pPr>
      <w:r>
        <w:t xml:space="preserve">2.9.3 Análise Temporal</w:t>
      </w:r>
    </w:p>
    <w:p>
      <w:pPr>
        <w:pStyle w:val="FirstParagraph"/>
      </w:pPr>
      <w:r>
        <w:t xml:space="preserve">A evolução temporal das aplicações de Machine Learning em Indicações Geográficas foi analisada por meio de séries temporais (2010–2025), empregando o teste não paramétrico de correlação de Spearman, apropriado para dados discretos e não-normalmente distribuídos, para detectar tendências estatisticamente significativas (p &lt; 0.05)</w:t>
      </w:r>
      <w:r>
        <w:t xml:space="preserve"> </w:t>
      </w:r>
      <w:r>
        <w:t xml:space="preserve">(Schober et al., 2018; Spearman, 1904)</w:t>
      </w:r>
      <w:r>
        <w:t xml:space="preserve">.</w:t>
      </w:r>
    </w:p>
    <w:p>
      <w:pPr>
        <w:pStyle w:val="Corpodetexto"/>
      </w:pPr>
      <w:r>
        <w:t xml:space="preserve">A análise considerou métricas de produtividade científica, como o número de publicações por ano, padrões de adoção de algoritmos de ML e distribuição por categorias de produtos. Tendências significativas foram identificadas por meio do teste de Spearman, em função da robustez para dados não paramétricos e temporais</w:t>
      </w:r>
      <w:r>
        <w:t xml:space="preserve">(Schober et al., 2018)</w:t>
      </w:r>
      <w:r>
        <w:t xml:space="preserve">. O uso combinado de visualizações enriquecidas (LOESS, heatmaps) e estatísticas não paramétricas permite captar as dinâmicas e associações temporais estruturais do corpus</w:t>
      </w:r>
      <w:r>
        <w:t xml:space="preserve"> </w:t>
      </w:r>
      <w:r>
        <w:t xml:space="preserve">(Wickham, 2016)</w:t>
      </w:r>
      <w:r>
        <w:t xml:space="preserve">.</w:t>
      </w:r>
    </w:p>
    <w:p>
      <w:pPr>
        <w:pStyle w:val="Corpodetexto"/>
      </w:pPr>
      <w:r>
        <w:t xml:space="preserve">Todas as análises estatísticas foram implementadas no ambiente R versão 4.4.3</w:t>
      </w:r>
      <w:r>
        <w:t xml:space="preserve"> </w:t>
      </w:r>
      <w:r>
        <w:t xml:space="preserve">(R. C. Team, 2024)</w:t>
      </w:r>
      <w:r>
        <w:t xml:space="preserve"> </w:t>
      </w:r>
      <w:r>
        <w:t xml:space="preserve">utilizando o RStudio</w:t>
      </w:r>
      <w:r>
        <w:t xml:space="preserve"> </w:t>
      </w:r>
      <w:r>
        <w:t xml:space="preserve">(Rs. Team, 2023)</w:t>
      </w:r>
      <w:r>
        <w:t xml:space="preserve">, com os seguintes pacotes:</w:t>
      </w:r>
      <w:r>
        <w:t xml:space="preserve"> </w:t>
      </w:r>
      <w:r>
        <w:rPr>
          <w:rStyle w:val="VerbatimChar"/>
        </w:rPr>
        <w:t xml:space="preserve">FactoMineR</w:t>
      </w:r>
      <w:r>
        <w:t xml:space="preserve"> </w:t>
      </w:r>
      <w:r>
        <w:t xml:space="preserve">para Análise de Correspondência Múltipla,</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w:t>
      </w:r>
      <w:r>
        <w:t xml:space="preserve">para análise de redes, e</w:t>
      </w:r>
      <w:r>
        <w:t xml:space="preserve"> </w:t>
      </w:r>
      <w:r>
        <w:rPr>
          <w:rStyle w:val="VerbatimChar"/>
        </w:rPr>
        <w:t xml:space="preserve">ggplot2</w:t>
      </w:r>
      <w:r>
        <w:t xml:space="preserve"> </w:t>
      </w:r>
      <w:r>
        <w:t xml:space="preserve">para visualizações, incluindo gráficos de linha temporal com suavização LOESS</w:t>
      </w:r>
      <w:r>
        <w:t xml:space="preserve">(Cleveland, 1979)</w:t>
      </w:r>
      <w:r>
        <w:t xml:space="preserve">.</w:t>
      </w:r>
    </w:p>
    <w:bookmarkEnd w:id="42"/>
    <w:bookmarkEnd w:id="43"/>
    <w:bookmarkEnd w:id="44"/>
    <w:bookmarkStart w:id="231" w:name="resultados-e-discussão"/>
    <w:p>
      <w:pPr>
        <w:pStyle w:val="Ttulo1"/>
      </w:pPr>
      <w:r>
        <w:t xml:space="preserve">3. Resultados e Discussão</w:t>
      </w:r>
    </w:p>
    <w:bookmarkStart w:id="49" w:name="Xaf7cc208a6ae47790669c1e8ca48157694d0449"/>
    <w:p>
      <w:pPr>
        <w:pStyle w:val="Ttulo2"/>
      </w:pPr>
      <w:r>
        <w:t xml:space="preserve">3.1 Síntese Executiva da Revisão de Escopo: Corpus, Cobertura e Qualidade Metodológica</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8" w:name="fig:prisma2020"/>
    <w:p>
      <w:pPr>
        <w:pStyle w:val="CaptionedFigure"/>
      </w:pPr>
      <w:r>
        <w:drawing>
          <wp:inline>
            <wp:extent cx="4480560" cy="2473085"/>
            <wp:effectExtent b="0" l="0" r="0" t="0"/>
            <wp:docPr descr="Fluxograma da revisão de Escopo sobre Aplicações de Machine Learning em Indicações Geográficas." title="" id="46" name="Picture"/>
            <a:graphic>
              <a:graphicData uri="http://schemas.openxmlformats.org/drawingml/2006/picture">
                <pic:pic>
                  <pic:nvPicPr>
                    <pic:cNvPr descr="2-FIGURAS/prisma_flowdiagram_portugues.png" id="47" name="Picture"/>
                    <pic:cNvPicPr>
                      <a:picLocks noChangeArrowheads="1" noChangeAspect="1"/>
                    </pic:cNvPicPr>
                  </pic:nvPicPr>
                  <pic:blipFill>
                    <a:blip r:embed="rId45"/>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8"/>
    <w:p>
      <w:pPr>
        <w:pStyle w:val="Corpodetexto"/>
      </w:pPr>
      <w:r>
        <w:t xml:space="preserve">A filtragem automatizada por análise semântica e pontuação alcançou precisão temática de 94.2%, superando o limiar de 85% estabelecido. A abordagem de triagem computacional mostrou-se eficaz para revisões com grandes volumes bibliográficos, confirmando que sistemas automatizados calibrados reduzem vieses de seleção e aumentam reproducibilidade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9"/>
    <w:bookmarkStart w:id="65"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as associações entre as categorias de algoritmos de Machine Learning, produtos, técnicas analíticas, regiões geográficas e períodos de publicação. As duas primeiras dimensões da MCA explicaram 48.7% da inércia total ajustada, revelando uma estrutura conceitual bem definida no campo (Figura 3).</w:t>
      </w:r>
    </w:p>
    <w:bookmarkStart w:id="53" w:name="fig:prisma2020"/>
    <w:p>
      <w:pPr>
        <w:pStyle w:val="CaptionedFigure"/>
      </w:pPr>
      <w:r>
        <w:drawing>
          <wp:inline>
            <wp:extent cx="4480560" cy="3200400"/>
            <wp:effectExtent b="0" l="0" r="0" t="0"/>
            <wp:docPr descr="Biplot da Análise de Correspondência Múltipla (MCA) das variáveis categóricas do corpus (N=148)." title="" id="51" name="Picture"/>
            <a:graphic>
              <a:graphicData uri="http://schemas.openxmlformats.org/drawingml/2006/picture">
                <pic:pic>
                  <pic:nvPicPr>
                    <pic:cNvPr descr="2-FIGURAS/mca_biplot.png" id="52" name="Picture"/>
                    <pic:cNvPicPr>
                      <a:picLocks noChangeArrowheads="1" noChangeAspect="1"/>
                    </pic:cNvPicPr>
                  </pic:nvPicPr>
                  <pic:blipFill>
                    <a:blip r:embed="rId50"/>
                    <a:stretch>
                      <a:fillRect/>
                    </a:stretch>
                  </pic:blipFill>
                  <pic:spPr bwMode="auto">
                    <a:xfrm>
                      <a:off x="0" y="0"/>
                      <a:ext cx="4480560" cy="3200400"/>
                    </a:xfrm>
                    <a:prstGeom prst="rect">
                      <a:avLst/>
                    </a:prstGeom>
                    <a:noFill/>
                    <a:ln w="9525">
                      <a:noFill/>
                      <a:headEnd/>
                      <a:tailEnd/>
                    </a:ln>
                  </pic:spPr>
                </pic:pic>
              </a:graphicData>
            </a:graphic>
          </wp:inline>
        </w:drawing>
      </w:r>
    </w:p>
    <w:p>
      <w:pPr>
        <w:pStyle w:val="ImageCaption"/>
      </w:pPr>
      <w:r>
        <w:t xml:space="preserve">Biplot da Análise de Correspondência Múltipla (MCA) das variáveis categóricas do corpus (N=148).</w:t>
      </w:r>
    </w:p>
    <w:bookmarkEnd w:id="53"/>
    <w:p>
      <w:pPr>
        <w:pStyle w:val="Corpodetexto"/>
      </w:pPr>
      <w:r>
        <w:t xml:space="preserve">A primeira dimensão (Dim 1), responsável por 28.1% da variância, estabelece uma clara oposição entre dois polos tecnológicos e geográficos. De um lado, associam-se produtos de alto valor agregado e longa tradição em certificação na Europa, como vinhos e azeites, com técnicas analíticas consolidadas como espectroscopia (NIR, FT-IR) e algoritmos clássicos de Machine Learning (SVM, PLS-DA). Este eixo reflete a aplicação de ML para a autenticação de produtos com denominações de origem protegida (DOP) já estabelecidas, focando na verificação de conformidade e detecção de fraudes em mercados maduros</w:t>
      </w:r>
      <w:r>
        <w:t xml:space="preserve"> </w:t>
      </w:r>
      <w:r>
        <w:t xml:space="preserve">(Mohammadi et al., 2024; Rebiai et al., 2022)</w:t>
      </w:r>
      <w:r>
        <w:t xml:space="preserve">. Do outro lado da dimensão, agrupam-se produtos emergentes da Ásia, principalmente chás e plantas medicinais, associados a técnicas de alta resolução como metabolômica (LC-MS) e algoritmos de Deep Learning (CNNs). Este polo indica um foco em pesquisa e desenvolvimento para a caracterização de novos produtos candidatos a IGs, explorando marcadores bioquímicos complexos para fundamentar futuras certificações</w:t>
      </w:r>
      <w:r>
        <w:t xml:space="preserve"> </w:t>
      </w:r>
      <w:r>
        <w:t xml:space="preserve">(</w:t>
      </w:r>
      <w:r>
        <w:t xml:space="preserve">Feng et al.</w:t>
      </w:r>
      <w:r>
        <w:t xml:space="preserve">, 2025; Peng et al., 2025)</w:t>
      </w:r>
      <w:r>
        <w:t xml:space="preserve">.</w:t>
      </w:r>
    </w:p>
    <w:p>
      <w:pPr>
        <w:pStyle w:val="Corpodetexto"/>
      </w:pPr>
      <w:r>
        <w:t xml:space="preserve">A segunda dimensão (Dim 2), explicando 20.6% da variância, discrimina os estudos com base na natureza do produto. Em um extremo, posicionam-se produtos de origem animal, como carnes e mel, frequentemente analisados por meio de análise elementar (ICP-MS) para rastreabilidade de origem geológica. No extremo oposto, encontram-se produtos de origem vegetal, como frutas e grãos, onde a análise se concentra mais em perfis metabólicos e compostos orgânicos. Essa separação indica que a escolha da plataforma analítica e, consequentemente, dos algoritmos de ML, é fortemente condicionada pela matriz do produto investigado.</w:t>
      </w:r>
    </w:p>
    <w:bookmarkStart w:id="55" w:name="X693c398b8b7defefcd1c3908be8e64c6785b095"/>
    <w:p>
      <w:pPr>
        <w:pStyle w:val="Ttulo3"/>
      </w:pPr>
      <w:r>
        <w:t xml:space="preserve">Módulos Temáticos e Entidades Centrais (Análise de Redes)</w:t>
      </w:r>
    </w:p>
    <w:p>
      <w:pPr>
        <w:pStyle w:val="FirstParagraph"/>
      </w:pPr>
      <w:r>
        <w:t xml:space="preserve">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pPr>
        <w:pStyle w:val="Corpodetexto"/>
      </w:pPr>
      <w:bookmarkStart w:id="54" w:name="fig:network_analysiss"/>
      <w:r>
        <w:t xml:space="preserve">Análise de Redes de Co-ocorrência. (a) Rede completa mostrando as comunidades temáticas entre algoritmos, produtos e técnicas. (b) Rede focada na co-ocorrência entre algoritmos de ML e produtos.</w:t>
      </w:r>
      <w:bookmarkEnd w:id="54"/>
      <w:r>
        <w:t xml:space="preserve"> </w:t>
      </w:r>
      <w:r>
        <w:t xml:space="preserve">{#fig:network_analysis_B}</w:t>
      </w:r>
    </w:p>
    <w:p>
      <w:pPr>
        <w:pStyle w:val="Corpodetexto"/>
      </w:pPr>
      <w:r>
        <w:t xml:space="preserve">O primeiro módulo, representando o paradigma mais consolidado na literatura, conecta fortemente Vinhos e Azeites com algoritmos clássicos como PLS-DA e SVM, intrinsecamente ligados à Espectroscopia (NIR) para a autenticação de produtos europeus tradicionais. Em oposição, um segundo módulo, que representa 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w:t>
      </w:r>
      <w:r>
        <w:t xml:space="preserve"> </w:t>
      </w:r>
      <w:r>
        <w:t xml:space="preserve">“Vinhos”</w:t>
      </w:r>
      <w:r>
        <w:t xml:space="preserve"> </w:t>
      </w:r>
      <w:r>
        <w:t xml:space="preserve">e</w:t>
      </w:r>
      <w:r>
        <w:t xml:space="preserve"> </w:t>
      </w:r>
      <w:r>
        <w:t xml:space="preserve">“Espectroscopia”</w:t>
      </w:r>
      <w:r>
        <w:t xml:space="preserve"> </w:t>
      </w:r>
      <w:r>
        <w:t xml:space="preserve">os posiciona como pontes conceituais, enquanto a visualização focada na co-ocorrência entre algoritmos e produtos (Figura 4b) esclarece as duplas de produto-algoritmo que definem as principais linhas de investigação atuais.</w:t>
      </w:r>
    </w:p>
    <w:bookmarkEnd w:id="55"/>
    <w:bookmarkStart w:id="64" w:name="X8475e794fd14284359f037eb4f0ee0a72f177fe"/>
    <w:p>
      <w:pPr>
        <w:pStyle w:val="Ttulo3"/>
      </w:pPr>
      <w:r>
        <w:t xml:space="preserve">Evolução da Produção Científica (Análise Temporal)</w:t>
      </w:r>
    </w:p>
    <w:p>
      <w:pPr>
        <w:pStyle w:val="FirstParagraph"/>
      </w:pPr>
      <w:r>
        <w:t xml:space="preserve">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w:t>
      </w:r>
      <w:r>
        <w:t xml:space="preserve"> </w:t>
      </w:r>
      <w:r>
        <w:t xml:space="preserve">(</w:t>
      </w:r>
      <w:r>
        <w:rPr>
          <w:b/>
          <w:bCs/>
        </w:rPr>
        <w:t xml:space="preserve">Jordan2015?</w:t>
      </w:r>
      <w:r>
        <w:t xml:space="preserve">)</w:t>
      </w:r>
      <w:r>
        <w:t xml:space="preserve">.</w:t>
      </w:r>
    </w:p>
    <w:bookmarkStart w:id="59" w:name="fig:temporal_publicacoes"/>
    <w:p>
      <w:pPr>
        <w:pStyle w:val="CaptionedFigure"/>
      </w:pPr>
      <w:r>
        <w:drawing>
          <wp:inline>
            <wp:extent cx="4480560" cy="2613660"/>
            <wp:effectExtent b="0" l="0" r="0" t="0"/>
            <wp:docPr descr="Evolução temporal do número de publicações sobre ML em IGs (2010-2025) e a adoção relativa dos principais algoritmos." title="" id="57" name="Picture"/>
            <a:graphic>
              <a:graphicData uri="http://schemas.openxmlformats.org/drawingml/2006/picture">
                <pic:pic>
                  <pic:nvPicPr>
                    <pic:cNvPr descr="2-FIGURAS/temporal_publicacoes.png" id="58" name="Picture"/>
                    <pic:cNvPicPr>
                      <a:picLocks noChangeArrowheads="1" noChangeAspect="1"/>
                    </pic:cNvPicPr>
                  </pic:nvPicPr>
                  <pic:blipFill>
                    <a:blip r:embed="rId56"/>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Evolução temporal do número de publicações sobre ML em IGs (2010-2025) e a adoção relativa dos principais algoritmos.</w:t>
      </w:r>
    </w:p>
    <w:bookmarkEnd w:id="59"/>
    <w:p>
      <w:pPr>
        <w:pStyle w:val="Corpodetexto"/>
      </w:pPr>
      <w:r>
        <w:t xml:space="preserve">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w:t>
      </w:r>
      <w:r>
        <w:t xml:space="preserve"> </w:t>
      </w:r>
      <w:r>
        <w:t xml:space="preserve">(</w:t>
      </w:r>
      <w:r>
        <w:rPr>
          <w:b/>
          <w:bCs/>
        </w:rPr>
        <w:t xml:space="preserve">Granato2018?</w:t>
      </w:r>
      <w:r>
        <w:t xml:space="preserve">;</w:t>
      </w:r>
      <w:r>
        <w:t xml:space="preserve"> </w:t>
      </w:r>
      <w:r>
        <w:rPr>
          <w:b/>
          <w:bCs/>
        </w:rPr>
        <w:t xml:space="preserve">Szymanska2021?</w:t>
      </w:r>
      <w:r>
        <w:t xml:space="preserve">)</w:t>
      </w:r>
      <w:r>
        <w:t xml:space="preserve">.</w:t>
      </w:r>
    </w:p>
    <w:bookmarkStart w:id="63" w:name="fig:temporal_algoritmos"/>
    <w:p>
      <w:pPr>
        <w:pStyle w:val="CaptionedFigure"/>
      </w:pPr>
      <w:r>
        <w:drawing>
          <wp:inline>
            <wp:extent cx="4480560" cy="2560320"/>
            <wp:effectExtent b="0" l="0" r="0" t="0"/>
            <wp:docPr descr="Evolução temporal da adoção dos principais algoritmos de Machine Learning em estudos de IGs." title="" id="61" name="Picture"/>
            <a:graphic>
              <a:graphicData uri="http://schemas.openxmlformats.org/drawingml/2006/picture">
                <pic:pic>
                  <pic:nvPicPr>
                    <pic:cNvPr descr="2-FIGURAS/temporal_algoritmos.png" id="62" name="Picture"/>
                    <pic:cNvPicPr>
                      <a:picLocks noChangeArrowheads="1" noChangeAspect="1"/>
                    </pic:cNvPicPr>
                  </pic:nvPicPr>
                  <pic:blipFill>
                    <a:blip r:embed="rId60"/>
                    <a:stretch>
                      <a:fillRect/>
                    </a:stretch>
                  </pic:blipFill>
                  <pic:spPr bwMode="auto">
                    <a:xfrm>
                      <a:off x="0" y="0"/>
                      <a:ext cx="4480560" cy="2560320"/>
                    </a:xfrm>
                    <a:prstGeom prst="rect">
                      <a:avLst/>
                    </a:prstGeom>
                    <a:noFill/>
                    <a:ln w="9525">
                      <a:noFill/>
                      <a:headEnd/>
                      <a:tailEnd/>
                    </a:ln>
                  </pic:spPr>
                </pic:pic>
              </a:graphicData>
            </a:graphic>
          </wp:inline>
        </w:drawing>
      </w:r>
    </w:p>
    <w:p>
      <w:pPr>
        <w:pStyle w:val="ImageCaption"/>
      </w:pPr>
      <w:r>
        <w:t xml:space="preserve">Evolução temporal da adoção dos principais algoritmos de Machine Learning em estudos de IGs.</w:t>
      </w:r>
    </w:p>
    <w:bookmarkEnd w:id="63"/>
    <w:p>
      <w:pPr>
        <w:pStyle w:val="Corpodetexto"/>
      </w:pPr>
      <w:r>
        <w:t xml:space="preserve">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bookmarkEnd w:id="64"/>
    <w:bookmarkEnd w:id="65"/>
    <w:bookmarkStart w:id="66"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(Tabela 3). Esta distribuição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(N=148).</w:t>
      </w:r>
    </w:p>
    <w:p>
      <w:pPr>
        <w:pStyle w:val="Corpodetexto"/>
      </w:pPr>
      <w:r>
        <w:t xml:space="preserve">A análise do corpus revelou que as aplicações de Machine Learning em Indicações Geográficas concentram-se predominantemente em produtos agroalimentares, com uma notável densidade de estudos na categoria de bebidas e bebidas alcoólicas. Investigações sobre vinhos de origem protegida, como os das denominações Douro, Rioja e Bordeaux, e chás com indicação geográfica, como o Wuyi Rock Tea da China, são recorrentes. Nesses estudos, a discriminação de origem é frequentemente explorada por meio de fingerprinting metabolômico e análise de traços elementares, demonstrando que o perfil químico das bebidas está intimamente acoplado às condições geográficas de produção e reflete os fatores ambientais associados ao terroir</w:t>
      </w:r>
      <w:r>
        <w:t xml:space="preserve"> </w:t>
      </w:r>
      <w:r>
        <w:t xml:space="preserve">(Ramos et al., 2025; Xu et al., 2021)</w:t>
      </w:r>
      <w:r>
        <w:t xml:space="preserve">.</w:t>
      </w:r>
    </w:p>
    <w:p>
      <w:pPr>
        <w:pStyle w:val="Corpodetexto"/>
      </w:pPr>
      <w:r>
        <w:t xml:space="preserve">Uma categoria secundária, mas em crescimento, é a de carnes e produtos cárneos, que abrange estudos sobre cordeiro de regiões específicas, o presunto de Jinhua e carnes com Protected Geographical Indication. A aplicação de ML neste setor envolve, predominantemente, a discriminação de origem por meio da análise de traços elementares integrada a algoritmos de classificação supervisionada, como Random Forest e SVM, validando que as assinaturas isotópicas e elementares das carnes preservam informação geográfica rastreável</w:t>
      </w:r>
      <w:r>
        <w:t xml:space="preserve"> </w:t>
      </w:r>
      <w:r>
        <w:t xml:space="preserve">(R. C. Chen et al., 2020)</w:t>
      </w:r>
      <w:r>
        <w:t xml:space="preserve">. Segmentos emergentes, como frutas, vegetais e plantas medicinais, também foram identificados. Nesses casos, o ML é utilizado para identificar a origem através de fingerprinting metabólico e análise de composição nutricional, explorando a hipótese de que a assinatura bioquímica desses produtos reflete condições edafoclimáticas específicas</w:t>
      </w:r>
      <w:r>
        <w:t xml:space="preserve"> </w:t>
      </w:r>
      <w:r>
        <w:t xml:space="preserve">(Luan et al., 2020; Peng et al., 2025; Ramos et al., 2025)</w:t>
      </w:r>
      <w:r>
        <w:t xml:space="preserve">. Para plantas medicinais como o Panax notoginseng, a certificação de origem frequentemente implica a validação não apenas da autenticidade, mas também da potência farmacológica, reforçando o vínculo entre a localização geográfica e as propriedades bioativas</w:t>
      </w:r>
      <w:r>
        <w:t xml:space="preserve"> </w:t>
      </w:r>
      <w:r>
        <w:t xml:space="preserve">(</w:t>
      </w:r>
      <w:r>
        <w:t xml:space="preserve">Feng et al.</w:t>
      </w:r>
      <w:r>
        <w:t xml:space="preserve">, 2025)</w:t>
      </w:r>
      <w:r>
        <w:t xml:space="preserve">.</w:t>
      </w:r>
    </w:p>
    <w:p>
      <w:pPr>
        <w:pStyle w:val="Corpodetexto"/>
      </w:pPr>
      <w:r>
        <w:t xml:space="preserve">A distribuição geográfica dos estudos mostra uma predominância de publicações originárias de instituições de pesquisa da Ásia, particularmente da China, seguidas pela Europa. Em menor proporção, aparecem estudos do Brasil e de outras economias emergentes. Essa assimetria reflete tanto os investimentos recentes da China em tecnologias de rastreabilidade de produtos</w:t>
      </w:r>
      <w:r>
        <w:t xml:space="preserve"> </w:t>
      </w:r>
      <w:r>
        <w:t xml:space="preserve">(Wang et al., 2025)</w:t>
      </w:r>
      <w:r>
        <w:t xml:space="preserve"> </w:t>
      </w:r>
      <w:r>
        <w:t xml:space="preserve">quanto a consolidação de uma cadeia de pesquisa e desenvolvimento em biotecnologia e análise instrumental em contextos chineses. Para o Brasil, esse padrão sublinha uma lacuna e, ao mesmo tempo, uma oportunidade para pesquisas orientadas à proteção e valorização das Indicações Geográficas brasileiras por meio de tecnologias computacionais.</w:t>
      </w:r>
    </w:p>
    <w:bookmarkEnd w:id="66"/>
    <w:bookmarkStart w:id="67" w:name="técnicas-de-machine-learning-empregadas"/>
    <w:p>
      <w:pPr>
        <w:pStyle w:val="Ttulo2"/>
      </w:pPr>
      <w:r>
        <w:t xml:space="preserve">3.4 Técnicas de Machine Learning Empregadas</w:t>
      </w:r>
    </w:p>
    <w:bookmarkEnd w:id="67"/>
    <w:bookmarkStart w:id="68" w:name="X4964c4b002a6bcd9bc0fc69dad95c4397d6031b"/>
    <w:p>
      <w:pPr>
        <w:pStyle w:val="Ttulo2"/>
      </w:pPr>
      <w:r>
        <w:t xml:space="preserve">3.5 O Ecossistema Algorítmico na Autenticação de IGs</w:t>
      </w:r>
    </w:p>
    <w:p>
      <w:pPr>
        <w:pStyle w:val="FirstParagraph"/>
      </w:pPr>
      <w:r>
        <w:t xml:space="preserve">A análise do corpus bibliográfico revela uma diversidade nas abordagens algorítmicas empregadas, refletindo a natureza multidimensional do problema de autenticação de origem. Longe de indicar fragmentação, essa variedade demonstra que diferentes produtos, conjuntos de dados e contextos regulatórios demandam otimizações computacionais específicas. O ecossistema metodológico observado é dominado por algoritmos de classificação supervisionada, com</w:t>
      </w:r>
      <w:r>
        <w:t xml:space="preserve"> </w:t>
      </w:r>
      <w:r>
        <w:rPr>
          <w:b/>
          <w:bCs/>
        </w:rPr>
        <w:t xml:space="preserve">Random Forest</w:t>
      </w:r>
      <w:r>
        <w:t xml:space="preserve"> </w:t>
      </w:r>
      <w:r>
        <w:t xml:space="preserve">e</w:t>
      </w:r>
      <w:r>
        <w:t xml:space="preserve"> </w:t>
      </w:r>
      <w:r>
        <w:rPr>
          <w:b/>
          <w:bCs/>
        </w:rPr>
        <w:t xml:space="preserve">Support Vector Machines (SVM)</w:t>
      </w:r>
      <w:r>
        <w:t xml:space="preserve"> </w:t>
      </w:r>
      <w:r>
        <w:t xml:space="preserve">constituindo o núcleo das técnicas em aproximadamente 68% dos estudos.</w:t>
      </w:r>
      <w:r>
        <w:t xml:space="preserve"> </w:t>
      </w:r>
      <w:r>
        <w:t xml:space="preserve">Xu et al. (2021)</w:t>
      </w:r>
      <w:r>
        <w:t xml:space="preserve"> </w:t>
      </w:r>
      <w:r>
        <w:t xml:space="preserve">empregaram Random Forest para discriminação de origem de vinhos com base em perfis elementares, alcançando acurácia superior a 95%, enquanto</w:t>
      </w:r>
      <w:r>
        <w:t xml:space="preserve"> </w:t>
      </w:r>
      <w:r>
        <w:t xml:space="preserve">Mohammadi et al. (2024)</w:t>
      </w:r>
      <w:r>
        <w:t xml:space="preserve"> </w:t>
      </w:r>
      <w:r>
        <w:t xml:space="preserve">integraram SVM com kernel RBF para autenticação de azeites utilizando espectroscopia NIR, demonstrando robustez em cenários de alta dimensionalidade. A proeminência do Random Forest se justifica por sua capacidade de modelar interações não-lineares complexas em dados multivariados e sua robustez em cenários com classes desbalanceadas, comuns na certificação de IGs. Adicionalmente, sua habilidade de gerar métricas de importância de variáveis (VIM) oferece interpretabilidade, permitindo a identificação de assinaturas analíticas que fundamentam as alegações de origem, como demonstrado por</w:t>
      </w:r>
      <w:r>
        <w:t xml:space="preserve"> </w:t>
      </w:r>
      <w:r>
        <w:t xml:space="preserve">Y. Li et al. (2025)</w:t>
      </w:r>
      <w:r>
        <w:t xml:space="preserve"> </w:t>
      </w:r>
      <w:r>
        <w:t xml:space="preserve">na identificação de marcadores territoriais em chás chineses. O SVM, por sua vez, é frequentemente empregado pela sua eficácia em espaços de características de alta dimensionalidade com poucas amostras (</w:t>
      </w:r>
      <m:oMath>
        <m:r>
          <m:t>p</m:t>
        </m:r>
        <m:r>
          <m:rPr>
            <m:sty m:val="p"/>
          </m:rPr>
          <m:t>≫</m:t>
        </m:r>
        <m:r>
          <m:t>n</m:t>
        </m:r>
      </m:oMath>
      <w:r>
        <w:t xml:space="preserve">), uma condição típica em análises de</w:t>
      </w:r>
      <w:r>
        <w:t xml:space="preserve"> </w:t>
      </w:r>
      <w:r>
        <w:rPr>
          <w:i/>
          <w:iCs/>
        </w:rPr>
        <w:t xml:space="preserve">fingerprinting</w:t>
      </w:r>
      <w:r>
        <w:t xml:space="preserve"> </w:t>
      </w:r>
      <w:r>
        <w:t xml:space="preserve">espectrométrico. A escolha do kernel (e.g., linear ou RBF) permite ao SVM adaptar-se a diferentes graus de não-linearidade nos dados, embora a decisão entre RF e SVM frequentemente envolva uma troca entre a interpretabilidade do primeiro e a capacidade de generalização do segundo em dados ultra-dimensionais</w:t>
      </w:r>
      <w:r>
        <w:t xml:space="preserve"> </w:t>
      </w:r>
      <w:r>
        <w:t xml:space="preserve">(Mohammadi et al., 2024;</w:t>
      </w:r>
      <w:r>
        <w:t xml:space="preserve"> </w:t>
      </w:r>
      <w:r>
        <w:t xml:space="preserve">Salam et al.</w:t>
      </w:r>
      <w:r>
        <w:t xml:space="preserve">, 2021)</w:t>
      </w:r>
      <w:r>
        <w:t xml:space="preserve">.</w:t>
      </w:r>
    </w:p>
    <w:p>
      <w:pPr>
        <w:pStyle w:val="Corpodetexto"/>
      </w:pPr>
      <w:r>
        <w:t xml:space="preserve">Em paralelo a esses classificadores, técnicas especializadas são aplicadas a domínios de dados específicos. Modelos de Deep Learning, como Redes Neurais Convolucionais (CNNs), são predominantes em aplicações que envolvem dados de imagem (23% dos estudos), onde sua capacidade de aprender representações hierárquicas de características visuais elimina a necessidade de engenharia manual de</w:t>
      </w:r>
      <w:r>
        <w:t xml:space="preserve"> </w:t>
      </w:r>
      <w:r>
        <w:rPr>
          <w:i/>
          <w:iCs/>
        </w:rPr>
        <w:t xml:space="preserve">features</w:t>
      </w:r>
      <w:r>
        <w:t xml:space="preserve">.</w:t>
      </w:r>
      <w:r>
        <w:t xml:space="preserve"> </w:t>
      </w:r>
      <w:r>
        <w:t xml:space="preserve">Peng et al. (2025)</w:t>
      </w:r>
      <w:r>
        <w:t xml:space="preserve"> </w:t>
      </w:r>
      <w:r>
        <w:t xml:space="preserve">utilizaram CNNs para classificação de origem de chás baseada em imagens hiperespectrais, alcançando discriminação precisa entre diferentes regiões produtoras, enquanto</w:t>
      </w:r>
      <w:r>
        <w:t xml:space="preserve"> </w:t>
      </w:r>
      <w:r>
        <w:t xml:space="preserve">Feng et al.</w:t>
      </w:r>
      <w:r>
        <w:t xml:space="preserve"> </w:t>
      </w:r>
      <w:r>
        <w:t xml:space="preserve">(2025)</w:t>
      </w:r>
      <w:r>
        <w:t xml:space="preserve"> </w:t>
      </w:r>
      <w:r>
        <w:t xml:space="preserve">aplicaram arquiteturas de redes neurais profundas para autenticação visual de plantas medicinais. Para dados quimiométricos, a Análise Discriminante por Mínimos Quadrados Parciais (PLS-DA) é a técnica de escolha em 47% dos trabalhos, dada sua robustez para tratar a multicolinearidade extrema e o cenário</w:t>
      </w:r>
      <w:r>
        <w:t xml:space="preserve"> </w:t>
      </w:r>
      <m:oMath>
        <m:r>
          <m:t>n</m:t>
        </m:r>
        <m:r>
          <m:rPr>
            <m:sty m:val="p"/>
          </m:rPr>
          <m:t>&lt;</m:t>
        </m:r>
        <m:r>
          <m:t>p</m:t>
        </m:r>
      </m:oMath>
      <w:r>
        <w:t xml:space="preserve"> </w:t>
      </w:r>
      <w:r>
        <w:t xml:space="preserve">característicos de dados espectrais.</w:t>
      </w:r>
      <w:r>
        <w:t xml:space="preserve"> </w:t>
      </w:r>
      <w:r>
        <w:t xml:space="preserve">Rebiai et al. (2022)</w:t>
      </w:r>
      <w:r>
        <w:t xml:space="preserve"> </w:t>
      </w:r>
      <w:r>
        <w:t xml:space="preserve">demonstraram a eficácia de PLS-DA integrada a espectroscopia NIR para discriminação de azeites de diferentes denominações de origem, estabelecendo um padrão metodológico consolidado em quimiometria. Diferentemente da Análise de Componentes Principais (PCA), a PLS-DA otimiza a separação entre classes, tornando-se um padrão consolidado em quimiometria para a discriminação de origem.</w:t>
      </w:r>
    </w:p>
    <w:p>
      <w:pPr>
        <w:pStyle w:val="Corpodetexto"/>
      </w:pPr>
      <w:r>
        <w:t xml:space="preserve">O manejo da alta dimensionalidade é um desafio central, abordado por meio de técnicas de pré-processamento e seleção de características. A PCA, aplicada em 58% dos estudos, é usada principalmente para redução de dimensionalidade, diminuição de ruído e visualização de dados antes da aplicação de classificadores supervisionados.</w:t>
      </w:r>
      <w:r>
        <w:t xml:space="preserve"> </w:t>
      </w:r>
      <w:r>
        <w:t xml:space="preserve">Ramos et al. (2025)</w:t>
      </w:r>
      <w:r>
        <w:t xml:space="preserve"> </w:t>
      </w:r>
      <w:r>
        <w:t xml:space="preserve">empregaram PCA como etapa de pré-processamento antes de aplicar Random Forest em dados metabolômicos de vinhos, reduzindo milhares de variáveis a componentes principais interpretáveis. Complementarmente, métodos de seleção de features como RF-RFE e o algoritmo Boruta (presentes em 34% dos estudos) são empregados para identificar subconjuntos de variáveis informativas.</w:t>
      </w:r>
      <w:r>
        <w:t xml:space="preserve"> </w:t>
      </w:r>
      <w:r>
        <w:t xml:space="preserve">Salam et al.</w:t>
      </w:r>
      <w:r>
        <w:t xml:space="preserve"> </w:t>
      </w:r>
      <w:r>
        <w:t xml:space="preserve">(2021)</w:t>
      </w:r>
      <w:r>
        <w:t xml:space="preserve"> </w:t>
      </w:r>
      <w:r>
        <w:t xml:space="preserve">aplicaram o algoritmo Boruta para selecionar marcadores elementares discriminativos em carnes, reduzindo o espaço de características de 80 elementos para 15 marcadores territoriais críticos. Essa etapa é crucial não apenas para melhorar a generalização e reduzir o custo computacional, mas também para aumentar a interpretabilidade dos modelos, viabilizando a identificação de marcadores territoriais cientificamente válidos que conectam a assinatura do produto a fatores geográficos específicos.</w:t>
      </w:r>
    </w:p>
    <w:bookmarkEnd w:id="68"/>
    <w:bookmarkStart w:id="69" w:name="Xc5115bf368127d4bed898910de5c6bb2c9a4868"/>
    <w:p>
      <w:pPr>
        <w:pStyle w:val="Ttulo2"/>
      </w:pPr>
      <w:r>
        <w:t xml:space="preserve">3.6 Integração entre Técnicas Analíticas Instrumentais e Machine Learning</w:t>
      </w:r>
    </w:p>
    <w:p>
      <w:pPr>
        <w:pStyle w:val="FirstParagraph"/>
      </w:pPr>
      <w:r>
        <w:t xml:space="preserve">A convergência entre instrumentação analítica e algoritmos de aprendizado estabelece o que</w:t>
      </w:r>
      <w:r>
        <w:t xml:space="preserve"> </w:t>
      </w:r>
      <w:r>
        <w:t xml:space="preserve">Xu et al. (2021)</w:t>
      </w:r>
      <w:r>
        <w:t xml:space="preserve"> </w:t>
      </w:r>
      <w:r>
        <w:t xml:space="preserve">e</w:t>
      </w:r>
      <w:r>
        <w:t xml:space="preserve"> </w:t>
      </w:r>
      <w:r>
        <w:t xml:space="preserve">Ratnasekhar et al. (2025)</w:t>
      </w:r>
      <w:r>
        <w:t xml:space="preserve"> </w:t>
      </w:r>
      <w:r>
        <w:t xml:space="preserve">designam como</w:t>
      </w:r>
      <w:r>
        <w:t xml:space="preserve"> </w:t>
      </w:r>
      <w:r>
        <w:t xml:space="preserve">“análise multisensorial computacional”</w:t>
      </w:r>
      <w:r>
        <w:t xml:space="preserve">, um paradigma que integra aquisição de dados instrumentais multidimensionais, pré-processamento quimiométrico e classificação algorítmica para autenticação de origem. Esta arquitetura metodológica fundamenta-se na premissa de que a assinatura geográfica dos produtos se manifesta em múltiplas dimensões analíticas simultâneas—perfis elementares, metabolômicos e espectrais—que, quando processados por algoritmos apropriados, revelam padrões discriminativos robustos.</w:t>
      </w:r>
    </w:p>
    <w:p>
      <w:pPr>
        <w:pStyle w:val="Corpodetexto"/>
      </w:pPr>
      <w:r>
        <w:t xml:space="preserve">A espectrometria de massas domina o corpus analítico, estando presente em 54% dos estudos através de suas variantes Gas Chromatography-Mass Spectrometry (GC-MS), Inductively Coupled Plasma Mass Spectrometry (ICP-MS) e Orbitrap de alta resolução.</w:t>
      </w:r>
      <w:r>
        <w:t xml:space="preserve"> </w:t>
      </w:r>
      <w:r>
        <w:t xml:space="preserve">Xu et al. (2021)</w:t>
      </w:r>
      <w:r>
        <w:t xml:space="preserve"> </w:t>
      </w:r>
      <w:r>
        <w:t xml:space="preserve">demonstraram que GC-MS, operando por separação cromatográfica seguida de fragmentação eletrônica e detecção por relação massa/carga, gera</w:t>
      </w:r>
      <w:r>
        <w:t xml:space="preserve"> </w:t>
      </w:r>
      <w:r>
        <w:rPr>
          <w:i/>
          <w:iCs/>
        </w:rPr>
        <w:t xml:space="preserve">fingerprints</w:t>
      </w:r>
      <w:r>
        <w:t xml:space="preserve"> </w:t>
      </w:r>
      <w:r>
        <w:t xml:space="preserve">bidimensionais que capturam centenas de compostos voláteis cuja distribuição reflete condições edafoclimáticas e práticas de processamento específicas de cada terroir.</w:t>
      </w:r>
    </w:p>
    <w:p>
      <w:pPr>
        <w:pStyle w:val="Corpodetexto"/>
      </w:pPr>
      <w:r>
        <w:t xml:space="preserve">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r>
        <w:t xml:space="preserve"> </w:t>
      </w:r>
      <w:r>
        <w:t xml:space="preserve">(Y. Li et al., 2025)</w:t>
      </w:r>
      <w:r>
        <w:t xml:space="preserve">.</w:t>
      </w:r>
    </w:p>
    <w:p>
      <w:pPr>
        <w:pStyle w:val="Corpodetexto"/>
      </w:pPr>
      <w:r>
        <w:t xml:space="preserve">R. C. Chen et al. (2020)</w:t>
      </w:r>
      <w:r>
        <w:t xml:space="preserve"> </w:t>
      </w:r>
      <w:r>
        <w:t xml:space="preserve">demonstraram que ICP-MS (Inductively Coupled Plasma Mass Spectrometry), operando por ionização com plasma de argônio e separação de íons por relação massa/carga, permite análise multielementar de praticamente todos os elementos da tabela periódica. Os autores identificaram que concentrações de traços elementares—terras raras, metais de transição como cobre, cádmio e chumbo—são sensíveis à geologia local, refletindo a mineralogia do solo que determina qual composição elemental é absorvida pela planta. Em seu estudo sobre autenticação de carnes,</w:t>
      </w:r>
      <w:r>
        <w:t xml:space="preserve"> </w:t>
      </w:r>
      <w:r>
        <w:t xml:space="preserve">Ratnasekhar et al. (2025)</w:t>
      </w:r>
      <w:r>
        <w:t xml:space="preserve"> </w:t>
      </w:r>
      <w:r>
        <w:t xml:space="preserve">exploraram razões entre elementos como lantânio vs. cério e estrôncio vs. bário, que variam entre regiões devido às diferenças geológicas. ICP-MS fornece tipicamente dados de 40-80 elementos simultâneos, gerando um espaço de características com dimensionalidade moderada particularmente adequado para classificadores como SVM e Random Forest. Esta dimensionalidade facilita não apenas a visualização de estruturas de dados, mas também a seleção de características discriminativas que refletem diferenças geológicas genuínas ao invés de artefatos instrumentais.</w:t>
      </w:r>
      <w:r>
        <w:t xml:space="preserve"> </w:t>
      </w:r>
      <w:r>
        <w:t xml:space="preserve">Xu et al. (2021)</w:t>
      </w:r>
      <w:r>
        <w:t xml:space="preserve"> </w:t>
      </w:r>
      <w:r>
        <w:t xml:space="preserve">e</w:t>
      </w:r>
      <w:r>
        <w:t xml:space="preserve"> </w:t>
      </w:r>
      <w:r>
        <w:t xml:space="preserve">Y. Li et al. (2025)</w:t>
      </w:r>
      <w:r>
        <w:t xml:space="preserve"> </w:t>
      </w:r>
      <w:r>
        <w:t xml:space="preserve">demonstraram essa complementaridade metodológica: ICP-MS fornece assinaturas multivariadas de traços elementares, enquanto Random Forest identifica padrões de distribuição elementar que viabilizam discriminação robusta de origem geográfica.</w:t>
      </w:r>
    </w:p>
    <w:p>
      <w:pPr>
        <w:pStyle w:val="Corpodetexto"/>
      </w:pPr>
      <w:r>
        <w:t xml:space="preserve">Z. Zhang (2024)</w:t>
      </w:r>
      <w:r>
        <w:t xml:space="preserve"> </w:t>
      </w:r>
      <w:r>
        <w:t xml:space="preserve">introduziram a espectrometria de Orbitrap de alta resolução (Orbitrap-HRAMS) na autenticação de cafés, combinando ionização por electrospray com analisador orbitrap que alcança resolução em massa de 140.000-240.000, contrastando com aproximadamente 1.000 em analisadores quadrupolares convencionais. Esta resolução extraordinária permite resolver fragmentos com diferenças decimais em massa, viabilizando a identificação inequívoca de compostos em matrizes complexas onde múltiplos sinais se sobrepõem.</w:t>
      </w:r>
      <w:r>
        <w:t xml:space="preserve"> </w:t>
      </w:r>
      <w:r>
        <w:t xml:space="preserve">Luan et al. (2020)</w:t>
      </w:r>
      <w:r>
        <w:t xml:space="preserve"> </w:t>
      </w:r>
      <w:r>
        <w:t xml:space="preserve">empregaram Orbitrap-HRAMS em metabolômica untargeted de vinhos, demonstrando sua essencialidade na separação de metabolitos endógenos frequentemente isóbaros—compostos com mesma massa nominal mas diferentes composições elementares—que requerem resolução ultra-alta para discriminação analítica adequada.</w:t>
      </w:r>
    </w:p>
    <w:p>
      <w:pPr>
        <w:pStyle w:val="Corpodetexto"/>
      </w:pPr>
      <w:r>
        <w:t xml:space="preserve">Espectroscopia em suas múltiplas variantes—Near-Infrared Spectroscopy (NIR), Visible-NIR (Vis-NIR), Fourier Transform NIR (FT-NIR), Nuclear Magnetic Resonance (NMR) e Raman Spectroscopy—domina 61% dos estudos analisados.</w:t>
      </w:r>
      <w:r>
        <w:t xml:space="preserve"> </w:t>
      </w:r>
      <w:r>
        <w:t xml:space="preserve">Mohammadi et al. (2024)</w:t>
      </w:r>
      <w:r>
        <w:t xml:space="preserve"> </w:t>
      </w:r>
      <w:r>
        <w:t xml:space="preserve">e</w:t>
      </w:r>
      <w:r>
        <w:t xml:space="preserve"> </w:t>
      </w:r>
      <w:r>
        <w:t xml:space="preserve">(</w:t>
      </w:r>
      <w:r>
        <w:rPr>
          <w:b/>
          <w:bCs/>
        </w:rPr>
        <w:t xml:space="preserve">Liu2024?</w:t>
      </w:r>
      <w:r>
        <w:t xml:space="preserve">)</w:t>
      </w:r>
      <w:r>
        <w:t xml:space="preserve"> </w:t>
      </w:r>
      <w:r>
        <w:t xml:space="preserve">destacam a adequabilidade dessas técnicas para análise não-destrutiva, rápida e relativamente econômica em matrizes alimentares complexas. Espectrometrias de absorção (NIR, Vis-NIR) fundamentam-se na Lei de Beer-Lambert, que descreve a atenuação da intensidade luminosa transmitida através da amostra:</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representa intensidade incidente,</w:t>
      </w:r>
      <w:r>
        <w:t xml:space="preserve"> </w:t>
      </w:r>
      <m:oMath>
        <m:r>
          <m:t>ε</m:t>
        </m:r>
      </m:oMath>
      <w:r>
        <w:t xml:space="preserve"> </w:t>
      </w:r>
      <w:r>
        <w:t xml:space="preserve">o coeficiente de extinção molar,</w:t>
      </w:r>
      <w:r>
        <w:t xml:space="preserve"> </w:t>
      </w:r>
      <m:oMath>
        <m:r>
          <m:t>c</m:t>
        </m:r>
      </m:oMath>
      <w:r>
        <w:t xml:space="preserve"> </w:t>
      </w:r>
      <w:r>
        <w:t xml:space="preserve">a concentração do absorvedor e</w:t>
      </w:r>
      <w:r>
        <w:t xml:space="preserve"> </w:t>
      </w:r>
      <m:oMath>
        <m:r>
          <m:t>l</m:t>
        </m:r>
      </m:oMath>
      <w:r>
        <w:t xml:space="preserve"> </w:t>
      </w:r>
      <w:r>
        <w:t xml:space="preserve">o comprimento de caminho óptico.</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na região do infravermelho próximo (780-2500 nm), a absorção é dominada por harmônicos e combinações de vibrações moleculares dos grupos C-H, O-H e N-H, fornecendo sensibilidade indireta à composição química (teor de água, gordura, proteína). A integração desta sensibilidade espectral com algoritmos de ML permite construir modelos preditivos sem necessidade de calibração prévia para cada analito específico.</w:t>
      </w:r>
    </w:p>
    <w:p>
      <w:pPr>
        <w:pStyle w:val="Corpodetexto"/>
      </w:pPr>
      <w:r>
        <w:t xml:space="preserve">Y. Li et al. (2025)</w:t>
      </w:r>
      <w:r>
        <w:t xml:space="preserve"> </w:t>
      </w:r>
      <w:r>
        <w:t xml:space="preserve">e</w:t>
      </w:r>
      <w:r>
        <w:t xml:space="preserve"> </w:t>
      </w:r>
      <w:r>
        <w:t xml:space="preserve">Effrosynidis &amp; Arampatzis (2021)</w:t>
      </w:r>
      <w:r>
        <w:t xml:space="preserve"> </w:t>
      </w:r>
      <w:r>
        <w:t xml:space="preserve">argumentam que NIR demonstra particular adequação em aplicações de rastreabilidade in-situ ou em pontos de venda, possibilitando portabilidade (espectrômetros NIR de campo disponíveis em dimensões reduzidas), análise não-destrutiva (preservação da integridade amostral) e rapidez analítica (medições em segundos). Embora a especificidade de NIR seja reduzida comparada a técnicas que mensuram absorção direta de ligações covalentes—como espectrometria infravermelha média—esta limitação é efetivamente mitigada por algoritmos de machine learning.</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Random Forest e SVM capturam assinaturas espectrais de absorção indireta que discriminam origem mesmo sob sensibilidade analítica reduzida, transformando a aparente desvantagem instrumental em oportunidade metodológica através do reconhecimento de padrões multivariados.</w:t>
      </w:r>
    </w:p>
    <w:p>
      <w:pPr>
        <w:pStyle w:val="Corpodetexto"/>
      </w:pPr>
      <w:r>
        <w:t xml:space="preserve">A variante FT-NIR (Fourier Transform NIR) emprega interferometria, coletando simultaneamente informação de interferência entre múltiplos comprimentos de onda e subsequentemente aplicando transformada de Fourier para obtenção do espectro de frequência.</w:t>
      </w:r>
      <w:r>
        <w:t xml:space="preserve"> </w:t>
      </w:r>
      <w:r>
        <w:t xml:space="preserve">Meena et al. (2024)</w:t>
      </w:r>
      <w:r>
        <w:t xml:space="preserve"> </w:t>
      </w:r>
      <w:r>
        <w:t xml:space="preserve">documentaram que FT-NIR, comparada a NIR dispersivo convencional, oferece resolução espectral superior (~2 nm versus ~20 nm) e melhor razão sinal-ruído, facilitando detecção de absorções fracas e resolução de bandas espectrais sobrepostas. Em contextos de certificação que demandam discriminação de assinaturas espectrais sutis, FT-NIR demonstra-se instrumental pela sua capacidade de revelar diferenças espectrais que permaneceriam indistinguíveis em sistemas dispersivos convencionais.</w:t>
      </w:r>
    </w:p>
    <w:p>
      <w:pPr>
        <w:pStyle w:val="Corpodetexto"/>
      </w:pPr>
      <w:r>
        <w:t xml:space="preserve">Luan et al. (2020)</w:t>
      </w:r>
      <w:r>
        <w:t xml:space="preserve"> </w:t>
      </w:r>
      <w:r>
        <w:t xml:space="preserve">demonstraram que NMR (Nuclear Magnetic Resonance) opera através de princípios físicos fundamentalmente distintos: núcleos magnéticos (¹H, ¹³C, ¹⁵N) absorvem radiofrequência quando polarizados em campo magnético externo, permitindo observação do ambiente químico local e conectividade molecular. NMR fornece informação bidimensional extraordinariamente rica—deslocamento químico, acoplamento spin-spin, relaxação—viabilizando identificação de estruturas moleculares específicas e quantificação absoluta simultânea de múltiplos compostos.</w:t>
      </w:r>
      <w:r>
        <w:t xml:space="preserve"> </w:t>
      </w:r>
      <w:r>
        <w:t xml:space="preserve">Effrosynidis &amp; Arampatzis (2021)</w:t>
      </w:r>
      <w:r>
        <w:t xml:space="preserve"> </w:t>
      </w:r>
      <w:r>
        <w:t xml:space="preserve">e</w:t>
      </w:r>
      <w:r>
        <w:t xml:space="preserve"> </w:t>
      </w:r>
      <w:r>
        <w:t xml:space="preserve">Ramos et al. (2025)</w:t>
      </w:r>
      <w:r>
        <w:t xml:space="preserve"> </w:t>
      </w:r>
      <w:r>
        <w:t xml:space="preserve">aplicaram NMR especificamente para análise de assinaturas isotópicas (razões ¹²C/¹³C em sacarídeos, refletindo vegetação C3 versus C4 regional) e caracterização de compostos com padrão geográfico definido, como razões de enantiômeros em compostos quirais. Embora NMR apresente custo instrumental elevado e tempo de medição substancialmente maior (minutos a horas versus segundos para NIR), a riqueza informacional justifica sua presença em estudos que requerem resolução molecular ultra-alta e caracterização estrutural inequívoca.</w:t>
      </w:r>
    </w:p>
    <w:p>
      <w:pPr>
        <w:pStyle w:val="Corpodetexto"/>
      </w:pPr>
      <w:r>
        <w:t xml:space="preserve">Raman Spectroscopy, por sua vez, mensura espalhamento inelástico de luz onde fótons interagem com vibrações moleculares e transferem energia, resultando em fótons espalhados com frequência modificada.</w:t>
      </w:r>
      <w:r>
        <w:t xml:space="preserve"> </w:t>
      </w:r>
      <w:r>
        <w:t xml:space="preserve">R. C. Chen et al. (2020)</w:t>
      </w:r>
      <w:r>
        <w:t xml:space="preserve"> </w:t>
      </w:r>
      <w:r>
        <w:t xml:space="preserve">e</w:t>
      </w:r>
      <w:r>
        <w:t xml:space="preserve"> </w:t>
      </w:r>
      <w:r>
        <w:t xml:space="preserve">(</w:t>
      </w:r>
      <w:r>
        <w:rPr>
          <w:b/>
          <w:bCs/>
        </w:rPr>
        <w:t xml:space="preserve">Liu2024?</w:t>
      </w:r>
      <w:r>
        <w:t xml:space="preserve">)</w:t>
      </w:r>
      <w:r>
        <w:t xml:space="preserve"> </w:t>
      </w:r>
      <w:r>
        <w:t xml:space="preserve">demonstraram que a mudança em frequência Raman reflete energias de vibrações moleculares, fornecendo espectro vibracional particularmente informativo para moléculas com dipolos elétricos baixos, como estruturas moleculares simétricas. Os autores identificaram que Raman manifesta especial valor na detecção de compostos aromáticos, óleos essenciais e pigmentos—moléculas frequentemente caracterizadas por seções transversais de Raman elevadas. Em autenticação de bebidas,</w:t>
      </w:r>
      <w:r>
        <w:t xml:space="preserve"> </w:t>
      </w:r>
      <w:r>
        <w:t xml:space="preserve">Luan et al. (2020)</w:t>
      </w:r>
      <w:r>
        <w:t xml:space="preserve"> </w:t>
      </w:r>
      <w:r>
        <w:t xml:space="preserve">aplicaram Raman na detecção de pigmentos de antocianina em vinhos, enquanto</w:t>
      </w:r>
      <w:r>
        <w:t xml:space="preserve"> </w:t>
      </w:r>
      <w:r>
        <w:t xml:space="preserve">Y. Li et al. (2025)</w:t>
      </w:r>
      <w:r>
        <w:t xml:space="preserve"> </w:t>
      </w:r>
      <w:r>
        <w:t xml:space="preserve">empregaram a técnica na caracterização de carotenoides em azeite e melanina em café, demonstrando sua aplicabilidade em matrizes alimentares complexas onde compostos fenólicos e aromáticos desempenham papel discriminatório fundamental.</w:t>
      </w:r>
    </w:p>
    <w:p>
      <w:pPr>
        <w:pStyle w:val="Corpodetexto"/>
      </w:pPr>
      <w:r>
        <w:t xml:space="preserve">Meena et al. (2024)</w:t>
      </w:r>
      <w:r>
        <w:t xml:space="preserve"> </w:t>
      </w:r>
      <w:r>
        <w:t xml:space="preserve">argumentam que a integração entre espectroscopia e PLS-DA (</w:t>
      </w:r>
      <w:r>
        <w:rPr>
          <w:i/>
          <w:iCs/>
        </w:rPr>
        <w:t xml:space="preserve">Partial Least Squares Discriminant Analysis</w:t>
      </w:r>
      <w:r>
        <w:t xml:space="preserve">), presente em 31% dos estudos com dados espectroscópicos, constitui padrão metodológico consolidado em quimiometria. Esta combinação reflete robustez teórica fundamental para processamento de dados multivariados com multicolinearidade extrema: comprimentos de onda adjacentes em espectros manifestam correlação elevada, regime no qual PLS-DA supera métodos de classificação linear simples como LDA clássica pela sua capacidade de extrair direções latentes que maximizam covariância com classes discriminadas.</w:t>
      </w:r>
      <w:r>
        <w:t xml:space="preserve"> </w:t>
      </w:r>
      <w:r>
        <w:t xml:space="preserve">Mohammadi et al. (2024)</w:t>
      </w:r>
      <w:r>
        <w:t xml:space="preserve"> </w:t>
      </w:r>
      <w:r>
        <w:t xml:space="preserve">e</w:t>
      </w:r>
      <w:r>
        <w:t xml:space="preserve"> </w:t>
      </w:r>
      <w:r>
        <w:t xml:space="preserve">Xu et al. (2021)</w:t>
      </w:r>
      <w:r>
        <w:t xml:space="preserve"> </w:t>
      </w:r>
      <w:r>
        <w:t xml:space="preserve">demonstraram que essa arquitetura metodológica, acoplamento instrumental espectroscópico seguido de redução dimensional quimiométrica e classificação supervisionada—permite transformar dados hiperespectrais originalmente intratáveis em representações de baixa dimensionalidade onde estruturas de classe emergem de forma computacionalmente acessível e estatisticamente robusta.</w:t>
      </w:r>
    </w:p>
    <w:p>
      <w:pPr>
        <w:pStyle w:val="Corpodetexto"/>
      </w:pPr>
      <w:r>
        <w:t xml:space="preserve">A metabolômica untargeted, presente em 38% dos estudos analisados, representa abordagem de elevada dimensionalidade caracterizada pela aquisição de sinais espectrométricos sem especificação prévia dos compostos alvo.</w:t>
      </w:r>
      <w:r>
        <w:t xml:space="preserve"> </w:t>
      </w:r>
      <w:r>
        <w:t xml:space="preserve">Luan et al. (2020)</w:t>
      </w:r>
      <w:r>
        <w:t xml:space="preserve"> </w:t>
      </w:r>
      <w:r>
        <w:t xml:space="preserve">e</w:t>
      </w:r>
      <w:r>
        <w:t xml:space="preserve"> </w:t>
      </w:r>
      <w:r>
        <w:t xml:space="preserve">Z. Zhang (2024)</w:t>
      </w:r>
      <w:r>
        <w:t xml:space="preserve"> </w:t>
      </w:r>
      <w:r>
        <w:t xml:space="preserve">distinguem esta estratégia da metabolômica targeted, onde compostos específicos são selecionados para quantificação via sondas isotópicas ou método MRM (Multiple Reaction Monitoring), argumentando que a metabolômica untargeted captura o</w:t>
      </w:r>
      <w:r>
        <w:t xml:space="preserve"> </w:t>
      </w:r>
      <w:r>
        <w:t xml:space="preserve">“metaboloma”</w:t>
      </w:r>
      <w:r>
        <w:t xml:space="preserve"> </w:t>
      </w:r>
      <w:r>
        <w:t xml:space="preserve">completo da amostra, englobando toda diversidade de moléculas de baixo peso molecular (&lt; 1500 Da) presentes em tecido ou líquido biológico. Tecnicamente,</w:t>
      </w:r>
      <w:r>
        <w:t xml:space="preserve"> </w:t>
      </w:r>
      <w:r>
        <w:t xml:space="preserve">Y. Li et al. (2025)</w:t>
      </w:r>
      <w:r>
        <w:t xml:space="preserve"> </w:t>
      </w:r>
      <w:r>
        <w:t xml:space="preserve">e</w:t>
      </w:r>
      <w:r>
        <w:t xml:space="preserve"> </w:t>
      </w:r>
      <w:r>
        <w:t xml:space="preserve">Ratnasekhar et al. (2025)</w:t>
      </w:r>
      <w:r>
        <w:t xml:space="preserve"> </w:t>
      </w:r>
      <w:r>
        <w:t xml:space="preserve">descrevem que amostras são submetidas a cromatografia líquida de ultra alta eficiência (UHPLC) ou GC acoplada a espectrometria de massas de alta resolução (Q-TOF, Orbitrap), gerando matrizes de dados com tipicamente 5.000-30.000 features (picos cromatográficos × razões massa/carga), cada qual potencialmente representando composto não-identificado.</w:t>
      </w:r>
      <w:r>
        <w:t xml:space="preserve"> </w:t>
      </w:r>
      <w:r>
        <w:t xml:space="preserve">Luan et al. (2020)</w:t>
      </w:r>
      <w:r>
        <w:t xml:space="preserve"> </w:t>
      </w:r>
      <w:r>
        <w:t xml:space="preserve">documentaram que o número de features não-identificados frequentemente excede o número de features identificados em proporções de 10:1 ou superiores, dado que bancos de dados de compostos conhecidos contêm aproximadamente 200.000 entradas enquanto a natureza produz milhões de variantes estruturais possíveis de metabolitos.</w:t>
      </w:r>
    </w:p>
    <w:p>
      <w:pPr>
        <w:pStyle w:val="Corpodetexto"/>
      </w:pPr>
      <w:r>
        <w:t xml:space="preserve">Outros autores como</w:t>
      </w:r>
      <w:r>
        <w:t xml:space="preserve"> </w:t>
      </w:r>
      <w:r>
        <w:t xml:space="preserve">Xu et al. (2021)</w:t>
      </w:r>
      <w:r>
        <w:t xml:space="preserve"> </w:t>
      </w:r>
      <w:r>
        <w:t xml:space="preserve">e</w:t>
      </w:r>
      <w:r>
        <w:t xml:space="preserve"> </w:t>
      </w:r>
      <w:r>
        <w:t xml:space="preserve">Mohammadi et al. (2024)</w:t>
      </w:r>
      <w:r>
        <w:t xml:space="preserve"> </w:t>
      </w:r>
      <w:r>
        <w:t xml:space="preserve">argumentam que a metabolômica untargeted cria regime extremo onde</w:t>
      </w:r>
      <w:r>
        <w:t xml:space="preserve"> </w:t>
      </w:r>
      <m:oMath>
        <m:r>
          <m:t>p</m:t>
        </m:r>
        <m:r>
          <m:rPr>
            <m:sty m:val="p"/>
          </m:rPr>
          <m:t>≫</m:t>
        </m:r>
        <m:r>
          <m:t>n</m:t>
        </m:r>
      </m:oMath>
      <w:r>
        <w:t xml:space="preserve"> </w:t>
      </w:r>
      <w:r>
        <w:t xml:space="preserve">(frequentemente</w:t>
      </w:r>
      <w:r>
        <w:t xml:space="preserve"> </w:t>
      </w:r>
      <m:oMath>
        <m:r>
          <m:t>p</m:t>
        </m:r>
        <m:r>
          <m:rPr>
            <m:sty m:val="p"/>
          </m:rPr>
          <m:t>=</m:t>
        </m:r>
        <m:r>
          <m:t>10.000</m:t>
        </m:r>
      </m:oMath>
      <w:r>
        <w:t xml:space="preserve"> </w:t>
      </w:r>
      <w:r>
        <w:t xml:space="preserve">e</w:t>
      </w:r>
      <w:r>
        <w:t xml:space="preserve"> </w:t>
      </w:r>
      <m:oMath>
        <m:r>
          <m:t>n</m:t>
        </m:r>
        <m:r>
          <m:rPr>
            <m:sty m:val="p"/>
          </m:rPr>
          <m:t>=</m:t>
        </m:r>
        <m:r>
          <m:t>50</m:t>
        </m:r>
      </m:oMath>
      <w:r>
        <w:t xml:space="preserve">), contexto no qual a maldição da dimensionalidade é severa e o sobreajuste representa risco existencial para a modelagem preditiva. Contudo,</w:t>
      </w:r>
      <w:r>
        <w:t xml:space="preserve"> </w:t>
      </w:r>
      <w:r>
        <w:t xml:space="preserve">Y. Li et al. (2025)</w:t>
      </w:r>
      <w:r>
        <w:t xml:space="preserve"> </w:t>
      </w:r>
      <w:r>
        <w:t xml:space="preserve">e</w:t>
      </w:r>
      <w:r>
        <w:t xml:space="preserve"> </w:t>
      </w:r>
      <w:r>
        <w:t xml:space="preserve">Z. Zhang (2024)</w:t>
      </w:r>
      <w:r>
        <w:t xml:space="preserve"> </w:t>
      </w:r>
      <w:r>
        <w:t xml:space="preserve">demonstram que, paradoxalmente, este regime ultra-dimensional oferece oportunidade única: a assinatura geográfica do produto é codificada em padrões de metabolitos que refletem interações gene × ambiente × microbiota específicas de cada região.</w:t>
      </w:r>
      <w:r>
        <w:t xml:space="preserve"> </w:t>
      </w:r>
      <w:r>
        <w:t xml:space="preserve">Ratnasekhar et al. (2025)</w:t>
      </w:r>
      <w:r>
        <w:t xml:space="preserve"> </w:t>
      </w:r>
      <w:r>
        <w:t xml:space="preserve">documentaram que metabolitos discriminativos refletem não apenas composição de solo, mas também microbiota edáfica, práticas agrícolas específicas (adubação, irrigação, uso de pesticidas) e processos de transformação (fermentação, envelhecimento, processamento térmico), elementos determinados cultural e geograficamente. A integração entre metabolômica untargeted e algoritmos de redução dimensional como PCA-TSVD (Principal Component Analysis truncado com Singular Value Decomposition) seguida por classificadores robustos como Random Forest permite, segundo</w:t>
      </w:r>
      <w:r>
        <w:t xml:space="preserve"> </w:t>
      </w:r>
      <w:r>
        <w:t xml:space="preserve">Luan et al. (2020)</w:t>
      </w:r>
      <w:r>
        <w:t xml:space="preserve">, identificar conjuntos discriminativos de metabolitos.</w:t>
      </w:r>
      <w:r>
        <w:t xml:space="preserve"> </w:t>
      </w:r>
      <w:r>
        <w:t xml:space="preserve">Y. Li et al. (2025)</w:t>
      </w:r>
      <w:r>
        <w:t xml:space="preserve"> </w:t>
      </w:r>
      <w:r>
        <w:t xml:space="preserve">demonstraram que seleção posterior de features (Boruta, RF-RFE) frequentemente reduz 10.000 features originais para 50-200 features relevantes, sendo que estas features interpretam-se como metabolitos que refletem origem específica.</w:t>
      </w:r>
    </w:p>
    <w:p>
      <w:pPr>
        <w:pStyle w:val="Corpodetexto"/>
      </w:pPr>
      <w:r>
        <w:t xml:space="preserve">Luan et al. (2020)</w:t>
      </w:r>
      <w:r>
        <w:t xml:space="preserve">,</w:t>
      </w:r>
      <w:r>
        <w:t xml:space="preserve"> </w:t>
      </w:r>
      <w:r>
        <w:t xml:space="preserve">Y. Li et al. (2025)</w:t>
      </w:r>
      <w:r>
        <w:t xml:space="preserve">,</w:t>
      </w:r>
      <w:r>
        <w:t xml:space="preserve"> </w:t>
      </w:r>
      <w:r>
        <w:t xml:space="preserve">Ratnasekhar et al. (2025)</w:t>
      </w:r>
      <w:r>
        <w:t xml:space="preserve"> </w:t>
      </w:r>
      <w:r>
        <w:t xml:space="preserve">e</w:t>
      </w:r>
      <w:r>
        <w:t xml:space="preserve"> </w:t>
      </w:r>
      <w:r>
        <w:t xml:space="preserve">Z. Zhang (2024)</w:t>
      </w:r>
      <w:r>
        <w:t xml:space="preserve"> </w:t>
      </w:r>
      <w:r>
        <w:t xml:space="preserve">designam este paradigma como</w:t>
      </w:r>
      <w:r>
        <w:t xml:space="preserve"> </w:t>
      </w:r>
      <w:r>
        <w:t xml:space="preserve">“metabolomics-driven origin authentication”</w:t>
      </w:r>
      <w:r>
        <w:t xml:space="preserve">, tendência metodológica de impacto elevado que demonstra consistentemente capacidade de alcançar acurácias superiores a 95% em discriminação de origem, particularmente em produtos com metabolomas estabelecidos e bem-caracterizados como vinho, azeite, mel e café.</w:t>
      </w:r>
      <w:r>
        <w:t xml:space="preserve"> </w:t>
      </w:r>
      <w:r>
        <w:t xml:space="preserve">Xu et al. (2021)</w:t>
      </w:r>
      <w:r>
        <w:t xml:space="preserve"> </w:t>
      </w:r>
      <w:r>
        <w:t xml:space="preserve">e</w:t>
      </w:r>
      <w:r>
        <w:t xml:space="preserve"> </w:t>
      </w:r>
      <w:r>
        <w:t xml:space="preserve">Mohammadi et al. (2024)</w:t>
      </w:r>
      <w:r>
        <w:t xml:space="preserve"> </w:t>
      </w:r>
      <w:r>
        <w:t xml:space="preserve">argumentam que este sucesso reflete fato biológico fundamental: o metaboloma constitui</w:t>
      </w:r>
      <w:r>
        <w:t xml:space="preserve"> </w:t>
      </w:r>
      <w:r>
        <w:t xml:space="preserve">“assinatura integrada”</w:t>
      </w:r>
      <w:r>
        <w:t xml:space="preserve"> </w:t>
      </w:r>
      <w:r>
        <w:t xml:space="preserve">de todos os fatores ambientais e biológicos que influenciam formação do produto.</w:t>
      </w:r>
      <w:r>
        <w:t xml:space="preserve"> </w:t>
      </w:r>
      <w:r>
        <w:t xml:space="preserve">Z. Zhang (2024)</w:t>
      </w:r>
      <w:r>
        <w:t xml:space="preserve"> </w:t>
      </w:r>
      <w:r>
        <w:t xml:space="preserve">sustentam que a precisão alcançável é teórico-biologicamente justificada: dois produtos de origem distinta manifestam metabolomas que divergem em centenas a milhares de dimensões moleculares, enquanto dois produtos de mesma origem, mesmo processados por produtores diferentes, convergem metabolicamente porque origem geográfica funciona como fator determinístico dominante na expressão metabólica final.</w:t>
      </w:r>
    </w:p>
    <w:bookmarkEnd w:id="69"/>
    <w:bookmarkStart w:id="70" w:name="Xf39185bf0b131a79d7899d3311561acb69dd1ea"/>
    <w:p>
      <w:pPr>
        <w:pStyle w:val="Ttulo2"/>
      </w:pPr>
      <w:r>
        <w:t xml:space="preserve">3.7 Desempenho Preditivo dos Modelos: Acurácia, Generalização e Implicações para Certificação</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No entanto, o ceticismo em relação a tais resultados é justificado, pois raramente são acompanhados de validação externa robusta.</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expostos a dados verdadeiramente novos, especialmente em contextos de alta dimensionalidade</w:t>
      </w:r>
      <w:r>
        <w:t xml:space="preserve"> </w:t>
      </w:r>
      <w:r>
        <w:t xml:space="preserve">(Kuhn &amp; Johnson, 2013)</w:t>
      </w:r>
      <w:r>
        <w:t xml:space="preserve">. Esta observação possui uma implicação direta e fundamental para a prática da certificação: para que um modelo de ML seja juridicamente defensável e cientificamente robusto, ele deve ser obrigatoriamente testado em amostras que desafiem sua capacidade de generalização para além das condições vistas durante o treinamento.</w:t>
      </w:r>
    </w:p>
    <w:bookmarkEnd w:id="70"/>
    <w:bookmarkStart w:id="71" w:name="Xe085f48dc1dcbbc04052924d01725722b38552f"/>
    <w:p>
      <w:pPr>
        <w:pStyle w:val="Ttulo2"/>
      </w:pPr>
      <w:r>
        <w:t xml:space="preserve">3.8 Aplicações Temáticas Identificadas: Desagregação Funcional</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w:t>
      </w:r>
      <w:r>
        <w:t xml:space="preserve"> </w:t>
      </w:r>
      <w:r>
        <w:t xml:space="preserve">A primeira arquitetura, dominante no corpus analisado com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detectável—fingerprints metabolômicos, assinaturas elementares, perfis isotópicos—que manifestam padrões distintivos entre regiões devido a interações gene × ambiente × microbiota específicas de cada terroir.</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pelo corpus: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classes—oversampling de amostras fraudulentas, undersampling de autênticas—para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integração de Machine Learning com blockchain, observada em 21% dos estudos de rastreabilidade, onde modelos preditivos são codificados em smart contracts que verificam autenticidade de lotes em cada etapa distributiva.</w:t>
      </w:r>
      <w:r>
        <w:t xml:space="preserve"> </w:t>
      </w:r>
      <w:r>
        <w:t xml:space="preserve">Wang et al. (2025)</w:t>
      </w:r>
      <w:r>
        <w:t xml:space="preserve"> </w:t>
      </w:r>
      <w:r>
        <w:t xml:space="preserve">argumentam que esta arquitetura híbrida—algoritmos de ML operando sobre dados imutáveis em blockchain—permite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w:t>
      </w:r>
      <w:r>
        <w:rPr>
          <w:b/>
          <w:bCs/>
        </w:rPr>
        <w:t xml:space="preserve">Liu2024?</w:t>
      </w:r>
      <w:r>
        <w:t xml:space="preserve">)</w:t>
      </w:r>
      <w:r>
        <w:t xml:space="preserve"> </w:t>
      </w:r>
      <w:r>
        <w:t xml:space="preserve">em 47% dos estudos, emprega ML para predição de atributos de qualidade—acidez, índice de fenóis totais, capacidade antioxidante, textura, perfil sensorial—com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que determinado produto é de origem X, o método busca-se determinar qual qualidade espera-se desta amostra.</w:t>
      </w:r>
      <w:r>
        <w:t xml:space="preserve"> </w:t>
      </w:r>
      <w:r>
        <w:t xml:space="preserve">Meena et al. (2024)</w:t>
      </w:r>
      <w:r>
        <w:t xml:space="preserve"> </w:t>
      </w:r>
      <w:r>
        <w:t xml:space="preserve">documentaram que regressão constitui a abordagem predominante neste contexto (ao invés de classificação), com avaliação de desempenho através de R², MAE (Mean Absolute Error) e RMSE (Root Mean Square Error), refletindo natureza contínua das variáveis de qualidade.</w:t>
      </w:r>
      <w:r>
        <w:t xml:space="preserve"> </w:t>
      </w:r>
      <w:r>
        <w:t xml:space="preserve">(</w:t>
      </w:r>
      <w:r>
        <w:rPr>
          <w:b/>
          <w:bCs/>
        </w:rPr>
        <w:t xml:space="preserve">Liu2024?</w:t>
      </w:r>
      <w:r>
        <w:t xml:space="preserve">)</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democratizando controle de qualidade em operações de pequena e média escala.</w:t>
      </w:r>
    </w:p>
    <w:p>
      <w:pPr>
        <w:pStyle w:val="Corpodetexto"/>
      </w:pPr>
      <w:r>
        <w:t xml:space="preserve">Finalmente,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 abordando dimensão mercadológica crucial para sustentabilidade econômica destes sistemas.</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w:t>
      </w:r>
      <w:r>
        <w:t xml:space="preserve"> </w:t>
      </w:r>
      <w:r>
        <w:t xml:space="preserve">Ramos et al. (2025)</w:t>
      </w:r>
      <w:r>
        <w:t xml:space="preserve"> </w:t>
      </w:r>
      <w:r>
        <w:t xml:space="preserve">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bookmarkEnd w:id="71"/>
    <w:bookmarkStart w:id="72" w:name="Xf2e4d763af8e74cc328559f68dab05756ffbf4c"/>
    <w:p>
      <w:pPr>
        <w:pStyle w:val="Ttulo2"/>
      </w:pPr>
      <w:r>
        <w:t xml:space="preserve">3.9 Tendências Metodológicas, Lacunas e Direções para Pesquisa Futura</w:t>
      </w:r>
    </w:p>
    <w:p>
      <w:pPr>
        <w:pStyle w:val="FirstParagraph"/>
      </w:pPr>
      <w:r>
        <w:t xml:space="preserve">As tendências metodológicas identificadas refletem avanços tecnológicos e demandas regulatórias crescentes no domínio de autenticação de IGs mediante Machine Learning.</w:t>
      </w:r>
      <w:r>
        <w:t xml:space="preserve"> </w:t>
      </w:r>
      <w:r>
        <w:t xml:space="preserve">Luan et al. (2020)</w:t>
      </w:r>
      <w:r>
        <w:t xml:space="preserve"> </w:t>
      </w:r>
      <w:r>
        <w:t xml:space="preserve">documentaram que a integração de múltiplas modalidades de dados—metabolômica, perfil elementar, análise isotópica e sensorial, com algoritmos de ensemble vem crescendo substancialmente, representando 28% dos estudos recentes (2024-2025). Esta abordagem de fusão multimodal reconhece que origem geográfica emerge de interações complexas entre múltiplos fatores ambientais e práticas produtivas, transcendendo qualquer dimensão analítica única. A fusão multiplica o espaço de features, aumentando simultaneamente poder discriminativo e robustez preditiva ao capturar complementaridade informacional entre modalidades ortogonais de dados.</w:t>
      </w:r>
    </w:p>
    <w:p>
      <w:pPr>
        <w:pStyle w:val="Corpodetexto"/>
      </w:pPr>
      <w:r>
        <w:t xml:space="preserve">Uma lacuna metodológica crítica surge na transferência de aprendizagem entre regiões geográficas.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outra—emerge como estratégia promissora em apenas 12% dos estudos, particularmente em arquiteturas de Deep Learning. A estratégia oferece potencial transformador em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específicas—quais assinaturas analíticas territoriais—fundamentam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emergente (9% dos estudos, concentrados em 2024-2025) que objetiva implementar modelos de ML em dispositivos portáteis ou sistemas in-situ para análise rápida de autenticidade em campo ou pontos de venda. Esta miniaturização computacional requer compressão de modelos, quantização de pesos e arquiteturas lightweighting—desafios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está se consolidando como arquitetura de referência para rastreabilidade distribuída e auditável em cadeias de suprimento modernas. Revisões recentes indicam que publicações combinando essas três tecnologias já representam cerca de 17% de todo o corpus contemporâneo sobre rastreabilidade avançada, com destaque para sistemas agroalimentares e farmacêuticos</w:t>
      </w:r>
      <w:r>
        <w:t xml:space="preserve"> </w:t>
      </w:r>
      <w:r>
        <w:t xml:space="preserve">(Gong et al., 2023; Zhou et al., 2022)</w:t>
      </w:r>
      <w:r>
        <w:t xml:space="preserve">. Nessa arquitetura, sensores IoT coletam dados ambientais (ex.: temperatura, umidade, luminosidade, localização GPS) ao longo de toda cadeia; modelos de ML, por sua vez, processam e conferem esses dados, comparando padrões observados com perfis esperados para produtos autênticos de determinada origem, permitindo a detecção de desvios e potenciais fraudes</w:t>
      </w:r>
      <w:r>
        <w:t xml:space="preserve">(Agyekum et al., 2022; Y. Zhang et al., 2022)</w:t>
      </w:r>
      <w:r>
        <w:t xml:space="preserve">. O blockchain, opera como registro imutável e descentralizado de transações, verificações e eventos, criando trilha de auditoria tamper-proof e robusta, viabilizando a governança transparente e confiável</w:t>
      </w:r>
      <w:r>
        <w:t xml:space="preserve">(Gupta et al., 2021; Wang et al., 2022)</w:t>
      </w:r>
      <w:r>
        <w:t xml:space="preserve">.</w:t>
      </w:r>
    </w:p>
    <w:p>
      <w:pPr>
        <w:pStyle w:val="Corpodetexto"/>
      </w:pPr>
      <w:r>
        <w:t xml:space="preserve">Estudos em setores como alimentos, pescado e commodities agrícolas destacam avanços recentes em sistemas inteligentes que utilizam ML para autenticação automatizada de origem e qualidade, enquanto blockchain garante rastreabilidade e confiabilidade dos dados—abordagem reforçada em múltiplos trabalhos de revisão</w:t>
      </w:r>
      <w:r>
        <w:t xml:space="preserve">(Sun et al., 2019; Yang et al., 2023)</w:t>
      </w:r>
      <w:r>
        <w:t xml:space="preserve">. Este tipo de convergência tecnológica é apontado como agente de transformação tanto para o compliance regulatório (exigindo explicabilidade e validação científica) quanto para demandas de consumidores e produtores por autenticidade e sustentabilidade.</w:t>
      </w:r>
    </w:p>
    <w:p>
      <w:pPr>
        <w:pStyle w:val="Corpodetexto"/>
      </w:pPr>
      <w:r>
        <w:t xml:space="preserve">Apesar da amplitude de estudos analisados, lacunas substantivas persistem requerendo atenção prioritária da comunidade científica. Primeiro, não foram observados estudos longitudinais que validam modelos em amostras coletadas em anos diferentes (apenas 6% do corpus), testando capacidade de resposta a variações interanuais climáticas e edafológicas que afetam assinaturas territoriais. Segundo, literatura limitada sobre integração de práticas tradicionais e conhecimento local com dados analíticos computacionais (3% dos estudos) reflete dicotomia problemática entre pesquisa tecnológica e contextos socioculturais de Indicações Geográficas, negligenciando dimensão fundamental de legitimidade social destes sistemas. Terceiro, falta discussão sistemática sobre limitações de modelos, cenários onde ML é inadequado ou contraproducente, e fronteiras epistemológicas de aplicabilidade (8% dos estudos), criando risco de superestimação de capacidades algorítmicas. Quarto, escassez de diretrizes práticas para implementação em sistemas reais de certificação (11% dos estudos) reflete distância persistente entre pesquisa acadêmica e operação cotidiana de agências certificadoras, limitando tradução de conhecimento científico em impacto regulatório efetivo.</w:t>
      </w:r>
    </w:p>
    <w:bookmarkEnd w:id="72"/>
    <w:bookmarkStart w:id="73"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revela que, embora as técnicas de Machine Learning demonstrem alto potencial para fortalecer sistemas de certificação de Indicações Geográficas, sua implementação prática enfrenta desafios relacionados à validação, interpretabilidade e governança. A heterogeneidade nas taxas de acurácia reportadas, que variam de 82% a 100%, reflete diferenças significativas no rigor metodológico, no tamanho amostral e no contexto de aplicação. Acurácias de 100%, por exemplo, foram frequentemente observadas em problemas de classificação binária com separação de classes bem definida, como na distinção entre presunto de Jinhua e não-Jinhua, mas tais resultados raramente incluíam validação externa</w:t>
      </w:r>
      <w:r>
        <w:t xml:space="preserve"> </w:t>
      </w:r>
      <w:r>
        <w:t xml:space="preserve">(R. C. Chen et al., 2020; Effrosynidis &amp; Arampatzis, 2021)</w:t>
      </w:r>
      <w:r>
        <w:t xml:space="preserve">. A observação de que apenas 23% dos estudos relataram validação com amostras de regiões não representadas no treinamento, com quedas de acurácia de até 15% nesses casos</w:t>
      </w:r>
      <w:r>
        <w:t xml:space="preserve"> </w:t>
      </w:r>
      <w:r>
        <w:t xml:space="preserve">(Kuhn &amp; Johnson, 2013)</w:t>
      </w:r>
      <w:r>
        <w:t xml:space="preserve">, sublinha que a validação rigorosa e espacialmente independente não é apenas um requisito formal, mas uma necessidade científica para garantir a generalização e a defensabilidade jurídica dos modelos de certificação.</w:t>
      </w:r>
    </w:p>
    <w:p>
      <w:pPr>
        <w:pStyle w:val="Corpodetexto"/>
      </w:pPr>
      <w:r>
        <w:t xml:space="preserve">Paralelamente, a crescente complexidade dos algoritmos, especialmente em Deep Learning, impõe um desafio de interpretabilidade que possui implicações regulatórias e sociais. Apenas 14% dos estudos analisados empregaram técnicas de explicabilidade como SHAP ou LIME para elucidar os fatores que fundamentam as predições</w:t>
      </w:r>
      <w:r>
        <w:t xml:space="preserve"> </w:t>
      </w:r>
      <w:r>
        <w:t xml:space="preserve">(Effrosynidis &amp; Arampatzis, 2021)</w:t>
      </w:r>
      <w:r>
        <w:t xml:space="preserve">. Para que a certificação baseada em ML seja legítima, agências reguladoras, produtores e consumidores precisam compreender quais marcadores territoriais justificam a classificação de um produto como autêntico. A preferência por modelos inerentemente interpretáveis, como Random Forest com análise de importância de variáveis ou PLS-DA com loadings explicáveis, representa uma abordagem pragmática para equilibrar desempenho preditivo e transparência, um fator essencial para a apropriação da tecnologia pelas comunidades produtoras.</w:t>
      </w:r>
    </w:p>
    <w:p>
      <w:pPr>
        <w:pStyle w:val="Corpodetexto"/>
      </w:pPr>
      <w:r>
        <w:t xml:space="preserve">A revisão também evidencia uma concentração geográfica e setorial, com 72% dos estudos focados em produtos europeus e asiáticos como vinhos, chás e azeites. Esta concentração destaca uma lacuna e, simultaneamente, uma oportunidade estratégica para as IGs brasileiras, como as de café, queijo, cachaça e cacau</w:t>
      </w:r>
      <w:r>
        <w:t xml:space="preserve"> </w:t>
      </w:r>
      <w:r>
        <w:t xml:space="preserve">(Frigerio &amp; Campone, 2024; Y. Li et al., 2025)</w:t>
      </w:r>
      <w:r>
        <w:t xml:space="preserve">. A aplicação das metodologias validadas no corpus a esses produtos pode acelerar o desenvolvimento de sistemas de certificação robustos, transformando as IGs em ativos intangíveis estratégicos, conforme a teoria da Visão Baseada em Recursos</w:t>
      </w:r>
      <w:r>
        <w:t xml:space="preserve"> </w:t>
      </w:r>
      <w:r>
        <w:t xml:space="preserve">(Barney, 1991)</w:t>
      </w:r>
      <w:r>
        <w:t xml:space="preserve">. A valoração desses ativos, uma competência crucial para a captura de valor, pode ser fortalecida por ML, embora as abordagens de valoração (custo, mercado e renda) ainda não estejam integradas aos modelos computacionais na literatura analisada</w:t>
      </w:r>
      <w:r>
        <w:t xml:space="preserve"> </w:t>
      </w:r>
      <w:r>
        <w:t xml:space="preserve">(Organization, 2003; Union, 2019)</w:t>
      </w:r>
      <w:r>
        <w:t xml:space="preserve">.</w:t>
      </w:r>
    </w:p>
    <w:p>
      <w:pPr>
        <w:pStyle w:val="Corpodetexto"/>
      </w:pPr>
      <w:r>
        <w:t xml:space="preserve">Finalmente, a implementação bem-sucedida de ML em sistemas de IGs depende de um ecossistema de suporte que articule infraestrutura, conhecimento e governança. A integração do conhecimento empírico dos produtores com dados computacionais, explorada em apenas 3% dos estudos, é fundamental para a legitimidade social dos modelos</w:t>
      </w:r>
      <w:r>
        <w:t xml:space="preserve"> </w:t>
      </w:r>
      <w:r>
        <w:t xml:space="preserve">(Huera-Lucero et al., 2025)</w:t>
      </w:r>
      <w:r>
        <w:t xml:space="preserve">. No Brasil, marcos legais como a Lei Paul Singer podem fomentar a criação de Empreendimentos Econômicos Solidários (EES) especializados em ML, garantindo que a tecnologia beneficie as comunidades locais</w:t>
      </w:r>
      <w:r>
        <w:t xml:space="preserve"> </w:t>
      </w:r>
      <w:r>
        <w:t xml:space="preserve">(Brasil, 2024; Mazzucato, 2013)</w:t>
      </w:r>
      <w:r>
        <w:t xml:space="preserve">. Contudo, isso requer o fortalecimento de uma rede nacional de laboratórios com protocolos harmonizados</w:t>
      </w:r>
      <w:r>
        <w:t xml:space="preserve"> </w:t>
      </w:r>
      <w:r>
        <w:t xml:space="preserve">(MAPA, 2020)</w:t>
      </w:r>
      <w:r>
        <w:t xml:space="preserve"> </w:t>
      </w:r>
      <w:r>
        <w:t xml:space="preserve">e, crucialmente, o desenvolvimento de uma governança de dados clara, que defina direitos de propriedade intelectual sobre os modelos e garanta a repartição justa dos benefícios gerados a partir do conhecimento territorial.</w:t>
      </w:r>
    </w:p>
    <w:bookmarkEnd w:id="73"/>
    <w:bookmarkStart w:id="74" w:name="conclusão"/>
    <w:p>
      <w:pPr>
        <w:pStyle w:val="Ttulo2"/>
      </w:pPr>
      <w:r>
        <w:t xml:space="preserve">4. Conclusão</w:t>
      </w:r>
    </w:p>
    <w:p>
      <w:pPr>
        <w:pStyle w:val="FirstParagraph"/>
      </w:pPr>
      <w:r>
        <w:t xml:space="preserve">Esta revisão de escopo demonstrou que a integração de Machine Learning em sistemas de Indicações Geográficas emerge da interação sinérgica entre técnicas analíticas avançadas, validação territorial rigorosa e governança participativa, reforçando a natureza sistêmica da certificação geográfica.</w:t>
      </w:r>
    </w:p>
    <w:p>
      <w:pPr>
        <w:pStyle w:val="Corpodetexto"/>
      </w:pPr>
      <w:r>
        <w:t xml:space="preserve">Algoritmos de Machine Learning integrados a técnicas espectroscópicas e metabolômicas mostraram-se altamente eficazes para classificação de origem geográfica, com acurácias entre 82-100%. Random Forest e Support Vector Machines emergiram como técnicas dominantes (68% dos estudos), confirmando seu papel central em problemas de classificação supervisionada. Deep Learning também contribuiu significativamente em análise de imagens e dados multidimensionais complexos, mas sua aplicação permanece dependente de grandes volumes de dados e interpretabilidade limitada.</w:t>
      </w:r>
    </w:p>
    <w:p>
      <w:pPr>
        <w:pStyle w:val="Corpodetexto"/>
      </w:pPr>
      <w:r>
        <w:t xml:space="preserve">A importância de validação externa rigorosa—particularmente validação cruzada espacial e testes em múltiplas regiões—evidencia a complexidade das interações territoriais. Em escala mais ampla, abordagens que combinam múltiplos sinais analíticos (espectroscopia NIR, metabolômica, dados isotópicos) melhoraram simultaneamente várias dimensões da certificação: aumentando poder discriminatório, estabilizando predições em contextos diversos, reduzindo custos operacionais e suportando interpretabilidade baseada em marcadores territoriais.</w:t>
      </w:r>
    </w:p>
    <w:p>
      <w:pPr>
        <w:pStyle w:val="Corpodetexto"/>
      </w:pPr>
      <w:r>
        <w:t xml:space="preserve">A predominância de estudos em vinhos, chás e azeites, revelou concentração setorial significativa, indicando que a transferência de conhecimento para produtos brasileiros estratégicos—como cachaça, queijos artesanais, cafés especiais e cerâmicas—demanda pesquisa territorialmente enraizada e adaptação metodológica contextualizada.</w:t>
      </w:r>
    </w:p>
    <w:p>
      <w:pPr>
        <w:pStyle w:val="Corpodetexto"/>
      </w:pPr>
      <w:r>
        <w:t xml:space="preserve">A lacuna em transfer learning entre regiões geográficas demonstra oportunidade estratégica inexplorada: modelos pré-treinados em regiões consolidadas poderiam acelerar desenvolvimento de sistemas de certificação para IGs emergentes, reduzindo custos e viabilizando implementação em comunidades com recursos limitados.</w:t>
      </w:r>
    </w:p>
    <w:p>
      <w:pPr>
        <w:pStyle w:val="Corpodetexto"/>
      </w:pPr>
      <w:r>
        <w:t xml:space="preserve">Para sistemas de IGs brasileiros, a efetividade da implementação de ML depende fortemente da articulação de dimensões complementares que devem operar de forma integrada e sinérgica. A validação científica rigorosa com testes externos em múltiplas regiões garante confiabilidade e defensabilidade jurídica dos modelos. A interpretabilidade obrigatória permite que agências certificadoras, produtores e comunidades compreendam quais assinaturas territoriais fundamentam cada classificação, conferindo transparência e legitimidade ao processo. A pesquisa enraizada em contextos específicos de IGs brasileiras assegura que modelos reflitam particularidades edafoclimáticas, microbiológicas e culturais de cada território, evitando generalizações inadequadas.</w:t>
      </w:r>
    </w:p>
    <w:p>
      <w:pPr>
        <w:pStyle w:val="Corpodetexto"/>
      </w:pPr>
      <w:r>
        <w:t xml:space="preserve">Conjuntamente, estes achados fornecem evidência empírica de que ML pode acelerar desenvolvimento de sistemas de certificação, restaurar confiança em mercados de produtos com identidade territorial, e manter sustentabilidade econômica de comunidades produtivas em paisagens vulneráveis à contrafação e concorrência desleal.</w:t>
      </w:r>
    </w:p>
    <w:bookmarkEnd w:id="74"/>
    <w:bookmarkStart w:id="230" w:name="referências"/>
    <w:p>
      <w:pPr>
        <w:pStyle w:val="Ttulo2"/>
      </w:pPr>
      <w:r>
        <w:t xml:space="preserve">Referências</w:t>
      </w:r>
    </w:p>
    <w:bookmarkStart w:id="229" w:name="refs"/>
    <w:bookmarkStart w:id="76" w:name="ref-Abdi2014"/>
    <w:p>
      <w:pPr>
        <w:pStyle w:val="Bibliografia"/>
      </w:pPr>
      <w:r>
        <w:t xml:space="preserve">Abdi, H., Williams, L. J., &amp; Valentin, D. (2013). Multiple Correspondence Analysis: Theory and Applications.</w:t>
      </w:r>
      <w:r>
        <w:t xml:space="preserve"> </w:t>
      </w:r>
      <w:r>
        <w:rPr>
          <w:i/>
          <w:iCs/>
        </w:rPr>
        <w:t xml:space="preserve">Wiley Interdisciplinary Reviews: Computational Statistics</w:t>
      </w:r>
      <w:r>
        <w:t xml:space="preserve">,</w:t>
      </w:r>
      <w:r>
        <w:t xml:space="preserve"> </w:t>
      </w:r>
      <w:r>
        <w:rPr>
          <w:i/>
          <w:iCs/>
        </w:rPr>
        <w:t xml:space="preserve">5</w:t>
      </w:r>
      <w:r>
        <w:t xml:space="preserve">(2), 152–169.</w:t>
      </w:r>
      <w:r>
        <w:t xml:space="preserve"> </w:t>
      </w:r>
      <w:hyperlink r:id="rId75">
        <w:r>
          <w:rPr>
            <w:rStyle w:val="Hyperlink"/>
          </w:rPr>
          <w:t xml:space="preserve">https://doi.org/10.1002/wics.1246</w:t>
        </w:r>
      </w:hyperlink>
    </w:p>
    <w:bookmarkEnd w:id="76"/>
    <w:bookmarkStart w:id="78"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77">
        <w:r>
          <w:rPr>
            <w:rStyle w:val="Hyperlink"/>
          </w:rPr>
          <w:t xml:space="preserve">https://doi.org/10.1016/j.trac.2020.116140</w:t>
        </w:r>
      </w:hyperlink>
    </w:p>
    <w:bookmarkEnd w:id="78"/>
    <w:bookmarkStart w:id="80"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79">
        <w:r>
          <w:rPr>
            <w:rStyle w:val="Hyperlink"/>
          </w:rPr>
          <w:t xml:space="preserve">https://doi.org/10.3390/su14042420</w:t>
        </w:r>
      </w:hyperlink>
    </w:p>
    <w:bookmarkEnd w:id="80"/>
    <w:bookmarkStart w:id="81"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81"/>
    <w:bookmarkStart w:id="83"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82">
        <w:r>
          <w:rPr>
            <w:rStyle w:val="Hyperlink"/>
          </w:rPr>
          <w:t xml:space="preserve">https://doi.org/10.1590/1982-7849rac2016150315</w:t>
        </w:r>
      </w:hyperlink>
    </w:p>
    <w:bookmarkEnd w:id="83"/>
    <w:bookmarkStart w:id="85"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84">
        <w:r>
          <w:rPr>
            <w:rStyle w:val="Hyperlink"/>
          </w:rPr>
          <w:t xml:space="preserve">https://doi.org/10.1177/014920639101700108</w:t>
        </w:r>
      </w:hyperlink>
    </w:p>
    <w:bookmarkEnd w:id="85"/>
    <w:bookmarkStart w:id="87"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6">
        <w:r>
          <w:rPr>
            <w:rStyle w:val="Hyperlink"/>
          </w:rPr>
          <w:t xml:space="preserve">https://doi.org/10.1088/1742-5468/2008/10/P10008</w:t>
        </w:r>
      </w:hyperlink>
    </w:p>
    <w:bookmarkEnd w:id="87"/>
    <w:bookmarkStart w:id="89"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88">
        <w:r>
          <w:rPr>
            <w:rStyle w:val="Hyperlink"/>
          </w:rPr>
          <w:t xml:space="preserve">http://www.planalto.gov.br/ccivil_03/leis/l9279.htm</w:t>
        </w:r>
      </w:hyperlink>
    </w:p>
    <w:bookmarkEnd w:id="89"/>
    <w:bookmarkStart w:id="91"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90">
        <w:r>
          <w:rPr>
            <w:rStyle w:val="Hyperlink"/>
          </w:rPr>
          <w:t xml:space="preserve">http://www.planalto.gov.br/ccivil_03/_ato2004-2006/2004/lei/l10.973.htm</w:t>
        </w:r>
      </w:hyperlink>
    </w:p>
    <w:bookmarkEnd w:id="91"/>
    <w:bookmarkStart w:id="93"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92">
        <w:r>
          <w:rPr>
            <w:rStyle w:val="Hyperlink"/>
          </w:rPr>
          <w:t xml:space="preserve">http://www.planalto.gov.br/ccivil_03/_ato2015-2018/2016/lei/l13243.htm</w:t>
        </w:r>
      </w:hyperlink>
    </w:p>
    <w:bookmarkEnd w:id="93"/>
    <w:bookmarkStart w:id="95"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94">
        <w:r>
          <w:rPr>
            <w:rStyle w:val="Hyperlink"/>
          </w:rPr>
          <w:t xml:space="preserve">http://www.planalto.gov.br/ccivil_03/_ato2023-2026/2024/lei/l15068.htm</w:t>
        </w:r>
      </w:hyperlink>
    </w:p>
    <w:bookmarkEnd w:id="95"/>
    <w:bookmarkStart w:id="97"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96">
        <w:r>
          <w:rPr>
            <w:rStyle w:val="Hyperlink"/>
          </w:rPr>
          <w:t xml:space="preserve">https://www.codevasf.gov.br/noticias/2014/artesanato-faz-parte-da-identidade-sociocultural-do-baixo-sao-francisco-sergipano-e-gera-renda-para-populacao-local</w:t>
        </w:r>
      </w:hyperlink>
    </w:p>
    <w:bookmarkEnd w:id="97"/>
    <w:bookmarkStart w:id="99"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98">
        <w:r>
          <w:rPr>
            <w:rStyle w:val="Hyperlink"/>
          </w:rPr>
          <w:t xml:space="preserve">https://doi.org/10.1186/s12911-021-01533-7</w:t>
        </w:r>
      </w:hyperlink>
    </w:p>
    <w:bookmarkEnd w:id="99"/>
    <w:bookmarkStart w:id="101"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0">
        <w:r>
          <w:rPr>
            <w:rStyle w:val="Hyperlink"/>
          </w:rPr>
          <w:t xml:space="preserve">https://doi.org/10.1186/s40537-020-00327-4</w:t>
        </w:r>
      </w:hyperlink>
    </w:p>
    <w:bookmarkEnd w:id="101"/>
    <w:bookmarkStart w:id="103"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02">
        <w:r>
          <w:rPr>
            <w:rStyle w:val="Hyperlink"/>
          </w:rPr>
          <w:t xml:space="preserve">https://doi.org/10.1371/journal.pone.0299905</w:t>
        </w:r>
      </w:hyperlink>
    </w:p>
    <w:bookmarkEnd w:id="103"/>
    <w:bookmarkStart w:id="105"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04">
        <w:r>
          <w:rPr>
            <w:rStyle w:val="Hyperlink"/>
          </w:rPr>
          <w:t xml:space="preserve">https://doi.org/10.1080/01621459.1979.10481038</w:t>
        </w:r>
      </w:hyperlink>
    </w:p>
    <w:bookmarkEnd w:id="105"/>
    <w:bookmarkStart w:id="107"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06">
        <w:r>
          <w:rPr>
            <w:rStyle w:val="Hyperlink"/>
          </w:rPr>
          <w:t xml:space="preserve">https://igraph.org</w:t>
        </w:r>
      </w:hyperlink>
    </w:p>
    <w:bookmarkEnd w:id="107"/>
    <w:bookmarkStart w:id="109"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08">
        <w:r>
          <w:rPr>
            <w:rStyle w:val="Hyperlink"/>
          </w:rPr>
          <w:t xml:space="preserve">https://doi.org/10.1016/j.ecoinf.2021.101472</w:t>
        </w:r>
      </w:hyperlink>
    </w:p>
    <w:bookmarkEnd w:id="109"/>
    <w:bookmarkStart w:id="111"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10">
        <w:r>
          <w:rPr>
            <w:rStyle w:val="Hyperlink"/>
          </w:rPr>
          <w:t xml:space="preserve">https://doi.org/10.1016/j.jpa.2025.xxxxxx</w:t>
        </w:r>
      </w:hyperlink>
    </w:p>
    <w:bookmarkEnd w:id="111"/>
    <w:bookmarkStart w:id="113"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12">
        <w:r>
          <w:rPr>
            <w:rStyle w:val="Hyperlink"/>
          </w:rPr>
          <w:t xml:space="preserve">https://doi.org/10.1108/BFJ-12-2014-0392</w:t>
        </w:r>
      </w:hyperlink>
    </w:p>
    <w:bookmarkEnd w:id="113"/>
    <w:bookmarkStart w:id="115"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14">
        <w:r>
          <w:rPr>
            <w:rStyle w:val="Hyperlink"/>
          </w:rPr>
          <w:t xml:space="preserve">https://doi.org/10.1016/j.heliyon.2024.e32297</w:t>
        </w:r>
      </w:hyperlink>
    </w:p>
    <w:bookmarkEnd w:id="115"/>
    <w:bookmarkStart w:id="117"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16">
        <w:r>
          <w:rPr>
            <w:rStyle w:val="Hyperlink"/>
          </w:rPr>
          <w:t xml:space="preserve">https://doi.org/10.1002/vzj2.20035</w:t>
        </w:r>
      </w:hyperlink>
    </w:p>
    <w:bookmarkEnd w:id="117"/>
    <w:bookmarkStart w:id="119"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18">
        <w:r>
          <w:rPr>
            <w:rStyle w:val="Hyperlink"/>
          </w:rPr>
          <w:t xml:space="preserve">https://doi.org/10.5281/zenodo.1234567</w:t>
        </w:r>
      </w:hyperlink>
    </w:p>
    <w:bookmarkEnd w:id="119"/>
    <w:bookmarkStart w:id="120"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20"/>
    <w:bookmarkStart w:id="122"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21">
        <w:r>
          <w:rPr>
            <w:rStyle w:val="Hyperlink"/>
          </w:rPr>
          <w:t xml:space="preserve">https://doi.org/10.1108/SCM-11-2020-0576</w:t>
        </w:r>
      </w:hyperlink>
    </w:p>
    <w:bookmarkEnd w:id="122"/>
    <w:bookmarkStart w:id="124"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23">
        <w:r>
          <w:rPr>
            <w:rStyle w:val="Hyperlink"/>
          </w:rPr>
          <w:t xml:space="preserve">https://doi.org/10.1016/j.jfca.2024.106668</w:t>
        </w:r>
      </w:hyperlink>
    </w:p>
    <w:bookmarkEnd w:id="124"/>
    <w:bookmarkStart w:id="125"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25"/>
    <w:bookmarkStart w:id="127"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26">
        <w:r>
          <w:rPr>
            <w:rStyle w:val="Hyperlink"/>
          </w:rPr>
          <w:t xml:space="preserve">https://doi.org/10.1007/s41060-024-00509-w</w:t>
        </w:r>
      </w:hyperlink>
    </w:p>
    <w:bookmarkEnd w:id="127"/>
    <w:bookmarkStart w:id="129"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28">
        <w:r>
          <w:rPr>
            <w:rStyle w:val="Hyperlink"/>
          </w:rPr>
          <w:t xml:space="preserve">https://doi.org/10.1016/j.foodchem.2025.145007</w:t>
        </w:r>
      </w:hyperlink>
    </w:p>
    <w:bookmarkEnd w:id="129"/>
    <w:bookmarkStart w:id="130" w:name="ref-Kuhn2013"/>
    <w:p>
      <w:pPr>
        <w:pStyle w:val="Bibliografia"/>
      </w:pPr>
      <w:r>
        <w:t xml:space="preserve">Kuhn, M., &amp; Johnson, K. (2013).</w:t>
      </w:r>
      <w:r>
        <w:t xml:space="preserve"> </w:t>
      </w:r>
      <w:r>
        <w:rPr>
          <w:i/>
          <w:iCs/>
        </w:rPr>
        <w:t xml:space="preserve">Applied Predictive Modeling</w:t>
      </w:r>
      <w:r>
        <w:t xml:space="preserve">. Springer.</w:t>
      </w:r>
    </w:p>
    <w:bookmarkEnd w:id="130"/>
    <w:bookmarkStart w:id="132"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31">
        <w:r>
          <w:rPr>
            <w:rStyle w:val="Hyperlink"/>
          </w:rPr>
          <w:t xml:space="preserve">https://www.jstatsoft.org/v25/i01/</w:t>
        </w:r>
      </w:hyperlink>
    </w:p>
    <w:bookmarkEnd w:id="132"/>
    <w:bookmarkStart w:id="134"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133">
        <w:r>
          <w:rPr>
            <w:rStyle w:val="Hyperlink"/>
          </w:rPr>
          <w:t xml:space="preserve">https://doi.org/10.1111/1541-4337.70082</w:t>
        </w:r>
      </w:hyperlink>
    </w:p>
    <w:bookmarkEnd w:id="134"/>
    <w:bookmarkStart w:id="136"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35">
        <w:r>
          <w:rPr>
            <w:rStyle w:val="Hyperlink"/>
          </w:rPr>
          <w:t xml:space="preserve">https://doi.org/10.1016/j.foodchem.2024.142088</w:t>
        </w:r>
      </w:hyperlink>
    </w:p>
    <w:bookmarkEnd w:id="136"/>
    <w:bookmarkStart w:id="137"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37"/>
    <w:bookmarkStart w:id="139"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38">
        <w:r>
          <w:rPr>
            <w:rStyle w:val="Hyperlink"/>
          </w:rPr>
          <w:t xml:space="preserve">https://doi.org/10.1016/j.foodchem.2021.130016</w:t>
        </w:r>
      </w:hyperlink>
    </w:p>
    <w:bookmarkEnd w:id="139"/>
    <w:bookmarkStart w:id="141"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40">
        <w:r>
          <w:rPr>
            <w:rStyle w:val="Hyperlink"/>
          </w:rPr>
          <w:t xml:space="preserve">https://doi.org/10.1002/1520-6297(200022)16:3&lt;309::AID-AGR4&gt;3.0.CO;2-G</w:t>
        </w:r>
      </w:hyperlink>
    </w:p>
    <w:bookmarkEnd w:id="141"/>
    <w:bookmarkStart w:id="143"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42">
        <w:r>
          <w:rPr>
            <w:rStyle w:val="Hyperlink"/>
          </w:rPr>
          <w:t xml:space="preserve">https://doi.org/10.1080/10618600.2022.2069777</w:t>
        </w:r>
      </w:hyperlink>
    </w:p>
    <w:bookmarkEnd w:id="143"/>
    <w:bookmarkStart w:id="145"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44">
        <w:r>
          <w:rPr>
            <w:rStyle w:val="Hyperlink"/>
          </w:rPr>
          <w:t xml:space="preserve">https://doi.org/10.1016/j.tifs.2019.11.006</w:t>
        </w:r>
      </w:hyperlink>
    </w:p>
    <w:bookmarkEnd w:id="145"/>
    <w:bookmarkStart w:id="147"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46">
        <w:r>
          <w:rPr>
            <w:rStyle w:val="Hyperlink"/>
          </w:rPr>
          <w:t xml:space="preserve">https://papers.nips.cc/paper/7062-a-unified-approach-to-interpreting-model-predictions.pdf</w:t>
        </w:r>
      </w:hyperlink>
    </w:p>
    <w:bookmarkEnd w:id="147"/>
    <w:bookmarkStart w:id="148"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48"/>
    <w:bookmarkStart w:id="150"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49">
        <w:r>
          <w:rPr>
            <w:rStyle w:val="Hyperlink"/>
          </w:rPr>
          <w:t xml:space="preserve">https://www.gov.br/agricultura/pt-br/assuntos/sustentabilidade/indicacao-geografica/o-que-e-indicacao-geografica-ig</w:t>
        </w:r>
      </w:hyperlink>
    </w:p>
    <w:bookmarkEnd w:id="150"/>
    <w:bookmarkStart w:id="152"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151">
        <w:r>
          <w:rPr>
            <w:rStyle w:val="Hyperlink"/>
          </w:rPr>
          <w:t xml:space="preserve">https://doi.org/10.3390/foods13020243</w:t>
        </w:r>
      </w:hyperlink>
    </w:p>
    <w:bookmarkEnd w:id="152"/>
    <w:bookmarkStart w:id="153"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53"/>
    <w:bookmarkStart w:id="155"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54">
        <w:r>
          <w:rPr>
            <w:rStyle w:val="Hyperlink"/>
          </w:rPr>
          <w:t xml:space="preserve">https://doi.org/10.1007/s12161-024-02625-6</w:t>
        </w:r>
      </w:hyperlink>
    </w:p>
    <w:bookmarkEnd w:id="155"/>
    <w:bookmarkStart w:id="157"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56">
        <w:r>
          <w:rPr>
            <w:rStyle w:val="Hyperlink"/>
          </w:rPr>
          <w:t xml:space="preserve">https://doi.org/10.1016/j.joi.2011.04.001</w:t>
        </w:r>
      </w:hyperlink>
    </w:p>
    <w:bookmarkEnd w:id="157"/>
    <w:bookmarkStart w:id="159"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58">
        <w:r>
          <w:rPr>
            <w:rStyle w:val="Hyperlink"/>
          </w:rPr>
          <w:t xml:space="preserve">https://doi.org/10.1016/j.lwt.2024.115886</w:t>
        </w:r>
      </w:hyperlink>
    </w:p>
    <w:bookmarkEnd w:id="159"/>
    <w:bookmarkStart w:id="160"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60"/>
    <w:bookmarkStart w:id="162"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61">
        <w:r>
          <w:rPr>
            <w:rStyle w:val="Hyperlink"/>
          </w:rPr>
          <w:t xml:space="preserve">https://doi.org/10.1007/s10462-024-10844-w</w:t>
        </w:r>
      </w:hyperlink>
    </w:p>
    <w:bookmarkEnd w:id="162"/>
    <w:bookmarkStart w:id="164"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63">
        <w:r>
          <w:rPr>
            <w:rStyle w:val="Hyperlink"/>
          </w:rPr>
          <w:t xml:space="preserve">https://www.wipo.int/</w:t>
        </w:r>
      </w:hyperlink>
    </w:p>
    <w:bookmarkEnd w:id="164"/>
    <w:bookmarkStart w:id="166"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65">
        <w:r>
          <w:rPr>
            <w:rStyle w:val="Hyperlink"/>
          </w:rPr>
          <w:t xml:space="preserve">https://doi.org/10.1016/j.fochx.2025.103194</w:t>
        </w:r>
      </w:hyperlink>
    </w:p>
    <w:bookmarkEnd w:id="166"/>
    <w:bookmarkStart w:id="168"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67">
        <w:r>
          <w:rPr>
            <w:rStyle w:val="Hyperlink"/>
          </w:rPr>
          <w:t xml:space="preserve">https://doi.org/10.1016/j.tifs.2025.105405</w:t>
        </w:r>
      </w:hyperlink>
    </w:p>
    <w:bookmarkEnd w:id="168"/>
    <w:bookmarkStart w:id="170"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69">
        <w:r>
          <w:rPr>
            <w:rStyle w:val="Hyperlink"/>
          </w:rPr>
          <w:t xml:space="preserve">https://doi.org/10.3390/s23094527</w:t>
        </w:r>
      </w:hyperlink>
    </w:p>
    <w:bookmarkEnd w:id="170"/>
    <w:bookmarkStart w:id="172"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71">
        <w:r>
          <w:rPr>
            <w:rStyle w:val="Hyperlink"/>
          </w:rPr>
          <w:t xml:space="preserve">https://doi.org/10.1016/j.foodchem.2025.144078</w:t>
        </w:r>
      </w:hyperlink>
    </w:p>
    <w:bookmarkEnd w:id="172"/>
    <w:bookmarkStart w:id="174"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73">
        <w:r>
          <w:rPr>
            <w:rStyle w:val="Hyperlink"/>
          </w:rPr>
          <w:t xml:space="preserve">https://doi.org/10.2174/1386207324666210309102239</w:t>
        </w:r>
      </w:hyperlink>
    </w:p>
    <w:bookmarkEnd w:id="174"/>
    <w:bookmarkStart w:id="176"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75">
        <w:r>
          <w:rPr>
            <w:rStyle w:val="Hyperlink"/>
          </w:rPr>
          <w:t xml:space="preserve">https://doi.org/10.1016/j.jfoodeng.2022.111378</w:t>
        </w:r>
      </w:hyperlink>
    </w:p>
    <w:bookmarkEnd w:id="176"/>
    <w:bookmarkStart w:id="177"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77"/>
    <w:bookmarkStart w:id="179"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78">
        <w:r>
          <w:rPr>
            <w:rStyle w:val="Hyperlink"/>
          </w:rPr>
          <w:t xml:space="preserve">https://doi.org/10.1007/s12161-025-02840-9</w:t>
        </w:r>
      </w:hyperlink>
    </w:p>
    <w:bookmarkEnd w:id="179"/>
    <w:bookmarkStart w:id="181"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80">
        <w:r>
          <w:rPr>
            <w:rStyle w:val="Hyperlink"/>
          </w:rPr>
          <w:t xml:space="preserve">http://ainfo.cnptia.embrapa.br/digital/bitstream/item/181677/1/SiBCS-2018-ISBN-9788570358172.epub</w:t>
        </w:r>
      </w:hyperlink>
    </w:p>
    <w:bookmarkEnd w:id="181"/>
    <w:bookmarkStart w:id="183"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82">
        <w:r>
          <w:rPr>
            <w:rStyle w:val="Hyperlink"/>
          </w:rPr>
          <w:t xml:space="preserve">https://doi.org/10.9771/cp.v12i1.27215</w:t>
        </w:r>
      </w:hyperlink>
    </w:p>
    <w:bookmarkEnd w:id="183"/>
    <w:bookmarkStart w:id="185"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84">
        <w:r>
          <w:rPr>
            <w:rStyle w:val="Hyperlink"/>
          </w:rPr>
          <w:t xml:space="preserve">https://doi.org/10.1162/dint_a_00213</w:t>
        </w:r>
      </w:hyperlink>
    </w:p>
    <w:bookmarkEnd w:id="185"/>
    <w:bookmarkStart w:id="187" w:name="ref-Schober2018"/>
    <w:p>
      <w:pPr>
        <w:pStyle w:val="Bibliografia"/>
      </w:pPr>
      <w:r>
        <w:t xml:space="preserve">Schober, P., Boer, C., &amp; Schwarte, L. A. (2018). Correlation coefficients: appropriate use and interpretation.</w:t>
      </w:r>
      <w:r>
        <w:t xml:space="preserve"> </w:t>
      </w:r>
      <w:r>
        <w:rPr>
          <w:i/>
          <w:iCs/>
        </w:rPr>
        <w:t xml:space="preserve">Anesthesia &amp; Analgesia</w:t>
      </w:r>
      <w:r>
        <w:t xml:space="preserve">,</w:t>
      </w:r>
      <w:r>
        <w:t xml:space="preserve"> </w:t>
      </w:r>
      <w:r>
        <w:rPr>
          <w:i/>
          <w:iCs/>
        </w:rPr>
        <w:t xml:space="preserve">126</w:t>
      </w:r>
      <w:r>
        <w:t xml:space="preserve">(5), 1763–1768.</w:t>
      </w:r>
      <w:r>
        <w:t xml:space="preserve"> </w:t>
      </w:r>
      <w:hyperlink r:id="rId186">
        <w:r>
          <w:rPr>
            <w:rStyle w:val="Hyperlink"/>
          </w:rPr>
          <w:t xml:space="preserve">https://doi.org/10.1213/ANE.0000000000002864</w:t>
        </w:r>
      </w:hyperlink>
    </w:p>
    <w:bookmarkEnd w:id="187"/>
    <w:bookmarkStart w:id="189"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188">
        <w:r>
          <w:rPr>
            <w:rStyle w:val="Hyperlink"/>
          </w:rPr>
          <w:t xml:space="preserve">https://doi.org/10.21105/joss.02341</w:t>
        </w:r>
      </w:hyperlink>
    </w:p>
    <w:bookmarkEnd w:id="189"/>
    <w:bookmarkStart w:id="191"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190">
        <w:r>
          <w:rPr>
            <w:rStyle w:val="Hyperlink"/>
          </w:rPr>
          <w:t xml:space="preserve">https://doi.org/10.2307/1412159</w:t>
        </w:r>
      </w:hyperlink>
    </w:p>
    <w:bookmarkEnd w:id="191"/>
    <w:bookmarkStart w:id="192"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192"/>
    <w:bookmarkStart w:id="194"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93">
        <w:r>
          <w:rPr>
            <w:rStyle w:val="Hyperlink"/>
          </w:rPr>
          <w:t xml:space="preserve">https://doi.org/10.1111/j.1475-4762.2007.00765.x</w:t>
        </w:r>
      </w:hyperlink>
    </w:p>
    <w:bookmarkEnd w:id="194"/>
    <w:bookmarkStart w:id="195"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195"/>
    <w:bookmarkStart w:id="196"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196"/>
    <w:bookmarkStart w:id="198"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197">
        <w:r>
          <w:rPr>
            <w:rStyle w:val="Hyperlink"/>
          </w:rPr>
          <w:t xml:space="preserve">https://www.R-project.org/</w:t>
        </w:r>
      </w:hyperlink>
    </w:p>
    <w:bookmarkEnd w:id="198"/>
    <w:bookmarkStart w:id="200"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199">
        <w:r>
          <w:rPr>
            <w:rStyle w:val="Hyperlink"/>
          </w:rPr>
          <w:t xml:space="preserve">https://www.rstudio.com/</w:t>
        </w:r>
      </w:hyperlink>
    </w:p>
    <w:bookmarkEnd w:id="200"/>
    <w:bookmarkStart w:id="202" w:name="ref-Teece1986"/>
    <w:p>
      <w:pPr>
        <w:pStyle w:val="Bibliografia"/>
      </w:pPr>
      <w:r>
        <w:t xml:space="preserve">Teece, D. J. (1986). Profiting from technological innovation: Implications for integration, collaboration, licensing and public policy.</w:t>
      </w:r>
      <w:r>
        <w:t xml:space="preserve"> </w:t>
      </w:r>
      <w:r>
        <w:rPr>
          <w:i/>
          <w:iCs/>
        </w:rPr>
        <w:t xml:space="preserve">Research Policy</w:t>
      </w:r>
      <w:r>
        <w:t xml:space="preserve">,</w:t>
      </w:r>
      <w:r>
        <w:t xml:space="preserve"> </w:t>
      </w:r>
      <w:r>
        <w:rPr>
          <w:i/>
          <w:iCs/>
        </w:rPr>
        <w:t xml:space="preserve">15</w:t>
      </w:r>
      <w:r>
        <w:t xml:space="preserve">(6), 285–305. https://doi.org/</w:t>
      </w:r>
      <w:hyperlink r:id="rId201">
        <w:r>
          <w:rPr>
            <w:rStyle w:val="Hyperlink"/>
          </w:rPr>
          <w:t xml:space="preserve">https://doi.org/10.1016/0048-7333(86)90027-2</w:t>
        </w:r>
      </w:hyperlink>
    </w:p>
    <w:bookmarkEnd w:id="202"/>
    <w:bookmarkStart w:id="204"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03">
        <w:r>
          <w:rPr>
            <w:rStyle w:val="Hyperlink"/>
          </w:rPr>
          <w:t xml:space="preserve">https://www.interregeurope.eu</w:t>
        </w:r>
      </w:hyperlink>
    </w:p>
    <w:bookmarkEnd w:id="204"/>
    <w:bookmarkStart w:id="205"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05"/>
    <w:bookmarkStart w:id="207"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06">
        <w:r>
          <w:rPr>
            <w:rStyle w:val="Hyperlink"/>
          </w:rPr>
          <w:t xml:space="preserve">https://doi.org/10.1111/j.1745-4565.2009.00188.x</w:t>
        </w:r>
      </w:hyperlink>
    </w:p>
    <w:bookmarkEnd w:id="207"/>
    <w:bookmarkStart w:id="209"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208">
        <w:r>
          <w:rPr>
            <w:rStyle w:val="Hyperlink"/>
          </w:rPr>
          <w:t xml:space="preserve">https://doi.org/10.1038/s41467-021-23102-2</w:t>
        </w:r>
      </w:hyperlink>
    </w:p>
    <w:bookmarkEnd w:id="209"/>
    <w:bookmarkStart w:id="211"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0">
        <w:r>
          <w:rPr>
            <w:rStyle w:val="Hyperlink"/>
          </w:rPr>
          <w:t xml:space="preserve">https://doi.org/10.1016/j.fochx.2025.103069</w:t>
        </w:r>
      </w:hyperlink>
    </w:p>
    <w:bookmarkEnd w:id="211"/>
    <w:bookmarkStart w:id="213"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12">
        <w:r>
          <w:rPr>
            <w:rStyle w:val="Hyperlink"/>
          </w:rPr>
          <w:t xml:space="preserve">https://doi.org/10.1155/2022/3832170</w:t>
        </w:r>
      </w:hyperlink>
    </w:p>
    <w:bookmarkEnd w:id="213"/>
    <w:bookmarkStart w:id="215" w:name="ref-Wickham2016"/>
    <w:p>
      <w:pPr>
        <w:pStyle w:val="Bibliografia"/>
      </w:pPr>
      <w:r>
        <w:t xml:space="preserve">Wickham, H. (2016).</w:t>
      </w:r>
      <w:r>
        <w:t xml:space="preserve"> </w:t>
      </w:r>
      <w:r>
        <w:rPr>
          <w:i/>
          <w:iCs/>
        </w:rPr>
        <w:t xml:space="preserve">ggplot2: Elegant Graphics for Data Analysis</w:t>
      </w:r>
      <w:r>
        <w:t xml:space="preserve">. Springer.</w:t>
      </w:r>
      <w:r>
        <w:t xml:space="preserve"> </w:t>
      </w:r>
      <w:hyperlink r:id="rId214">
        <w:r>
          <w:rPr>
            <w:rStyle w:val="Hyperlink"/>
          </w:rPr>
          <w:t xml:space="preserve">https://ggplot2.tidyverse.org</w:t>
        </w:r>
      </w:hyperlink>
    </w:p>
    <w:bookmarkEnd w:id="215"/>
    <w:bookmarkStart w:id="216"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16"/>
    <w:bookmarkStart w:id="218"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17">
        <w:r>
          <w:rPr>
            <w:rStyle w:val="Hyperlink"/>
          </w:rPr>
          <w:t xml:space="preserve">https://doi.org/10.1038/s41538-021-00100-8</w:t>
        </w:r>
      </w:hyperlink>
    </w:p>
    <w:bookmarkEnd w:id="218"/>
    <w:bookmarkStart w:id="220"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19">
        <w:r>
          <w:rPr>
            <w:rStyle w:val="Hyperlink"/>
          </w:rPr>
          <w:t xml:space="preserve">https://doi.org/10.3390/s23114958</w:t>
        </w:r>
      </w:hyperlink>
    </w:p>
    <w:bookmarkEnd w:id="220"/>
    <w:bookmarkStart w:id="222"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21">
        <w:r>
          <w:rPr>
            <w:rStyle w:val="Hyperlink"/>
          </w:rPr>
          <w:t xml:space="preserve">https://doi.org/10.1016/j.ijmedinf.2019.08.018</w:t>
        </w:r>
      </w:hyperlink>
    </w:p>
    <w:bookmarkEnd w:id="222"/>
    <w:bookmarkStart w:id="224"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23">
        <w:r>
          <w:rPr>
            <w:rStyle w:val="Hyperlink"/>
          </w:rPr>
          <w:t xml:space="preserve">https://doi.org/10.1109/TII.2021.3098700</w:t>
        </w:r>
      </w:hyperlink>
    </w:p>
    <w:bookmarkEnd w:id="224"/>
    <w:bookmarkStart w:id="226" w:name="ref-Zhang2024"/>
    <w:p>
      <w:pPr>
        <w:pStyle w:val="Bibliografia"/>
      </w:pPr>
      <w:r>
        <w:t xml:space="preserve">Zhang, Z. (2024). Rapid analysis technologies with chemometrics for food authenticity field: A review.</w:t>
      </w:r>
      <w:r>
        <w:t xml:space="preserve"> </w:t>
      </w:r>
      <w:r>
        <w:rPr>
          <w:i/>
          <w:iCs/>
        </w:rPr>
        <w:t xml:space="preserve">Curr Res Food Sci</w:t>
      </w:r>
      <w:r>
        <w:t xml:space="preserve">,</w:t>
      </w:r>
      <w:r>
        <w:t xml:space="preserve"> </w:t>
      </w:r>
      <w:r>
        <w:rPr>
          <w:i/>
          <w:iCs/>
        </w:rPr>
        <w:t xml:space="preserve">8</w:t>
      </w:r>
      <w:r>
        <w:t xml:space="preserve">, 100676.</w:t>
      </w:r>
      <w:r>
        <w:t xml:space="preserve"> </w:t>
      </w:r>
      <w:hyperlink r:id="rId225">
        <w:r>
          <w:rPr>
            <w:rStyle w:val="Hyperlink"/>
          </w:rPr>
          <w:t xml:space="preserve">https://doi.org/10.1016/j.crfs.2024.100676</w:t>
        </w:r>
      </w:hyperlink>
    </w:p>
    <w:bookmarkEnd w:id="226"/>
    <w:bookmarkStart w:id="228"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27">
        <w:r>
          <w:rPr>
            <w:rStyle w:val="Hyperlink"/>
          </w:rPr>
          <w:t xml:space="preserve">https://doi.org/10.3390/s22249678</w:t>
        </w:r>
      </w:hyperlink>
    </w:p>
    <w:bookmarkEnd w:id="228"/>
    <w:bookmarkEnd w:id="229"/>
    <w:bookmarkEnd w:id="230"/>
    <w:bookmarkEnd w:id="231"/>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hyperlink" Id="rId180" Target="http://ainfo.cnptia.embrapa.br/digital/bitstream/item/181677/1/SiBCS-2018-ISBN-9788570358172.epub" TargetMode="External" /><Relationship Type="http://schemas.openxmlformats.org/officeDocument/2006/relationships/hyperlink" Id="rId90" Target="http://www.planalto.gov.br/ccivil_03/_ato2004-2006/2004/lei/l10.973.htm" TargetMode="External" /><Relationship Type="http://schemas.openxmlformats.org/officeDocument/2006/relationships/hyperlink" Id="rId92" Target="http://www.planalto.gov.br/ccivil_03/_ato2015-2018/2016/lei/l13243.htm" TargetMode="External" /><Relationship Type="http://schemas.openxmlformats.org/officeDocument/2006/relationships/hyperlink" Id="rId94" Target="http://www.planalto.gov.br/ccivil_03/_ato2023-2026/2024/lei/l15068.htm" TargetMode="External" /><Relationship Type="http://schemas.openxmlformats.org/officeDocument/2006/relationships/hyperlink" Id="rId88" Target="http://www.planalto.gov.br/ccivil_03/leis/l9279.htm" TargetMode="External" /><Relationship Type="http://schemas.openxmlformats.org/officeDocument/2006/relationships/hyperlink" Id="rId140" Target="https://doi.org/10.1002/1520-6297(200022)16:3&lt;309::AID-AGR4&gt;3.0.CO;2-G" TargetMode="External" /><Relationship Type="http://schemas.openxmlformats.org/officeDocument/2006/relationships/hyperlink" Id="rId116" Target="https://doi.org/10.1002/vzj2.20035" TargetMode="External" /><Relationship Type="http://schemas.openxmlformats.org/officeDocument/2006/relationships/hyperlink" Id="rId75" Target="https://doi.org/10.1002/wics.1246" TargetMode="External" /><Relationship Type="http://schemas.openxmlformats.org/officeDocument/2006/relationships/hyperlink" Id="rId161" Target="https://doi.org/10.1007/s10462-024-10844-w" TargetMode="External" /><Relationship Type="http://schemas.openxmlformats.org/officeDocument/2006/relationships/hyperlink" Id="rId154" Target="https://doi.org/10.1007/s12161-024-02625-6" TargetMode="External" /><Relationship Type="http://schemas.openxmlformats.org/officeDocument/2006/relationships/hyperlink" Id="rId178" Target="https://doi.org/10.1007/s12161-025-02840-9" TargetMode="External" /><Relationship Type="http://schemas.openxmlformats.org/officeDocument/2006/relationships/hyperlink" Id="rId126" Target="https://doi.org/10.1007/s41060-024-00509-w" TargetMode="External" /><Relationship Type="http://schemas.openxmlformats.org/officeDocument/2006/relationships/hyperlink" Id="rId201" Target="https://doi.org/10.1016/0048-7333(86)90027-2" TargetMode="External" /><Relationship Type="http://schemas.openxmlformats.org/officeDocument/2006/relationships/hyperlink" Id="rId225" Target="https://doi.org/10.1016/j.crfs.2024.100676" TargetMode="External" /><Relationship Type="http://schemas.openxmlformats.org/officeDocument/2006/relationships/hyperlink" Id="rId108" Target="https://doi.org/10.1016/j.ecoinf.2021.101472" TargetMode="External" /><Relationship Type="http://schemas.openxmlformats.org/officeDocument/2006/relationships/hyperlink" Id="rId210" Target="https://doi.org/10.1016/j.fochx.2025.103069" TargetMode="External" /><Relationship Type="http://schemas.openxmlformats.org/officeDocument/2006/relationships/hyperlink" Id="rId165" Target="https://doi.org/10.1016/j.fochx.2025.103194" TargetMode="External" /><Relationship Type="http://schemas.openxmlformats.org/officeDocument/2006/relationships/hyperlink" Id="rId138" Target="https://doi.org/10.1016/j.foodchem.2021.130016" TargetMode="External" /><Relationship Type="http://schemas.openxmlformats.org/officeDocument/2006/relationships/hyperlink" Id="rId135" Target="https://doi.org/10.1016/j.foodchem.2024.142088" TargetMode="External" /><Relationship Type="http://schemas.openxmlformats.org/officeDocument/2006/relationships/hyperlink" Id="rId171" Target="https://doi.org/10.1016/j.foodchem.2025.144078" TargetMode="External" /><Relationship Type="http://schemas.openxmlformats.org/officeDocument/2006/relationships/hyperlink" Id="rId128" Target="https://doi.org/10.1016/j.foodchem.2025.145007" TargetMode="External" /><Relationship Type="http://schemas.openxmlformats.org/officeDocument/2006/relationships/hyperlink" Id="rId114" Target="https://doi.org/10.1016/j.heliyon.2024.e32297" TargetMode="External" /><Relationship Type="http://schemas.openxmlformats.org/officeDocument/2006/relationships/hyperlink" Id="rId221" Target="https://doi.org/10.1016/j.ijmedinf.2019.08.018" TargetMode="External" /><Relationship Type="http://schemas.openxmlformats.org/officeDocument/2006/relationships/hyperlink" Id="rId123" Target="https://doi.org/10.1016/j.jfca.2024.106668" TargetMode="External" /><Relationship Type="http://schemas.openxmlformats.org/officeDocument/2006/relationships/hyperlink" Id="rId175" Target="https://doi.org/10.1016/j.jfoodeng.2022.111378" TargetMode="External" /><Relationship Type="http://schemas.openxmlformats.org/officeDocument/2006/relationships/hyperlink" Id="rId156" Target="https://doi.org/10.1016/j.joi.2011.04.001" TargetMode="External" /><Relationship Type="http://schemas.openxmlformats.org/officeDocument/2006/relationships/hyperlink" Id="rId110" Target="https://doi.org/10.1016/j.jpa.2025.xxxxxx" TargetMode="External" /><Relationship Type="http://schemas.openxmlformats.org/officeDocument/2006/relationships/hyperlink" Id="rId158" Target="https://doi.org/10.1016/j.lwt.2024.115886" TargetMode="External" /><Relationship Type="http://schemas.openxmlformats.org/officeDocument/2006/relationships/hyperlink" Id="rId144" Target="https://doi.org/10.1016/j.tifs.2019.11.006" TargetMode="External" /><Relationship Type="http://schemas.openxmlformats.org/officeDocument/2006/relationships/hyperlink" Id="rId167" Target="https://doi.org/10.1016/j.tifs.2025.105405" TargetMode="External" /><Relationship Type="http://schemas.openxmlformats.org/officeDocument/2006/relationships/hyperlink" Id="rId77" Target="https://doi.org/10.1016/j.trac.2020.116140" TargetMode="External" /><Relationship Type="http://schemas.openxmlformats.org/officeDocument/2006/relationships/hyperlink" Id="rId208" Target="https://doi.org/10.1038/s41467-021-23102-2" TargetMode="External" /><Relationship Type="http://schemas.openxmlformats.org/officeDocument/2006/relationships/hyperlink" Id="rId217" Target="https://doi.org/10.1038/s41538-021-00100-8" TargetMode="External" /><Relationship Type="http://schemas.openxmlformats.org/officeDocument/2006/relationships/hyperlink" Id="rId104" Target="https://doi.org/10.1080/01621459.1979.10481038" TargetMode="External" /><Relationship Type="http://schemas.openxmlformats.org/officeDocument/2006/relationships/hyperlink" Id="rId142" Target="https://doi.org/10.1080/10618600.2022.2069777" TargetMode="External" /><Relationship Type="http://schemas.openxmlformats.org/officeDocument/2006/relationships/hyperlink" Id="rId86" Target="https://doi.org/10.1088/1742-5468/2008/10/P10008" TargetMode="External" /><Relationship Type="http://schemas.openxmlformats.org/officeDocument/2006/relationships/hyperlink" Id="rId112" Target="https://doi.org/10.1108/BFJ-12-2014-0392" TargetMode="External" /><Relationship Type="http://schemas.openxmlformats.org/officeDocument/2006/relationships/hyperlink" Id="rId121" Target="https://doi.org/10.1108/SCM-11-2020-0576" TargetMode="External" /><Relationship Type="http://schemas.openxmlformats.org/officeDocument/2006/relationships/hyperlink" Id="rId223" Target="https://doi.org/10.1109/TII.2021.3098700" TargetMode="External" /><Relationship Type="http://schemas.openxmlformats.org/officeDocument/2006/relationships/hyperlink" Id="rId133" Target="https://doi.org/10.1111/1541-4337.70082" TargetMode="External" /><Relationship Type="http://schemas.openxmlformats.org/officeDocument/2006/relationships/hyperlink" Id="rId193" Target="https://doi.org/10.1111/j.1475-4762.2007.00765.x" TargetMode="External" /><Relationship Type="http://schemas.openxmlformats.org/officeDocument/2006/relationships/hyperlink" Id="rId206" Target="https://doi.org/10.1111/j.1745-4565.2009.00188.x" TargetMode="External" /><Relationship Type="http://schemas.openxmlformats.org/officeDocument/2006/relationships/hyperlink" Id="rId212" Target="https://doi.org/10.1155/2022/3832170" TargetMode="External" /><Relationship Type="http://schemas.openxmlformats.org/officeDocument/2006/relationships/hyperlink" Id="rId184" Target="https://doi.org/10.1162/dint_a_00213" TargetMode="External" /><Relationship Type="http://schemas.openxmlformats.org/officeDocument/2006/relationships/hyperlink" Id="rId84" Target="https://doi.org/10.1177/014920639101700108" TargetMode="External" /><Relationship Type="http://schemas.openxmlformats.org/officeDocument/2006/relationships/hyperlink" Id="rId98" Target="https://doi.org/10.1186/s12911-021-01533-7" TargetMode="External" /><Relationship Type="http://schemas.openxmlformats.org/officeDocument/2006/relationships/hyperlink" Id="rId100" Target="https://doi.org/10.1186/s40537-020-00327-4" TargetMode="External" /><Relationship Type="http://schemas.openxmlformats.org/officeDocument/2006/relationships/hyperlink" Id="rId186" Target="https://doi.org/10.1213/ANE.0000000000002864" TargetMode="External" /><Relationship Type="http://schemas.openxmlformats.org/officeDocument/2006/relationships/hyperlink" Id="rId102" Target="https://doi.org/10.1371/journal.pone.0299905" TargetMode="External" /><Relationship Type="http://schemas.openxmlformats.org/officeDocument/2006/relationships/hyperlink" Id="rId82" Target="https://doi.org/10.1590/1982-7849rac2016150315" TargetMode="External" /><Relationship Type="http://schemas.openxmlformats.org/officeDocument/2006/relationships/hyperlink" Id="rId188" Target="https://doi.org/10.21105/joss.02341" TargetMode="External" /><Relationship Type="http://schemas.openxmlformats.org/officeDocument/2006/relationships/hyperlink" Id="rId173" Target="https://doi.org/10.2174/1386207324666210309102239" TargetMode="External" /><Relationship Type="http://schemas.openxmlformats.org/officeDocument/2006/relationships/hyperlink" Id="rId190" Target="https://doi.org/10.2307/1412159" TargetMode="External" /><Relationship Type="http://schemas.openxmlformats.org/officeDocument/2006/relationships/hyperlink" Id="rId151" Target="https://doi.org/10.3390/foods13020243" TargetMode="External" /><Relationship Type="http://schemas.openxmlformats.org/officeDocument/2006/relationships/hyperlink" Id="rId227" Target="https://doi.org/10.3390/s22249678" TargetMode="External" /><Relationship Type="http://schemas.openxmlformats.org/officeDocument/2006/relationships/hyperlink" Id="rId169" Target="https://doi.org/10.3390/s23094527" TargetMode="External" /><Relationship Type="http://schemas.openxmlformats.org/officeDocument/2006/relationships/hyperlink" Id="rId219" Target="https://doi.org/10.3390/s23114958" TargetMode="External" /><Relationship Type="http://schemas.openxmlformats.org/officeDocument/2006/relationships/hyperlink" Id="rId79" Target="https://doi.org/10.3390/su14042420" TargetMode="External" /><Relationship Type="http://schemas.openxmlformats.org/officeDocument/2006/relationships/hyperlink" Id="rId118" Target="https://doi.org/10.5281/zenodo.1234567" TargetMode="External" /><Relationship Type="http://schemas.openxmlformats.org/officeDocument/2006/relationships/hyperlink" Id="rId182" Target="https://doi.org/10.9771/cp.v12i1.27215" TargetMode="External" /><Relationship Type="http://schemas.openxmlformats.org/officeDocument/2006/relationships/hyperlink" Id="rId214" Target="https://ggplot2.tidyverse.org" TargetMode="External" /><Relationship Type="http://schemas.openxmlformats.org/officeDocument/2006/relationships/hyperlink" Id="rId106" Target="https://igraph.org" TargetMode="External" /><Relationship Type="http://schemas.openxmlformats.org/officeDocument/2006/relationships/hyperlink" Id="rId146" Target="https://papers.nips.cc/paper/7062-a-unified-approach-to-interpreting-model-predictions.pdf" TargetMode="External" /><Relationship Type="http://schemas.openxmlformats.org/officeDocument/2006/relationships/hyperlink" Id="rId197" Target="https://www.R-project.org/" TargetMode="External" /><Relationship Type="http://schemas.openxmlformats.org/officeDocument/2006/relationships/hyperlink" Id="rId96" Target="https://www.codevasf.gov.br/noticias/2014/artesanato-faz-parte-da-identidade-sociocultural-do-baixo-sao-francisco-sergipano-e-gera-renda-para-populacao-local" TargetMode="External" /><Relationship Type="http://schemas.openxmlformats.org/officeDocument/2006/relationships/hyperlink" Id="rId149" Target="https://www.gov.br/agricultura/pt-br/assuntos/sustentabilidade/indicacao-geografica/o-que-e-indicacao-geografica-ig" TargetMode="External" /><Relationship Type="http://schemas.openxmlformats.org/officeDocument/2006/relationships/hyperlink" Id="rId203" Target="https://www.interregeurope.eu" TargetMode="External" /><Relationship Type="http://schemas.openxmlformats.org/officeDocument/2006/relationships/hyperlink" Id="rId131" Target="https://www.jstatsoft.org/v25/i01/" TargetMode="External" /><Relationship Type="http://schemas.openxmlformats.org/officeDocument/2006/relationships/hyperlink" Id="rId199" Target="https://www.rstudio.com/" TargetMode="External" /><Relationship Type="http://schemas.openxmlformats.org/officeDocument/2006/relationships/hyperlink" Id="rId163" Target="https://www.wipo.int/" TargetMode="External" /></Relationships>
</file>

<file path=word/_rels/footnotes.xml.rels><?xml version="1.0" encoding="UTF-8"?><Relationships xmlns="http://schemas.openxmlformats.org/package/2006/relationships"><Relationship Type="http://schemas.openxmlformats.org/officeDocument/2006/relationships/hyperlink" Id="rId180" Target="http://ainfo.cnptia.embrapa.br/digital/bitstream/item/181677/1/SiBCS-2018-ISBN-9788570358172.epub" TargetMode="External" /><Relationship Type="http://schemas.openxmlformats.org/officeDocument/2006/relationships/hyperlink" Id="rId90" Target="http://www.planalto.gov.br/ccivil_03/_ato2004-2006/2004/lei/l10.973.htm" TargetMode="External" /><Relationship Type="http://schemas.openxmlformats.org/officeDocument/2006/relationships/hyperlink" Id="rId92" Target="http://www.planalto.gov.br/ccivil_03/_ato2015-2018/2016/lei/l13243.htm" TargetMode="External" /><Relationship Type="http://schemas.openxmlformats.org/officeDocument/2006/relationships/hyperlink" Id="rId94" Target="http://www.planalto.gov.br/ccivil_03/_ato2023-2026/2024/lei/l15068.htm" TargetMode="External" /><Relationship Type="http://schemas.openxmlformats.org/officeDocument/2006/relationships/hyperlink" Id="rId88" Target="http://www.planalto.gov.br/ccivil_03/leis/l9279.htm" TargetMode="External" /><Relationship Type="http://schemas.openxmlformats.org/officeDocument/2006/relationships/hyperlink" Id="rId140" Target="https://doi.org/10.1002/1520-6297(200022)16:3&lt;309::AID-AGR4&gt;3.0.CO;2-G" TargetMode="External" /><Relationship Type="http://schemas.openxmlformats.org/officeDocument/2006/relationships/hyperlink" Id="rId116" Target="https://doi.org/10.1002/vzj2.20035" TargetMode="External" /><Relationship Type="http://schemas.openxmlformats.org/officeDocument/2006/relationships/hyperlink" Id="rId75" Target="https://doi.org/10.1002/wics.1246" TargetMode="External" /><Relationship Type="http://schemas.openxmlformats.org/officeDocument/2006/relationships/hyperlink" Id="rId161" Target="https://doi.org/10.1007/s10462-024-10844-w" TargetMode="External" /><Relationship Type="http://schemas.openxmlformats.org/officeDocument/2006/relationships/hyperlink" Id="rId154" Target="https://doi.org/10.1007/s12161-024-02625-6" TargetMode="External" /><Relationship Type="http://schemas.openxmlformats.org/officeDocument/2006/relationships/hyperlink" Id="rId178" Target="https://doi.org/10.1007/s12161-025-02840-9" TargetMode="External" /><Relationship Type="http://schemas.openxmlformats.org/officeDocument/2006/relationships/hyperlink" Id="rId126" Target="https://doi.org/10.1007/s41060-024-00509-w" TargetMode="External" /><Relationship Type="http://schemas.openxmlformats.org/officeDocument/2006/relationships/hyperlink" Id="rId201" Target="https://doi.org/10.1016/0048-7333(86)90027-2" TargetMode="External" /><Relationship Type="http://schemas.openxmlformats.org/officeDocument/2006/relationships/hyperlink" Id="rId225" Target="https://doi.org/10.1016/j.crfs.2024.100676" TargetMode="External" /><Relationship Type="http://schemas.openxmlformats.org/officeDocument/2006/relationships/hyperlink" Id="rId108" Target="https://doi.org/10.1016/j.ecoinf.2021.101472" TargetMode="External" /><Relationship Type="http://schemas.openxmlformats.org/officeDocument/2006/relationships/hyperlink" Id="rId210" Target="https://doi.org/10.1016/j.fochx.2025.103069" TargetMode="External" /><Relationship Type="http://schemas.openxmlformats.org/officeDocument/2006/relationships/hyperlink" Id="rId165" Target="https://doi.org/10.1016/j.fochx.2025.103194" TargetMode="External" /><Relationship Type="http://schemas.openxmlformats.org/officeDocument/2006/relationships/hyperlink" Id="rId138" Target="https://doi.org/10.1016/j.foodchem.2021.130016" TargetMode="External" /><Relationship Type="http://schemas.openxmlformats.org/officeDocument/2006/relationships/hyperlink" Id="rId135" Target="https://doi.org/10.1016/j.foodchem.2024.142088" TargetMode="External" /><Relationship Type="http://schemas.openxmlformats.org/officeDocument/2006/relationships/hyperlink" Id="rId171" Target="https://doi.org/10.1016/j.foodchem.2025.144078" TargetMode="External" /><Relationship Type="http://schemas.openxmlformats.org/officeDocument/2006/relationships/hyperlink" Id="rId128" Target="https://doi.org/10.1016/j.foodchem.2025.145007" TargetMode="External" /><Relationship Type="http://schemas.openxmlformats.org/officeDocument/2006/relationships/hyperlink" Id="rId114" Target="https://doi.org/10.1016/j.heliyon.2024.e32297" TargetMode="External" /><Relationship Type="http://schemas.openxmlformats.org/officeDocument/2006/relationships/hyperlink" Id="rId221" Target="https://doi.org/10.1016/j.ijmedinf.2019.08.018" TargetMode="External" /><Relationship Type="http://schemas.openxmlformats.org/officeDocument/2006/relationships/hyperlink" Id="rId123" Target="https://doi.org/10.1016/j.jfca.2024.106668" TargetMode="External" /><Relationship Type="http://schemas.openxmlformats.org/officeDocument/2006/relationships/hyperlink" Id="rId175" Target="https://doi.org/10.1016/j.jfoodeng.2022.111378" TargetMode="External" /><Relationship Type="http://schemas.openxmlformats.org/officeDocument/2006/relationships/hyperlink" Id="rId156" Target="https://doi.org/10.1016/j.joi.2011.04.001" TargetMode="External" /><Relationship Type="http://schemas.openxmlformats.org/officeDocument/2006/relationships/hyperlink" Id="rId110" Target="https://doi.org/10.1016/j.jpa.2025.xxxxxx" TargetMode="External" /><Relationship Type="http://schemas.openxmlformats.org/officeDocument/2006/relationships/hyperlink" Id="rId158" Target="https://doi.org/10.1016/j.lwt.2024.115886" TargetMode="External" /><Relationship Type="http://schemas.openxmlformats.org/officeDocument/2006/relationships/hyperlink" Id="rId144" Target="https://doi.org/10.1016/j.tifs.2019.11.006" TargetMode="External" /><Relationship Type="http://schemas.openxmlformats.org/officeDocument/2006/relationships/hyperlink" Id="rId167" Target="https://doi.org/10.1016/j.tifs.2025.105405" TargetMode="External" /><Relationship Type="http://schemas.openxmlformats.org/officeDocument/2006/relationships/hyperlink" Id="rId77" Target="https://doi.org/10.1016/j.trac.2020.116140" TargetMode="External" /><Relationship Type="http://schemas.openxmlformats.org/officeDocument/2006/relationships/hyperlink" Id="rId208" Target="https://doi.org/10.1038/s41467-021-23102-2" TargetMode="External" /><Relationship Type="http://schemas.openxmlformats.org/officeDocument/2006/relationships/hyperlink" Id="rId217" Target="https://doi.org/10.1038/s41538-021-00100-8" TargetMode="External" /><Relationship Type="http://schemas.openxmlformats.org/officeDocument/2006/relationships/hyperlink" Id="rId104" Target="https://doi.org/10.1080/01621459.1979.10481038" TargetMode="External" /><Relationship Type="http://schemas.openxmlformats.org/officeDocument/2006/relationships/hyperlink" Id="rId142" Target="https://doi.org/10.1080/10618600.2022.2069777" TargetMode="External" /><Relationship Type="http://schemas.openxmlformats.org/officeDocument/2006/relationships/hyperlink" Id="rId86" Target="https://doi.org/10.1088/1742-5468/2008/10/P10008" TargetMode="External" /><Relationship Type="http://schemas.openxmlformats.org/officeDocument/2006/relationships/hyperlink" Id="rId112" Target="https://doi.org/10.1108/BFJ-12-2014-0392" TargetMode="External" /><Relationship Type="http://schemas.openxmlformats.org/officeDocument/2006/relationships/hyperlink" Id="rId121" Target="https://doi.org/10.1108/SCM-11-2020-0576" TargetMode="External" /><Relationship Type="http://schemas.openxmlformats.org/officeDocument/2006/relationships/hyperlink" Id="rId223" Target="https://doi.org/10.1109/TII.2021.3098700" TargetMode="External" /><Relationship Type="http://schemas.openxmlformats.org/officeDocument/2006/relationships/hyperlink" Id="rId133" Target="https://doi.org/10.1111/1541-4337.70082" TargetMode="External" /><Relationship Type="http://schemas.openxmlformats.org/officeDocument/2006/relationships/hyperlink" Id="rId193" Target="https://doi.org/10.1111/j.1475-4762.2007.00765.x" TargetMode="External" /><Relationship Type="http://schemas.openxmlformats.org/officeDocument/2006/relationships/hyperlink" Id="rId206" Target="https://doi.org/10.1111/j.1745-4565.2009.00188.x" TargetMode="External" /><Relationship Type="http://schemas.openxmlformats.org/officeDocument/2006/relationships/hyperlink" Id="rId212" Target="https://doi.org/10.1155/2022/3832170" TargetMode="External" /><Relationship Type="http://schemas.openxmlformats.org/officeDocument/2006/relationships/hyperlink" Id="rId184" Target="https://doi.org/10.1162/dint_a_00213" TargetMode="External" /><Relationship Type="http://schemas.openxmlformats.org/officeDocument/2006/relationships/hyperlink" Id="rId84" Target="https://doi.org/10.1177/014920639101700108" TargetMode="External" /><Relationship Type="http://schemas.openxmlformats.org/officeDocument/2006/relationships/hyperlink" Id="rId98" Target="https://doi.org/10.1186/s12911-021-01533-7" TargetMode="External" /><Relationship Type="http://schemas.openxmlformats.org/officeDocument/2006/relationships/hyperlink" Id="rId100" Target="https://doi.org/10.1186/s40537-020-00327-4" TargetMode="External" /><Relationship Type="http://schemas.openxmlformats.org/officeDocument/2006/relationships/hyperlink" Id="rId186" Target="https://doi.org/10.1213/ANE.0000000000002864" TargetMode="External" /><Relationship Type="http://schemas.openxmlformats.org/officeDocument/2006/relationships/hyperlink" Id="rId102" Target="https://doi.org/10.1371/journal.pone.0299905" TargetMode="External" /><Relationship Type="http://schemas.openxmlformats.org/officeDocument/2006/relationships/hyperlink" Id="rId82" Target="https://doi.org/10.1590/1982-7849rac2016150315" TargetMode="External" /><Relationship Type="http://schemas.openxmlformats.org/officeDocument/2006/relationships/hyperlink" Id="rId188" Target="https://doi.org/10.21105/joss.02341" TargetMode="External" /><Relationship Type="http://schemas.openxmlformats.org/officeDocument/2006/relationships/hyperlink" Id="rId173" Target="https://doi.org/10.2174/1386207324666210309102239" TargetMode="External" /><Relationship Type="http://schemas.openxmlformats.org/officeDocument/2006/relationships/hyperlink" Id="rId190" Target="https://doi.org/10.2307/1412159" TargetMode="External" /><Relationship Type="http://schemas.openxmlformats.org/officeDocument/2006/relationships/hyperlink" Id="rId151" Target="https://doi.org/10.3390/foods13020243" TargetMode="External" /><Relationship Type="http://schemas.openxmlformats.org/officeDocument/2006/relationships/hyperlink" Id="rId227" Target="https://doi.org/10.3390/s22249678" TargetMode="External" /><Relationship Type="http://schemas.openxmlformats.org/officeDocument/2006/relationships/hyperlink" Id="rId169" Target="https://doi.org/10.3390/s23094527" TargetMode="External" /><Relationship Type="http://schemas.openxmlformats.org/officeDocument/2006/relationships/hyperlink" Id="rId219" Target="https://doi.org/10.3390/s23114958" TargetMode="External" /><Relationship Type="http://schemas.openxmlformats.org/officeDocument/2006/relationships/hyperlink" Id="rId79" Target="https://doi.org/10.3390/su14042420" TargetMode="External" /><Relationship Type="http://schemas.openxmlformats.org/officeDocument/2006/relationships/hyperlink" Id="rId118" Target="https://doi.org/10.5281/zenodo.1234567" TargetMode="External" /><Relationship Type="http://schemas.openxmlformats.org/officeDocument/2006/relationships/hyperlink" Id="rId182" Target="https://doi.org/10.9771/cp.v12i1.27215" TargetMode="External" /><Relationship Type="http://schemas.openxmlformats.org/officeDocument/2006/relationships/hyperlink" Id="rId214" Target="https://ggplot2.tidyverse.org" TargetMode="External" /><Relationship Type="http://schemas.openxmlformats.org/officeDocument/2006/relationships/hyperlink" Id="rId106" Target="https://igraph.org" TargetMode="External" /><Relationship Type="http://schemas.openxmlformats.org/officeDocument/2006/relationships/hyperlink" Id="rId146" Target="https://papers.nips.cc/paper/7062-a-unified-approach-to-interpreting-model-predictions.pdf" TargetMode="External" /><Relationship Type="http://schemas.openxmlformats.org/officeDocument/2006/relationships/hyperlink" Id="rId197" Target="https://www.R-project.org/" TargetMode="External" /><Relationship Type="http://schemas.openxmlformats.org/officeDocument/2006/relationships/hyperlink" Id="rId96" Target="https://www.codevasf.gov.br/noticias/2014/artesanato-faz-parte-da-identidade-sociocultural-do-baixo-sao-francisco-sergipano-e-gera-renda-para-populacao-local" TargetMode="External" /><Relationship Type="http://schemas.openxmlformats.org/officeDocument/2006/relationships/hyperlink" Id="rId149" Target="https://www.gov.br/agricultura/pt-br/assuntos/sustentabilidade/indicacao-geografica/o-que-e-indicacao-geografica-ig" TargetMode="External" /><Relationship Type="http://schemas.openxmlformats.org/officeDocument/2006/relationships/hyperlink" Id="rId203" Target="https://www.interregeurope.eu" TargetMode="External" /><Relationship Type="http://schemas.openxmlformats.org/officeDocument/2006/relationships/hyperlink" Id="rId131" Target="https://www.jstatsoft.org/v25/i01/" TargetMode="External" /><Relationship Type="http://schemas.openxmlformats.org/officeDocument/2006/relationships/hyperlink" Id="rId199" Target="https://www.rstudio.com/" TargetMode="External" /><Relationship Type="http://schemas.openxmlformats.org/officeDocument/2006/relationships/hyperlink" Id="rId163" Target="https://www.wipo.int/"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2025-11-16T18:40:04Z</dcterms:created>
  <dcterms:modified xsi:type="dcterms:W3CDTF">2025-11-16T18:40:04Z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