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28.png" ContentType="image/png"/>
  <Override PartName="/word/media/rId43.png" ContentType="image/png"/>
  <Override PartName="/word/media/rId16.jpg" ContentType="image/jpeg"/>
  <Override PartName="/word/media/rId11.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Impact of Land-Use Change on Soil Nitrogen Stocks and Humic Fractions in Brazilian Cerrado Oxisols</w:t>
      </w:r>
    </w:p>
    <w:p>
      <w:pPr>
        <w:pStyle w:val="Author"/>
      </w:pPr>
      <w:r>
        <w:t xml:space="preserve">Luiz Diego Vidal Santos</w:t>
      </w:r>
    </w:p>
    <w:p>
      <w:pPr>
        <w:pStyle w:val="Date"/>
      </w:pPr>
      <w:r>
        <w:t xml:space="preserve">April 26, 2026</w:t>
      </w:r>
    </w:p>
    <w:bookmarkStart w:id="9" w:name="abstract"/>
    <w:p>
      <w:pPr>
        <w:pStyle w:val="Heading2"/>
      </w:pPr>
      <w:r>
        <w:t xml:space="preserve">Abstract</w:t>
      </w:r>
    </w:p>
    <w:p>
      <w:pPr>
        <w:pStyle w:val="FirstParagraph"/>
      </w:pPr>
      <w:r>
        <w:t xml:space="preserve">The conversion of natural ecosystems into agricultural and silvicultural systems reshapes organomineral stabilization dynamics and, consequently, nitrogen (N) and phosphorus (P) stocks in Cerrado Oxisols. This study proposes the Fuzzy Soil Nutritional Sustainability Index (FSNSI) as a decision-support tool that integrates chemical capital, expressed as N and P stocks, and physical constraint, expressed as soil bulk density, into a scalable metric for the production phase within a life-cycle sustainability assessment. Compositional partitioning indicated the dominance of humic fractions relative to total N, with a median humic contribution of 76.0% and a low contribution of labile fractions, with a median of 12.18%, supporting a retention regime controlled by persistent reservoirs. Native vegetation showed the highest humic contribution, with a median of 82.0%, and the lowest residual fraction (4.96%), whereas agriculture system showed reduced humic contribution (median 73.0%) and increased residual fraction (17.15%), suggesting greater allocation of mass to compartments not recovered by the operational extractions. Forest plantations showed a median total nitrogen stock per layer of 1.362 Mg ha⁻¹, approximately 21.2% higher than native Cerrado, while maintaining a humic-dominated stabilization regime. The FSNSI discriminated among land uses, with adjusted means ranking in decreasing order as Eucalyptus (6.07), Mahogany (4.54), Cerrado (4.42), Agriculture (4.25), and Teak (2.77), indicating that functional performance was highest when continuous organic inputs occurred without recurrent mechanical disturbance and lowest when biochemical impedance restricted nutrient cycling. The results suggest that the co-stabilization of N and P in humic fractions, modulated by soil physical integrity, is a central mechanism sustaining nutrient functionality in highly weathered tropical environments. The FSNSI provides an integrated metric to guide interventions, prioritization, and routine environmental monitoring and assessment in land-management programs.</w:t>
      </w:r>
    </w:p>
    <w:p>
      <w:pPr>
        <w:pStyle w:val="BodyText"/>
      </w:pPr>
      <w:r>
        <w:rPr>
          <w:b/>
          <w:bCs/>
        </w:rPr>
        <w:t xml:space="preserve">Keywords:</w:t>
      </w:r>
      <w:r>
        <w:t xml:space="preserve"> </w:t>
      </w:r>
      <w:r>
        <w:t xml:space="preserve">Soil nitrogen; Soil quality indicator; Environmental monitoring and assessment; Humic fractions; Land-use change; Oxisols.</w:t>
      </w:r>
    </w:p>
    <w:p>
      <w:pPr>
        <w:pStyle w:val="BodyText"/>
      </w:pPr>
      <w:r>
        <w:rPr>
          <w:b/>
          <w:bCs/>
        </w:rPr>
        <w:t xml:space="preserve">Highlights</w:t>
      </w:r>
    </w:p>
    <w:p>
      <w:pPr>
        <w:pStyle w:val="Compact"/>
        <w:numPr>
          <w:ilvl w:val="0"/>
          <w:numId w:val="1001"/>
        </w:numPr>
      </w:pPr>
      <w:r>
        <w:t xml:space="preserve">Land-use conversion in the Cerrado altered N distribution among humic fractions</w:t>
      </w:r>
    </w:p>
    <w:p>
      <w:pPr>
        <w:pStyle w:val="Compact"/>
        <w:numPr>
          <w:ilvl w:val="0"/>
          <w:numId w:val="1001"/>
        </w:numPr>
      </w:pPr>
      <w:r>
        <w:t xml:space="preserve">Humic fractions retained 76.0% of total N across land-use systems</w:t>
      </w:r>
    </w:p>
    <w:p>
      <w:pPr>
        <w:pStyle w:val="Compact"/>
        <w:numPr>
          <w:ilvl w:val="0"/>
          <w:numId w:val="1001"/>
        </w:numPr>
      </w:pPr>
      <w:r>
        <w:t xml:space="preserve">Forest plantations increased total N stocks by 21.2% relative to native Cerrado</w:t>
      </w:r>
    </w:p>
    <w:p>
      <w:pPr>
        <w:pStyle w:val="Compact"/>
        <w:numPr>
          <w:ilvl w:val="0"/>
          <w:numId w:val="1001"/>
        </w:numPr>
      </w:pPr>
      <w:r>
        <w:t xml:space="preserve">FSNSI ranked Eucalyptus highest and Teak lowest among five land uses</w:t>
      </w:r>
    </w:p>
    <w:p>
      <w:pPr>
        <w:pStyle w:val="Compact"/>
        <w:numPr>
          <w:ilvl w:val="0"/>
          <w:numId w:val="1001"/>
        </w:numPr>
      </w:pPr>
      <w:r>
        <w:t xml:space="preserve">Co-stabilization of N and P in humic pools drives soil nutritional functionality</w:t>
      </w:r>
    </w:p>
    <w:bookmarkEnd w:id="9"/>
    <w:bookmarkStart w:id="10" w:name="introduction"/>
    <w:p>
      <w:pPr>
        <w:pStyle w:val="Heading1"/>
      </w:pPr>
      <w:r>
        <w:t xml:space="preserve">1. Introduction</w:t>
      </w:r>
    </w:p>
    <w:p>
      <w:pPr>
        <w:pStyle w:val="FirstParagraph"/>
      </w:pPr>
      <w:r>
        <w:t xml:space="preserve">Tropical soils are complex and dynamic biogeochemical systems in which soil organic matter (SOM) plays a central role in regulating nutrient cycling, structural aggregation, and fertility maintenance</w:t>
      </w:r>
      <w:r>
        <w:t xml:space="preserve"> </w:t>
      </w:r>
      <w:r>
        <w:t xml:space="preserve">(Lal 2020; Lavallee et al. 2020)</w:t>
      </w:r>
      <w:r>
        <w:t xml:space="preserve">. The conversion of native ecosystems into agricultural and silvicultural areas alters the input and quality of organic residues, accelerates decomposition, and reduces the formation of stable humic compounds</w:t>
      </w:r>
      <w:r>
        <w:t xml:space="preserve"> </w:t>
      </w:r>
      <w:r>
        <w:t xml:space="preserve">(Carvalho et al. 2023)</w:t>
      </w:r>
      <w:r>
        <w:t xml:space="preserve">. This transformation decreases nitrogen (N) and phosphorus (P) stocks, thereby compromising nutrient cycling and soil resilience</w:t>
      </w:r>
      <w:r>
        <w:t xml:space="preserve"> </w:t>
      </w:r>
      <w:r>
        <w:t xml:space="preserve">(Tivet et al. 2013; Silva et al. 2024)</w:t>
      </w:r>
      <w:r>
        <w:t xml:space="preserve">.</w:t>
      </w:r>
    </w:p>
    <w:p>
      <w:pPr>
        <w:pStyle w:val="BodyText"/>
      </w:pPr>
      <w:r>
        <w:t xml:space="preserve">In the Cerrado biome, a global biodiversity hotspot, these impacts are particularly critical because its highly weathered, acidic, and naturally nutrient-poor soils depend on the stability of humic SOM fractions to maintain ecological and productive functions</w:t>
      </w:r>
      <w:r>
        <w:t xml:space="preserve"> </w:t>
      </w:r>
      <w:r>
        <w:t xml:space="preserve">(Locatelli et al. 2023)</w:t>
      </w:r>
      <w:r>
        <w:t xml:space="preserve">. Humic substances, such as humic acids (HA), fulvic acids (FA), and humin (Hum), act as nutrient reservoirs that regulate water retention and the formation of stable aggregates</w:t>
      </w:r>
      <w:r>
        <w:t xml:space="preserve"> </w:t>
      </w:r>
      <w:r>
        <w:t xml:space="preserve">(Lehmann and Kleber 2015; Paul 2016)</w:t>
      </w:r>
      <w:r>
        <w:t xml:space="preserve">. Through adsorption, complexation, and biological immobilization, these fractions stabilize N and P, reduce nutrient losses, and promote their persistence in the soil system</w:t>
      </w:r>
      <w:r>
        <w:t xml:space="preserve"> </w:t>
      </w:r>
      <w:r>
        <w:t xml:space="preserve">(Gerke 2022; Carvalho et al. 2023)</w:t>
      </w:r>
      <w:r>
        <w:t xml:space="preserve">.</w:t>
      </w:r>
    </w:p>
    <w:p>
      <w:pPr>
        <w:pStyle w:val="BodyText"/>
      </w:pPr>
      <w:r>
        <w:t xml:space="preserve">Although classical humification has historically underpinned interpretations of SOM persistence, the soil continuum model challenges the view of humic substances as discrete macromolecular entities. Instead, it proposes a progressive decomposition continuum in which persistence is an ecosystem property governed by mineral association, spatial inaccessibility, and microbial processing rather than by intrinsic molecular recalcitrance</w:t>
      </w:r>
      <w:r>
        <w:t xml:space="preserve"> </w:t>
      </w:r>
      <w:r>
        <w:t xml:space="preserve">(Lehmann and Kleber 2015; Lavallee et al. 2020;</w:t>
      </w:r>
      <w:r>
        <w:t xml:space="preserve"> </w:t>
      </w:r>
      <w:r>
        <w:t xml:space="preserve">Cotrufo et al.</w:t>
      </w:r>
      <w:r>
        <w:t xml:space="preserve"> </w:t>
      </w:r>
      <w:r>
        <w:t xml:space="preserve">2021)</w:t>
      </w:r>
      <w:r>
        <w:t xml:space="preserve">. Mineral–organic associations, particularly those involving Fe and Al oxyhydroxides abundant in tropical Oxisols, may stabilize organic compounds through ligand exchange, cation bridging, and co-precipitation, thereby reducing enzymatic access and prolonging residence time regardless of the biochemical class of the sorbed material</w:t>
      </w:r>
      <w:r>
        <w:t xml:space="preserve"> </w:t>
      </w:r>
      <w:r>
        <w:t xml:space="preserve">(</w:t>
      </w:r>
      <w:r>
        <w:t xml:space="preserve">Kleber et al.</w:t>
      </w:r>
      <w:r>
        <w:t xml:space="preserve"> </w:t>
      </w:r>
      <w:r>
        <w:t xml:space="preserve">2015;</w:t>
      </w:r>
      <w:r>
        <w:t xml:space="preserve"> </w:t>
      </w:r>
      <w:r>
        <w:t xml:space="preserve">Kallenbach et al.</w:t>
      </w:r>
      <w:r>
        <w:t xml:space="preserve"> </w:t>
      </w:r>
      <w:r>
        <w:t xml:space="preserve">2016)</w:t>
      </w:r>
      <w:r>
        <w:t xml:space="preserve">.</w:t>
      </w:r>
    </w:p>
    <w:p>
      <w:pPr>
        <w:pStyle w:val="BodyText"/>
      </w:pPr>
      <w:r>
        <w:t xml:space="preserve">Within this evolving paradigm, the alkaline–acid fractionation protocol used here, based on the IHSS method, is retained as an operational analytical partition that tracks the distribution of N and P across functionally distinct solubility pools, rather than as an assumption that the extracted fractions correspond to chemically homogeneous macromolecules. This operational approach remains widely adopted in tropical soil studies because it provides reproducible and cost-effective separation of pools with contrasting turnover times. Its results can be interpreted within either the classical or the continuum framework, provided that causal claims are constrained by independent structural evidence</w:t>
      </w:r>
      <w:r>
        <w:t xml:space="preserve"> </w:t>
      </w:r>
      <w:r>
        <w:t xml:space="preserve">(</w:t>
      </w:r>
      <w:r>
        <w:t xml:space="preserve">Marschner et al.</w:t>
      </w:r>
      <w:r>
        <w:t xml:space="preserve"> </w:t>
      </w:r>
      <w:r>
        <w:t xml:space="preserve">2008; Paul 2016)</w:t>
      </w:r>
      <w:r>
        <w:t xml:space="preserve">. In the present study, mechanistic inferences are therefore anchored in convergent evidence from compositional partitioning, partial least square regression (PLSR) structure, and partial least squares structural equation modeling (PLS-SEM) path coefficients, rather than derived from the fractionation scheme alone.</w:t>
      </w:r>
    </w:p>
    <w:p>
      <w:pPr>
        <w:pStyle w:val="BodyText"/>
      </w:pPr>
      <w:r>
        <w:t xml:space="preserve">Recent studies in tropical and highly weathered soils have increasingly focused on the biogeochemical coupling between N and P and their co-stabilization in SOM</w:t>
      </w:r>
      <w:r>
        <w:t xml:space="preserve"> </w:t>
      </w:r>
      <w:r>
        <w:t xml:space="preserve">(Cao et al. 2021; Junior et al. 2021; Gerke 2022)</w:t>
      </w:r>
      <w:r>
        <w:t xml:space="preserve">. Evidence indicates that these nutrients are co-regulated by interdependent decomposition, humification, and organomineral protection processes. Mechanisms such as incorporation into microbial biomass, competition for adsorption sites, complex formation with humic substances, and physical co-occlusion in microaggregates stabilize N and P, protecting them from rapid mineralization and promoting their persistence</w:t>
      </w:r>
      <w:r>
        <w:t xml:space="preserve"> </w:t>
      </w:r>
      <w:r>
        <w:t xml:space="preserve">(Cao et al. 2021; Gerke 2022)</w:t>
      </w:r>
      <w:r>
        <w:t xml:space="preserve">. These interactions indicate that disturbances in one nutrient cycle induce stoichiometric imbalances that affect the use efficiency of the other, thereby compromising SOM stability and soil sustainability</w:t>
      </w:r>
      <w:r>
        <w:t xml:space="preserve"> </w:t>
      </w:r>
      <w:r>
        <w:t xml:space="preserve">(Junior et al. 2021)</w:t>
      </w:r>
      <w:r>
        <w:t xml:space="preserve">. Nonetheless, most studies still treat N and P separately and overlook their structural and functional interrelations.</w:t>
      </w:r>
    </w:p>
    <w:p>
      <w:pPr>
        <w:pStyle w:val="BodyText"/>
      </w:pPr>
      <w:r>
        <w:t xml:space="preserve">Agricultural intensification and conventional tillage reduce particulate organic matter, disrupt organomineral complexes, increase bulk density, and decrease porosity</w:t>
      </w:r>
      <w:r>
        <w:t xml:space="preserve"> </w:t>
      </w:r>
      <w:r>
        <w:t xml:space="preserve">(Robinson et al. 2022)</w:t>
      </w:r>
      <w:r>
        <w:t xml:space="preserve">. These physical effects restrict gas diffusion, water infiltration, and microbial activity, which compromises nutrient cycling and the co-stabilization of N and P</w:t>
      </w:r>
      <w:r>
        <w:t xml:space="preserve"> </w:t>
      </w:r>
      <w:r>
        <w:t xml:space="preserve">(Vogel et al. 2018)</w:t>
      </w:r>
      <w:r>
        <w:t xml:space="preserve">. Physical degradation, expressed as increased bulk density, thus limits soil functionality and interacts with biogeochemical processes, affecting sustainability at multiple scales</w:t>
      </w:r>
      <w:r>
        <w:t xml:space="preserve"> </w:t>
      </w:r>
      <w:r>
        <w:t xml:space="preserve">(Novak et al. 2019; Wagai et al. 2020)</w:t>
      </w:r>
      <w:r>
        <w:t xml:space="preserve">.</w:t>
      </w:r>
    </w:p>
    <w:p>
      <w:pPr>
        <w:pStyle w:val="BodyText"/>
      </w:pPr>
      <w:r>
        <w:t xml:space="preserve">Despite these advances in the understanding of edaphic processes, a critical methodological gap remains regarding sustainability indicators that are simultaneously robust, capable of handling nonlinearity and uncertainty, and suitable for integration into broader sustainability-assessment frameworks</w:t>
      </w:r>
      <w:r>
        <w:t xml:space="preserve"> </w:t>
      </w:r>
      <w:r>
        <w:t xml:space="preserve">(Ros et al. 2022)</w:t>
      </w:r>
      <w:r>
        <w:t xml:space="preserve">. Traditional fertility or soil-quality indicators are often reductionist, unidimensional, or difficult to interpret outside the soil-science domain</w:t>
      </w:r>
      <w:r>
        <w:t xml:space="preserve"> </w:t>
      </w:r>
      <w:r>
        <w:t xml:space="preserve">(Vogel et al. 2018)</w:t>
      </w:r>
      <w:r>
        <w:t xml:space="preserve">. To inform life-cycle sustainability assessment and supply-chain decisions, metrics are needed that translate soil complexity into an aggregated and scalable index</w:t>
      </w:r>
      <w:r>
        <w:t xml:space="preserve"> </w:t>
      </w:r>
      <w:r>
        <w:t xml:space="preserve">(Greiner et al. 2018)</w:t>
      </w:r>
      <w:r>
        <w:t xml:space="preserve">.</w:t>
      </w:r>
    </w:p>
    <w:p>
      <w:pPr>
        <w:pStyle w:val="BodyText"/>
      </w:pPr>
      <w:r>
        <w:t xml:space="preserve">Recent modeling advances have enabled the integration of multiple soil attributes to investigate these relationships. PLS-SEM can identify hypothesized relationships among soil compartments by quantifying direct and indirect effects of variables such as bulk density and humic fractions on N and P stocks, thereby revealing the pathways through which organic and mineral phases may control nutrient retention</w:t>
      </w:r>
      <w:r>
        <w:t xml:space="preserve"> </w:t>
      </w:r>
      <w:r>
        <w:t xml:space="preserve">(Hair Jr. et al. 2021)</w:t>
      </w:r>
      <w:r>
        <w:t xml:space="preserve">.</w:t>
      </w:r>
    </w:p>
    <w:p>
      <w:pPr>
        <w:pStyle w:val="BodyText"/>
      </w:pPr>
      <w:r>
        <w:t xml:space="preserve">Fuzzy inference systems (FIS) use membership functions to represent continuous and nonlinear soil responses as degrees of membership in qualitative categories, such as low, medium, or high functionality. This approach translates multiple chemical and physical input variables, including N and P fractions and bulk density, into a single aggregated index without imposing rigid categorical thresholds</w:t>
      </w:r>
      <w:r>
        <w:t xml:space="preserve"> </w:t>
      </w:r>
      <w:r>
        <w:t xml:space="preserve">(Mamdani 1977; Reis et al. 2023)</w:t>
      </w:r>
      <w:r>
        <w:t xml:space="preserve">. The combination of PLS-SEM and fuzzy inference supports composite indicators such as the Fuzzy Soil Nutritional Sustainability Index (FSNSI), which synthesizes biogeochemical functionality under different land uses</w:t>
      </w:r>
      <w:r>
        <w:t xml:space="preserve"> </w:t>
      </w:r>
      <w:r>
        <w:t xml:space="preserve">(Reis et al. 2023; Suganya et al. 2024)</w:t>
      </w:r>
      <w:r>
        <w:t xml:space="preserve">.</w:t>
      </w:r>
    </w:p>
    <w:p>
      <w:pPr>
        <w:pStyle w:val="BodyText"/>
      </w:pPr>
      <w:r>
        <w:t xml:space="preserve">Based on this context, this study tests the hypothesis that nutrient stabilization in Cerrado Oxisols is primarily controlled by the balance between humic retention and labile turnover, while bulk density mediates this balance by modifying the intensity of biogeochemical fluxes. Under this mechanism, native vegetation is expected to maintain stronger N and P co-stabilization in humic fractions, whereas managed systems are expected to show greater allocation to labile and residual compartments and weaker coupling between nutrient cycles. This expectation is consistent with evidence that long-term organic-P accumulation in undisturbed soils is governed by humic retention</w:t>
      </w:r>
      <w:r>
        <w:t xml:space="preserve"> </w:t>
      </w:r>
      <w:r>
        <w:t xml:space="preserve">(Yang and Post 2011)</w:t>
      </w:r>
      <w:r>
        <w:t xml:space="preserve">, that N stabilization in persistent SOM pools depends on the balance between litter quality and microbial processing</w:t>
      </w:r>
      <w:r>
        <w:t xml:space="preserve"> </w:t>
      </w:r>
      <w:r>
        <w:t xml:space="preserve">(Jensen and Schjønning 2020)</w:t>
      </w:r>
      <w:r>
        <w:t xml:space="preserve">, and that land-use conversion disrupts the organomineral protection of both nutrients</w:t>
      </w:r>
      <w:r>
        <w:t xml:space="preserve"> </w:t>
      </w:r>
      <w:r>
        <w:t xml:space="preserve">(García et al. 2016)</w:t>
      </w:r>
      <w:r>
        <w:t xml:space="preserve">.</w:t>
      </w:r>
    </w:p>
    <w:p>
      <w:pPr>
        <w:pStyle w:val="BodyText"/>
      </w:pPr>
      <w:r>
        <w:t xml:space="preserve">Five representative land-use systems on the same Oxisol substrate in the Brazilian Cerrado were selected to test this hypothesis. These systems included preserved native savanna vegetation, Cerrado sensu stricto, used as the reference area; three monoculture forest plantations (</w:t>
      </w:r>
      <w:r>
        <w:rPr>
          <w:i/>
          <w:iCs/>
        </w:rPr>
        <w:t xml:space="preserve">Eucalyptus</w:t>
      </w:r>
      <w:r>
        <w:t xml:space="preserve"> </w:t>
      </w:r>
      <w:r>
        <w:t xml:space="preserve">sp.,</w:t>
      </w:r>
      <w:r>
        <w:t xml:space="preserve"> </w:t>
      </w:r>
      <w:r>
        <w:rPr>
          <w:i/>
          <w:iCs/>
        </w:rPr>
        <w:t xml:space="preserve">Khaya ivorensis</w:t>
      </w:r>
      <w:r>
        <w:t xml:space="preserve">, and</w:t>
      </w:r>
      <w:r>
        <w:t xml:space="preserve"> </w:t>
      </w:r>
      <w:r>
        <w:rPr>
          <w:i/>
          <w:iCs/>
        </w:rPr>
        <w:t xml:space="preserve">Tectona grandis</w:t>
      </w:r>
      <w:r>
        <w:t xml:space="preserve">); and conventional agriculture. Together, these systems span a gradient of post-conversion management intensity characteristic of the region.</w:t>
      </w:r>
    </w:p>
    <w:p>
      <w:pPr>
        <w:pStyle w:val="BodyText"/>
      </w:pPr>
      <w:r>
        <w:t xml:space="preserve">Within this framework, FSNSI is proposed as a relevant solution</w:t>
      </w:r>
      <w:r>
        <w:t xml:space="preserve"> </w:t>
      </w:r>
      <w:r>
        <w:t xml:space="preserve">(Ros et al. 2022)</w:t>
      </w:r>
      <w:r>
        <w:t xml:space="preserve">, synthesizing N and P dynamics with physical degradation metrics to simultaneously diagnose local sustainability while providing an aggregated quantitative indicator for the production phase within a life-cycle thinking perspective</w:t>
      </w:r>
      <w:r>
        <w:t xml:space="preserve"> </w:t>
      </w:r>
      <w:r>
        <w:t xml:space="preserve">(Powlson et al. 2011; De Laurentiis et al. 2019)</w:t>
      </w:r>
      <w:r>
        <w:t xml:space="preserve">. Soil functionality quantified in this manner becomes an input for life-cycle sustainability assessment and supports decision-making in land management</w:t>
      </w:r>
      <w:r>
        <w:t xml:space="preserve"> </w:t>
      </w:r>
      <w:r>
        <w:t xml:space="preserve">(Jha et al. 2025)</w:t>
      </w:r>
      <w:r>
        <w:t xml:space="preserve">. Its coupling with GIS layers can also support the spatial prioritization of management interventions and the identification of functional-risk hotspots for environmental monitoring and assessment</w:t>
      </w:r>
      <w:r>
        <w:t xml:space="preserve"> </w:t>
      </w:r>
      <w:r>
        <w:t xml:space="preserve">(Yang et al. 2025)</w:t>
      </w:r>
      <w:r>
        <w:t xml:space="preserve">. Therefore, this study aimed to evaluate the functional dynamics of N and P in humic and labile soil fractions under these five land uses and to propose and validate an integrated analytical framework, combining PLSR, PLS-SEM, and FSNSI, to diagnose soil nutritional sustainability.</w:t>
      </w:r>
    </w:p>
    <w:bookmarkEnd w:id="10"/>
    <w:bookmarkStart w:id="27" w:name="materials-and-methods"/>
    <w:p>
      <w:pPr>
        <w:pStyle w:val="Heading1"/>
      </w:pPr>
      <w:r>
        <w:t xml:space="preserve">2. Materials and Methods</w:t>
      </w:r>
    </w:p>
    <w:bookmarkStart w:id="15" w:name="study-area"/>
    <w:p>
      <w:pPr>
        <w:pStyle w:val="Heading2"/>
      </w:pPr>
      <w:r>
        <w:t xml:space="preserve">2.1 Study area</w:t>
      </w:r>
    </w:p>
    <w:p>
      <w:pPr>
        <w:pStyle w:val="FirstParagraph"/>
      </w:pPr>
      <w:r>
        <w:t xml:space="preserve">The study was conducted in the municipality of São Valério, Tocantins, Brazil, in a total area of 53.23 ha, located at 11°54’37” S and 48°12’31” W (Figure 1). The elevation is approximately 360 m. The regional climate is seasonal tropical, classified as Aw according to the Köppen system</w:t>
      </w:r>
      <w:r>
        <w:t xml:space="preserve"> </w:t>
      </w:r>
      <w:r>
        <w:t xml:space="preserve">(Thornthwaite 1948)</w:t>
      </w:r>
      <w:r>
        <w:t xml:space="preserve">, with a rainy summer from October to April and a dry winter from May to September. Mean annual precipitation is approximately 1,480 mm, and mean monthly temperatures vary slightly throughout the year, with mean daily values around 27 °C, minima of 21–24 °C, and maxima between 30 and 35 °C</w:t>
      </w:r>
      <w:r>
        <w:t xml:space="preserve"> </w:t>
      </w:r>
      <w:r>
        <w:t xml:space="preserve">(</w:t>
      </w:r>
      <w:r>
        <w:t xml:space="preserve">Santos et al.</w:t>
      </w:r>
      <w:r>
        <w:t xml:space="preserve"> </w:t>
      </w:r>
      <w:r>
        <w:t xml:space="preserve">2025)</w:t>
      </w:r>
      <w:r>
        <w:t xml:space="preserve">. The relief is predominantly gently undulating, typical of the Cerrado biome, and the soils are mainly well-drained Red-Yellow Oxisols with low natural chemical fertility associated with low available phosphorus and strong aluminum influence</w:t>
      </w:r>
      <w:r>
        <w:t xml:space="preserve"> </w:t>
      </w:r>
      <w:r>
        <w:t xml:space="preserve">(</w:t>
      </w:r>
      <w:r>
        <w:t xml:space="preserve">Santos et al.</w:t>
      </w:r>
      <w:r>
        <w:t xml:space="preserve"> </w:t>
      </w:r>
      <w:r>
        <w:t xml:space="preserve">2025)</w:t>
      </w:r>
      <w:r>
        <w:t xml:space="preserve">.</w:t>
      </w:r>
    </w:p>
    <w:bookmarkStart w:id="14" w:name="fig:1"/>
    <w:p>
      <w:pPr>
        <w:pStyle w:val="CaptionedFigure"/>
      </w:pPr>
      <w:r>
        <w:drawing>
          <wp:inline>
            <wp:extent cx="3733800" cy="2587633"/>
            <wp:effectExtent b="0" l="0" r="0" t="0"/>
            <wp:docPr descr="Figure 1 - Location of the study site and land-use systems." title="" id="12" name="Picture"/>
            <a:graphic>
              <a:graphicData uri="http://schemas.openxmlformats.org/drawingml/2006/picture">
                <pic:pic>
                  <pic:nvPicPr>
                    <pic:cNvPr descr="../../../2-FIGURAS/mapa_area.png" id="13" name="Picture"/>
                    <pic:cNvPicPr>
                      <a:picLocks noChangeArrowheads="1" noChangeAspect="1"/>
                    </pic:cNvPicPr>
                  </pic:nvPicPr>
                  <pic:blipFill>
                    <a:blip r:embed="rId11"/>
                    <a:stretch>
                      <a:fillRect/>
                    </a:stretch>
                  </pic:blipFill>
                  <pic:spPr bwMode="auto">
                    <a:xfrm>
                      <a:off x="0" y="0"/>
                      <a:ext cx="3733800" cy="2587633"/>
                    </a:xfrm>
                    <a:prstGeom prst="rect">
                      <a:avLst/>
                    </a:prstGeom>
                    <a:noFill/>
                    <a:ln w="9525">
                      <a:noFill/>
                      <a:headEnd/>
                      <a:tailEnd/>
                    </a:ln>
                  </pic:spPr>
                </pic:pic>
              </a:graphicData>
            </a:graphic>
          </wp:inline>
        </w:drawing>
      </w:r>
    </w:p>
    <w:p>
      <w:pPr>
        <w:pStyle w:val="ImageCaption"/>
      </w:pPr>
      <w:r>
        <w:t xml:space="preserve">Figure 1 - Location of the study site and land-use systems.</w:t>
      </w:r>
    </w:p>
    <w:bookmarkEnd w:id="14"/>
    <w:bookmarkEnd w:id="15"/>
    <w:bookmarkStart w:id="20" w:name="characteristics-of-the-land-use-systems"/>
    <w:p>
      <w:pPr>
        <w:pStyle w:val="Heading2"/>
      </w:pPr>
      <w:r>
        <w:t xml:space="preserve">2.2 Characteristics of the land-use systems</w:t>
      </w:r>
    </w:p>
    <w:p>
      <w:pPr>
        <w:pStyle w:val="FirstParagraph"/>
      </w:pPr>
      <w:r>
        <w:t xml:space="preserve">The preserved Cerrado sensu stricto area (Figure 2a), used as the control, covers 44.82 ha, has been preserved for more than 40 years, and is located at 11°54’57’’ S and 48°11’59’’ W. The vegetation exhibits a dense Cerrado physiognomy, with trees ranging from 5 to 8 m in height and considerable structural variation among Cerrado physiognomies</w:t>
      </w:r>
      <w:r>
        <w:t xml:space="preserve"> </w:t>
      </w:r>
      <w:r>
        <w:t xml:space="preserve">(Lacerda et al. 2025)</w:t>
      </w:r>
      <w:r>
        <w:t xml:space="preserve">. A vegetation survey was conducted to calculate phytosociological parameters, including Relative Density (RD), Relative Dominance (RDM), Relative Frequency (RF), and the Importance Value Index (IVI)</w:t>
      </w:r>
      <w:r>
        <w:t xml:space="preserve"> </w:t>
      </w:r>
      <w:r>
        <w:t xml:space="preserve">(Queiroz et al. 2017)</w:t>
      </w:r>
      <w:r>
        <w:t xml:space="preserve"> </w:t>
      </w:r>
      <w:r>
        <w:t xml:space="preserve">(Appendix 1).</w:t>
      </w:r>
    </w:p>
    <w:bookmarkStart w:id="19" w:name="fig:2"/>
    <w:p>
      <w:pPr>
        <w:pStyle w:val="CaptionedFigure"/>
      </w:pPr>
      <w:r>
        <w:drawing>
          <wp:inline>
            <wp:extent cx="4800600" cy="3276535"/>
            <wp:effectExtent b="0" l="0" r="0" t="0"/>
            <wp:docPr descr="Figure 2 - Land-use systems. Composite image: (a) Cerrado sensu stricto (preserved native vegetation); (b) eucalyptus (Eucalyptus sp.); (c) African mahogany (Khaya ivorensis); (d) teak (Tectona grandis); (e) agriculture (soybean/corn rotation)." title="" id="17" name="Picture"/>
            <a:graphic>
              <a:graphicData uri="http://schemas.openxmlformats.org/drawingml/2006/picture">
                <pic:pic>
                  <pic:nvPicPr>
                    <pic:cNvPr descr="../../../2-FIGURAS/fig_2.jpg" id="18" name="Picture"/>
                    <pic:cNvPicPr>
                      <a:picLocks noChangeArrowheads="1" noChangeAspect="1"/>
                    </pic:cNvPicPr>
                  </pic:nvPicPr>
                  <pic:blipFill>
                    <a:blip r:embed="rId16"/>
                    <a:stretch>
                      <a:fillRect/>
                    </a:stretch>
                  </pic:blipFill>
                  <pic:spPr bwMode="auto">
                    <a:xfrm>
                      <a:off x="0" y="0"/>
                      <a:ext cx="4800600" cy="3276535"/>
                    </a:xfrm>
                    <a:prstGeom prst="rect">
                      <a:avLst/>
                    </a:prstGeom>
                    <a:noFill/>
                    <a:ln w="9525">
                      <a:noFill/>
                      <a:headEnd/>
                      <a:tailEnd/>
                    </a:ln>
                  </pic:spPr>
                </pic:pic>
              </a:graphicData>
            </a:graphic>
          </wp:inline>
        </w:drawing>
      </w:r>
    </w:p>
    <w:p>
      <w:pPr>
        <w:pStyle w:val="ImageCaption"/>
      </w:pPr>
      <w:r>
        <w:t xml:space="preserve">Figure 2 - Land-use systems. Composite image: (a) Cerrado sensu stricto (preserved native vegetation); (b) eucalyptus (</w:t>
      </w:r>
      <w:r>
        <w:rPr>
          <w:i/>
          <w:iCs/>
        </w:rPr>
        <w:t xml:space="preserve">Eucalyptus</w:t>
      </w:r>
      <w:r>
        <w:t xml:space="preserve"> </w:t>
      </w:r>
      <w:r>
        <w:t xml:space="preserve">sp.); (c) African mahogany (</w:t>
      </w:r>
      <w:r>
        <w:rPr>
          <w:i/>
          <w:iCs/>
        </w:rPr>
        <w:t xml:space="preserve">Khaya ivorensis</w:t>
      </w:r>
      <w:r>
        <w:t xml:space="preserve">); (d) teak (</w:t>
      </w:r>
      <w:r>
        <w:rPr>
          <w:i/>
          <w:iCs/>
        </w:rPr>
        <w:t xml:space="preserve">Tectona grandis</w:t>
      </w:r>
      <w:r>
        <w:t xml:space="preserve">); (e) agriculture (soybean/corn rotation).</w:t>
      </w:r>
    </w:p>
    <w:bookmarkEnd w:id="19"/>
    <w:p>
      <w:pPr>
        <w:pStyle w:val="BodyText"/>
      </w:pPr>
      <w:r>
        <w:t xml:space="preserve">To improve clarity and reproducibility, the main management characteristics of each land-use system are summarized in Table 1.</w:t>
      </w:r>
    </w:p>
    <w:p>
      <w:pPr>
        <w:pStyle w:val="BodyText"/>
      </w:pPr>
      <w:r>
        <w:rPr>
          <w:b/>
          <w:bCs/>
        </w:rPr>
        <w:t xml:space="preserve">Table 1. Stand age, soil preparation, planting density, and fertilization regimes by land-use system.</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Land-use situation</w:t>
            </w:r>
          </w:p>
        </w:tc>
        <w:tc>
          <w:tcPr/>
          <w:p>
            <w:pPr>
              <w:pStyle w:val="Compact"/>
            </w:pPr>
            <w:r>
              <w:t xml:space="preserve">Area</w:t>
            </w:r>
          </w:p>
        </w:tc>
        <w:tc>
          <w:tcPr/>
          <w:p>
            <w:pPr>
              <w:pStyle w:val="Compact"/>
            </w:pPr>
            <w:r>
              <w:t xml:space="preserve">Stand age</w:t>
            </w:r>
          </w:p>
        </w:tc>
        <w:tc>
          <w:tcPr/>
          <w:p>
            <w:pPr>
              <w:pStyle w:val="Compact"/>
            </w:pPr>
            <w:r>
              <w:t xml:space="preserve">Soil preparation / operations</w:t>
            </w:r>
          </w:p>
        </w:tc>
        <w:tc>
          <w:tcPr/>
          <w:p>
            <w:pPr>
              <w:pStyle w:val="Compact"/>
            </w:pPr>
            <w:r>
              <w:t xml:space="preserve">Planting density / spacing</w:t>
            </w:r>
          </w:p>
        </w:tc>
        <w:tc>
          <w:tcPr/>
          <w:p>
            <w:pPr>
              <w:pStyle w:val="Compact"/>
            </w:pPr>
            <w:r>
              <w:t xml:space="preserve">Fertilization / amendments (as described)</w:t>
            </w:r>
          </w:p>
        </w:tc>
      </w:tr>
      <w:tr>
        <w:tc>
          <w:tcPr/>
          <w:p>
            <w:pPr>
              <w:pStyle w:val="Compact"/>
            </w:pPr>
            <w:r>
              <w:t xml:space="preserve">Cerrado sensu stricto (control)</w:t>
            </w:r>
          </w:p>
        </w:tc>
        <w:tc>
          <w:tcPr/>
          <w:p>
            <w:pPr>
              <w:pStyle w:val="Compact"/>
            </w:pPr>
            <w:r>
              <w:t xml:space="preserve">44.82 ha</w:t>
            </w:r>
          </w:p>
        </w:tc>
        <w:tc>
          <w:tcPr/>
          <w:p>
            <w:pPr>
              <w:pStyle w:val="Compact"/>
            </w:pPr>
            <w:r>
              <w:t xml:space="preserve">&gt; 40 years</w:t>
            </w:r>
          </w:p>
        </w:tc>
        <w:tc>
          <w:tcPr/>
          <w:p>
            <w:pPr>
              <w:pStyle w:val="Compact"/>
            </w:pPr>
            <w:r>
              <w:t xml:space="preserve">Preserved native vegetation</w:t>
            </w:r>
          </w:p>
        </w:tc>
        <w:tc>
          <w:tcPr/>
          <w:p>
            <w:pPr>
              <w:pStyle w:val="Compact"/>
            </w:pPr>
            <w:r>
              <w:t xml:space="preserve">-</w:t>
            </w:r>
          </w:p>
        </w:tc>
        <w:tc>
          <w:tcPr/>
          <w:p>
            <w:pPr>
              <w:pStyle w:val="Compact"/>
            </w:pPr>
            <w:r>
              <w:t xml:space="preserve">-</w:t>
            </w:r>
          </w:p>
        </w:tc>
      </w:tr>
      <w:tr>
        <w:tc>
          <w:tcPr/>
          <w:p>
            <w:pPr>
              <w:pStyle w:val="Compact"/>
            </w:pPr>
            <w:r>
              <w:t xml:space="preserve">Eucalyptus (</w:t>
            </w:r>
            <w:r>
              <w:rPr>
                <w:i/>
                <w:iCs/>
              </w:rPr>
              <w:t xml:space="preserve">Eucalyptus</w:t>
            </w:r>
            <w:r>
              <w:t xml:space="preserve"> </w:t>
            </w:r>
            <w:r>
              <w:t xml:space="preserve">sp.)</w:t>
            </w:r>
          </w:p>
        </w:tc>
        <w:tc>
          <w:tcPr/>
          <w:p>
            <w:pPr>
              <w:pStyle w:val="Compact"/>
            </w:pPr>
            <w:r>
              <w:t xml:space="preserve">2.29 ha</w:t>
            </w:r>
          </w:p>
        </w:tc>
        <w:tc>
          <w:tcPr/>
          <w:p>
            <w:pPr>
              <w:pStyle w:val="Compact"/>
            </w:pPr>
            <w:r>
              <w:t xml:space="preserve">5 years</w:t>
            </w:r>
          </w:p>
        </w:tc>
        <w:tc>
          <w:tcPr/>
          <w:p>
            <w:pPr>
              <w:pStyle w:val="Compact"/>
            </w:pPr>
            <w:r>
              <w:t xml:space="preserve">Clearing with crawler tractor blade; plowing and harrowing</w:t>
            </w:r>
          </w:p>
        </w:tc>
        <w:tc>
          <w:tcPr/>
          <w:p>
            <w:pPr>
              <w:pStyle w:val="Compact"/>
            </w:pPr>
            <w:r>
              <w:t xml:space="preserve">~1,667 seedlings ha⁻¹ (3 × 2 m)</w:t>
            </w:r>
          </w:p>
        </w:tc>
        <w:tc>
          <w:tcPr/>
          <w:p>
            <w:pPr>
              <w:pStyle w:val="Compact"/>
            </w:pPr>
            <w:r>
              <w:t xml:space="preserve">NPK 5-25-15; base amendments with Ca, Zn, S, Cu, and B</w:t>
            </w:r>
            <w:r>
              <w:t xml:space="preserve"> </w:t>
            </w:r>
            <w:r>
              <w:t xml:space="preserve">(Boudiar et al. 2022; Vera et al. 2022)</w:t>
            </w:r>
          </w:p>
        </w:tc>
      </w:tr>
      <w:tr>
        <w:tc>
          <w:tcPr/>
          <w:p>
            <w:pPr>
              <w:pStyle w:val="Compact"/>
            </w:pPr>
            <w:r>
              <w:t xml:space="preserve">African mahogany (</w:t>
            </w:r>
            <w:r>
              <w:rPr>
                <w:i/>
                <w:iCs/>
              </w:rPr>
              <w:t xml:space="preserve">K. ivorensis</w:t>
            </w:r>
            <w:r>
              <w:t xml:space="preserve">)</w:t>
            </w:r>
          </w:p>
        </w:tc>
        <w:tc>
          <w:tcPr/>
          <w:p>
            <w:pPr>
              <w:pStyle w:val="Compact"/>
            </w:pPr>
            <w:r>
              <w:t xml:space="preserve">1.94 ha</w:t>
            </w:r>
          </w:p>
        </w:tc>
        <w:tc>
          <w:tcPr/>
          <w:p>
            <w:pPr>
              <w:pStyle w:val="Compact"/>
            </w:pPr>
            <w:r>
              <w:t xml:space="preserve">7 years</w:t>
            </w:r>
          </w:p>
        </w:tc>
        <w:tc>
          <w:tcPr/>
          <w:p>
            <w:pPr>
              <w:pStyle w:val="Compact"/>
            </w:pPr>
            <w:r>
              <w:t xml:space="preserve">Clearing; plowing and harrowing</w:t>
            </w:r>
          </w:p>
        </w:tc>
        <w:tc>
          <w:tcPr/>
          <w:p>
            <w:pPr>
              <w:pStyle w:val="Compact"/>
            </w:pPr>
            <w:r>
              <w:t xml:space="preserve">1,111 seedlings ha⁻¹ (3 × 3 m; thinned to 6 × 6 m)</w:t>
            </w:r>
          </w:p>
        </w:tc>
        <w:tc>
          <w:tcPr/>
          <w:p>
            <w:pPr>
              <w:pStyle w:val="Compact"/>
            </w:pPr>
            <w:r>
              <w:t xml:space="preserve">NPK 00-10-10 and cattle manure per pit; repeated applications in year 1</w:t>
            </w:r>
            <w:r>
              <w:t xml:space="preserve"> </w:t>
            </w:r>
            <w:r>
              <w:t xml:space="preserve">(Lima et al. 2023; Lucena et al. 2024)</w:t>
            </w:r>
          </w:p>
        </w:tc>
      </w:tr>
      <w:tr>
        <w:tc>
          <w:tcPr/>
          <w:p>
            <w:pPr>
              <w:pStyle w:val="Compact"/>
            </w:pPr>
            <w:r>
              <w:t xml:space="preserve">Teak (</w:t>
            </w:r>
            <w:r>
              <w:rPr>
                <w:i/>
                <w:iCs/>
              </w:rPr>
              <w:t xml:space="preserve">T. grandis</w:t>
            </w:r>
            <w:r>
              <w:t xml:space="preserve">)</w:t>
            </w:r>
          </w:p>
        </w:tc>
        <w:tc>
          <w:tcPr/>
          <w:p>
            <w:pPr>
              <w:pStyle w:val="Compact"/>
            </w:pPr>
            <w:r>
              <w:t xml:space="preserve">1.12 ha</w:t>
            </w:r>
          </w:p>
        </w:tc>
        <w:tc>
          <w:tcPr/>
          <w:p>
            <w:pPr>
              <w:pStyle w:val="Compact"/>
            </w:pPr>
            <w:r>
              <w:t xml:space="preserve">10 years</w:t>
            </w:r>
          </w:p>
        </w:tc>
        <w:tc>
          <w:tcPr/>
          <w:p>
            <w:pPr>
              <w:pStyle w:val="Compact"/>
            </w:pPr>
            <w:r>
              <w:t xml:space="preserve">Clearing; plowing and harrowing</w:t>
            </w:r>
          </w:p>
        </w:tc>
        <w:tc>
          <w:tcPr/>
          <w:p>
            <w:pPr>
              <w:pStyle w:val="Compact"/>
            </w:pPr>
            <w:r>
              <w:t xml:space="preserve">1,667 seedlings ha⁻¹ (3 × 2 m)</w:t>
            </w:r>
          </w:p>
        </w:tc>
        <w:tc>
          <w:tcPr/>
          <w:p>
            <w:pPr>
              <w:pStyle w:val="Compact"/>
            </w:pPr>
            <w:r>
              <w:t xml:space="preserve">NPK 20-05-20 top dressings in year 1</w:t>
            </w:r>
            <w:r>
              <w:t xml:space="preserve"> </w:t>
            </w:r>
            <w:r>
              <w:t xml:space="preserve">(Vieira et al. 2017; Lima et al. 2023)</w:t>
            </w:r>
          </w:p>
        </w:tc>
      </w:tr>
      <w:tr>
        <w:tc>
          <w:tcPr/>
          <w:p>
            <w:pPr>
              <w:pStyle w:val="Compact"/>
            </w:pPr>
            <w:r>
              <w:t xml:space="preserve">Agriculture (soybean/corn rotation)</w:t>
            </w:r>
          </w:p>
        </w:tc>
        <w:tc>
          <w:tcPr/>
          <w:p>
            <w:pPr>
              <w:pStyle w:val="Compact"/>
            </w:pPr>
            <w:r>
              <w:t xml:space="preserve">3.06 ha</w:t>
            </w:r>
          </w:p>
        </w:tc>
        <w:tc>
          <w:tcPr/>
          <w:p>
            <w:pPr>
              <w:pStyle w:val="Compact"/>
            </w:pPr>
            <w:r>
              <w:t xml:space="preserve">&gt; 10 years</w:t>
            </w:r>
          </w:p>
        </w:tc>
        <w:tc>
          <w:tcPr/>
          <w:p>
            <w:pPr>
              <w:pStyle w:val="Compact"/>
            </w:pPr>
            <w:r>
              <w:t xml:space="preserve">Tillage and seedbed operations (harrowing, leveling, furrowing)</w:t>
            </w:r>
          </w:p>
        </w:tc>
        <w:tc>
          <w:tcPr/>
          <w:p>
            <w:pPr>
              <w:pStyle w:val="Compact"/>
            </w:pPr>
            <w:r>
              <w:t xml:space="preserve">Crop-dependent spacing</w:t>
            </w:r>
          </w:p>
        </w:tc>
        <w:tc>
          <w:tcPr/>
          <w:p>
            <w:pPr>
              <w:pStyle w:val="Compact"/>
            </w:pPr>
            <w:r>
              <w:t xml:space="preserve">NPK 4-28-10 (soybean phase) and 4-14-18 + N rates (corn phase)</w:t>
            </w:r>
            <w:r>
              <w:t xml:space="preserve"> </w:t>
            </w:r>
            <w:r>
              <w:t xml:space="preserve">(Camargo et al. 2024; Machado et al. 2024)</w:t>
            </w:r>
          </w:p>
        </w:tc>
      </w:tr>
    </w:tbl>
    <w:p>
      <w:pPr>
        <w:pStyle w:val="BodyText"/>
      </w:pPr>
      <w:r>
        <w:t xml:space="preserve">All managed areas were converted from native Cerrado vegetation at different times, resulting in stand ages ranging from 5 years for Eucalyptus to more than 10 years for Agriculture, as detailed in Table 1. Because synchronous conversion was not feasible within the farm’s operational history, the sampling design followed a space-for-time substitution approach, in which each land-use system represents a distinct post-conversion trajectory sampled at a single point in time. None of the three plantation species (</w:t>
      </w:r>
      <w:r>
        <w:rPr>
          <w:i/>
          <w:iCs/>
        </w:rPr>
        <w:t xml:space="preserve">Eucalyptus</w:t>
      </w:r>
      <w:r>
        <w:t xml:space="preserve"> </w:t>
      </w:r>
      <w:r>
        <w:t xml:space="preserve">sp.,</w:t>
      </w:r>
      <w:r>
        <w:t xml:space="preserve"> </w:t>
      </w:r>
      <w:r>
        <w:rPr>
          <w:i/>
          <w:iCs/>
        </w:rPr>
        <w:t xml:space="preserve">Khaya ivorensis</w:t>
      </w:r>
      <w:r>
        <w:t xml:space="preserve">, and</w:t>
      </w:r>
      <w:r>
        <w:t xml:space="preserve"> </w:t>
      </w:r>
      <w:r>
        <w:rPr>
          <w:i/>
          <w:iCs/>
        </w:rPr>
        <w:t xml:space="preserve">Tectona grandis</w:t>
      </w:r>
      <w:r>
        <w:t xml:space="preserve">) is a N-fixing legume; therefore, biological N fixation does not confound the observed differences in N stocks among silvicultural systems. Stand-age heterogeneity is acknowledged as a design constraint and is considered in the interpretation of the results.</w:t>
      </w:r>
    </w:p>
    <w:bookmarkEnd w:id="20"/>
    <w:bookmarkStart w:id="21" w:name="soil-sampling"/>
    <w:p>
      <w:pPr>
        <w:pStyle w:val="Heading2"/>
      </w:pPr>
      <w:r>
        <w:t xml:space="preserve">2.3 Soil sampling</w:t>
      </w:r>
    </w:p>
    <w:p>
      <w:pPr>
        <w:pStyle w:val="FirstParagraph"/>
      </w:pPr>
      <w:r>
        <w:t xml:space="preserve">Five trenches, 70 × 70 × 100 cm, were opened in each land-use system at spatially independent positions within the management unit</w:t>
      </w:r>
      <w:r>
        <w:t xml:space="preserve"> </w:t>
      </w:r>
      <w:r>
        <w:t xml:space="preserve">(Junior et al. 2021)</w:t>
      </w:r>
      <w:r>
        <w:t xml:space="preserve">, totaling 25 trenches and representing five replicates per land-use treatment. Since the experimental unit was the individual trench rather than the plot as a whole, differences in total plot area among land-use systems, 1.12 to 44.82 ha (Table 1), did not change the defined replication structure. Each trench constituted the experimental unit. Within each trench, disturbed and undisturbed soil samples were collected at eight depth intervals: 0–10, 10–20, 20–30, 30–40, 40–50, 50–60, 60–80, and 80–100 cm. This procedure yielded 200 observations in total, corresponding to 5 land uses × 5 trenches × 8 depths.</w:t>
      </w:r>
    </w:p>
    <w:p>
      <w:pPr>
        <w:pStyle w:val="BodyText"/>
      </w:pPr>
      <w:r>
        <w:t xml:space="preserve">Disturbed samples were air-dried and sieved through a 2 mm mesh for subsequent analyses. For inferential analyses, the data structure was treated as observations stratified by land use and depth, with replicate trenches as the sampling support within each land-use class. The generalized linear model framework</w:t>
      </w:r>
      <w:r>
        <w:t xml:space="preserve"> </w:t>
      </w:r>
      <w:r>
        <w:t xml:space="preserve">(McCullagh and Nelder 2019)</w:t>
      </w:r>
      <w:r>
        <w:t xml:space="preserve"> </w:t>
      </w:r>
      <w:r>
        <w:t xml:space="preserve">accounted for this hierarchical structure through the inclusion of land-use and depth factors, followed by Bonferroni-corrected pairwise comparisons.</w:t>
      </w:r>
    </w:p>
    <w:bookmarkEnd w:id="21"/>
    <w:bookmarkStart w:id="22" w:name="physical-and-chemical-analyses"/>
    <w:p>
      <w:pPr>
        <w:pStyle w:val="Heading2"/>
      </w:pPr>
      <w:r>
        <w:t xml:space="preserve">2.4 Physical and chemical analyses</w:t>
      </w:r>
    </w:p>
    <w:p>
      <w:pPr>
        <w:pStyle w:val="FirstParagraph"/>
      </w:pPr>
      <w:r>
        <w:t xml:space="preserve">Particle-size distribution was determined in disturbed samples using the pipette method</w:t>
      </w:r>
      <w:r>
        <w:t xml:space="preserve"> </w:t>
      </w:r>
      <w:r>
        <w:t xml:space="preserve">(</w:t>
      </w:r>
      <w:r>
        <w:t xml:space="preserve">Teixeira et al.</w:t>
      </w:r>
      <w:r>
        <w:t xml:space="preserve"> </w:t>
      </w:r>
      <w:r>
        <w:t xml:space="preserve">2017)</w:t>
      </w:r>
      <w:r>
        <w:t xml:space="preserve">, and soil bulk density was obtained using the volumetric-cylinder method</w:t>
      </w:r>
      <w:r>
        <w:t xml:space="preserve"> </w:t>
      </w:r>
      <w:r>
        <w:t xml:space="preserve">(</w:t>
      </w:r>
      <w:r>
        <w:t xml:space="preserve">Teixeira et al.</w:t>
      </w:r>
      <w:r>
        <w:t xml:space="preserve"> </w:t>
      </w:r>
      <w:r>
        <w:t xml:space="preserve">2017)</w:t>
      </w:r>
      <w:r>
        <w:t xml:space="preserve"> </w:t>
      </w:r>
      <w:r>
        <w:t xml:space="preserve">(Appendix 2).</w:t>
      </w:r>
    </w:p>
    <w:p>
      <w:pPr>
        <w:pStyle w:val="BodyText"/>
      </w:pPr>
      <w:r>
        <w:t xml:space="preserve">Soil samples were air-dried, sieved through a 2 mm mesh, and homogenized. A subsample was ground with a porcelain mortar and pestle to obtain a fine, uniform powder and was then sieved again through a 150 μm (100-mesh) sieve. Total nitrogen (Ntotal) was determined by dry combustion using an elemental analyzer (Model PE-2400 Series II, Perkin Elmer). Total phosphorus (Ptotal) was determined after wet digestion and quantified by colorimetry</w:t>
      </w:r>
      <w:r>
        <w:t xml:space="preserve"> </w:t>
      </w:r>
      <w:r>
        <w:t xml:space="preserve">(Murphy and Riley 1962)</w:t>
      </w:r>
      <w:r>
        <w:t xml:space="preserve">.</w:t>
      </w:r>
    </w:p>
    <w:p>
      <w:pPr>
        <w:pStyle w:val="BodyText"/>
      </w:pPr>
      <w:r>
        <w:t xml:space="preserve">Humic substances were extracted using the fractionation procedure recommended by the International Humic Substances Society (IHSS)</w:t>
      </w:r>
      <w:r>
        <w:t xml:space="preserve"> </w:t>
      </w:r>
      <w:r>
        <w:t xml:space="preserve">(Swift 1996)</w:t>
      </w:r>
      <w:r>
        <w:t xml:space="preserve">. The method is based on differences in solubility in alkaline and acidic solutions, allowing the separation of fulvic acid (FA), humic acid (HA), and humin (Hum). Light organic matter (LOM) was separated by flotation in water</w:t>
      </w:r>
      <w:r>
        <w:t xml:space="preserve"> </w:t>
      </w:r>
      <w:r>
        <w:t xml:space="preserve">(Fraga and Salcedo 2004)</w:t>
      </w:r>
      <w:r>
        <w:t xml:space="preserve">. After humic fractionation, samples were frozen and lyophilized to determine N and P in FA, HA, and Hum. Phosphorus was quantified using the colorimetric method</w:t>
      </w:r>
      <w:r>
        <w:t xml:space="preserve"> </w:t>
      </w:r>
      <w:r>
        <w:t xml:space="preserve">(Murphy and Riley 1962)</w:t>
      </w:r>
      <w:r>
        <w:t xml:space="preserve">. Nitrogen in the same humic fractions was determined by dry combustion. Phosphorus associated with LOM (P-LOM) was determined by colorimetry</w:t>
      </w:r>
      <w:r>
        <w:t xml:space="preserve"> </w:t>
      </w:r>
      <w:r>
        <w:t xml:space="preserve">(Murphy and Riley 1962)</w:t>
      </w:r>
      <w:r>
        <w:t xml:space="preserve">, and nitrogen associated with LOM (N-LOM) was determined by dry combustion.</w:t>
      </w:r>
    </w:p>
    <w:p>
      <w:pPr>
        <w:pStyle w:val="BodyText"/>
      </w:pPr>
      <w:r>
        <w:t xml:space="preserve">Labile phosphorus (labile P) was obtained using the Hedley extraction procedure</w:t>
      </w:r>
      <w:r>
        <w:t xml:space="preserve"> </w:t>
      </w:r>
      <w:r>
        <w:t xml:space="preserve">(Hedley et al. 1982)</w:t>
      </w:r>
      <w:r>
        <w:t xml:space="preserve"> </w:t>
      </w:r>
      <w:r>
        <w:t xml:space="preserve">and quantified by colorimetry</w:t>
      </w:r>
      <w:r>
        <w:t xml:space="preserve"> </w:t>
      </w:r>
      <w:r>
        <w:t xml:space="preserve">(Murphy and Riley 1962)</w:t>
      </w:r>
      <w:r>
        <w:t xml:space="preserve">. Labile nitrogen (labile N) was determined indirectly using the method of</w:t>
      </w:r>
      <w:r>
        <w:t xml:space="preserve"> </w:t>
      </w:r>
      <w:r>
        <w:t xml:space="preserve">Shang and Tiessen (1997)</w:t>
      </w:r>
      <w:r>
        <w:t xml:space="preserve">. N and P stocks were computed from measured concentrations in bulk soil and in the respective fractions, bulk density, and the thickness of the sampled layers.</w:t>
      </w:r>
    </w:p>
    <w:bookmarkEnd w:id="22"/>
    <w:bookmarkStart w:id="25" w:name="Xe03162e0cbf84348ab5aa2827a5b8b21479c1bc"/>
    <w:p>
      <w:pPr>
        <w:pStyle w:val="Heading2"/>
      </w:pPr>
      <w:r>
        <w:t xml:space="preserve">2.5 Construction of the Fuzzy Soil Nutritional Sustainability Index (FSNSI)</w:t>
      </w:r>
    </w:p>
    <w:p>
      <w:pPr>
        <w:pStyle w:val="FirstParagraph"/>
      </w:pPr>
      <w:r>
        <w:t xml:space="preserve">The FSNSI was developed using a Mamdani inference system</w:t>
      </w:r>
      <w:r>
        <w:t xml:space="preserve"> </w:t>
      </w:r>
      <w:r>
        <w:t xml:space="preserve">(Mamdani 1977)</w:t>
      </w:r>
      <w:r>
        <w:t xml:space="preserve"> </w:t>
      </w:r>
      <w:r>
        <w:t xml:space="preserve">implemented in R with the FuzzyR package. The system integrated Total N and Total P stocks, used as chemical-capital indicators, and soil bulk density, used as a physical-constraint indicator, as input variables</w:t>
      </w:r>
      <w:r>
        <w:t xml:space="preserve"> </w:t>
      </w:r>
      <w:r>
        <w:t xml:space="preserve">(Reis et al. 2023)</w:t>
      </w:r>
      <w:r>
        <w:t xml:space="preserve">. All variables were normalized to a 0–10 scale. For bulk density, inverse normalization was applied so that lower density corresponded to higher scores.</w:t>
      </w:r>
    </w:p>
    <w:bookmarkStart w:id="23" w:name="membership-functions-and-fuzzification"/>
    <w:p>
      <w:pPr>
        <w:pStyle w:val="Heading3"/>
      </w:pPr>
      <w:r>
        <w:t xml:space="preserve">2.5.1 Membership functions and fuzzification</w:t>
      </w:r>
    </w:p>
    <w:p>
      <w:pPr>
        <w:pStyle w:val="FirstParagraph"/>
      </w:pPr>
      <w:r>
        <w:t xml:space="preserve">Triangular membership functions were applied to the input and output variables, defining three linguistic terms: Low, Medium, and High. The functions were parameterized using the empirical quartiles of each variable distribution (</w:t>
      </w:r>
      <m:oMath>
        <m:sSub>
          <m:e>
            <m:r>
              <m:t>Q</m:t>
            </m:r>
          </m:e>
          <m:sub>
            <m:r>
              <m:t>25</m:t>
            </m:r>
          </m:sub>
        </m:sSub>
        <m:r>
          <m:rPr>
            <m:sty m:val="p"/>
          </m:rPr>
          <m:t>,</m:t>
        </m:r>
        <m:sSub>
          <m:e>
            <m:r>
              <m:t>Q</m:t>
            </m:r>
          </m:e>
          <m:sub>
            <m:r>
              <m:t>50</m:t>
            </m:r>
          </m:sub>
        </m:sSub>
        <m:r>
          <m:rPr>
            <m:sty m:val="p"/>
          </m:rPr>
          <m:t>,</m:t>
        </m:r>
        <m:sSub>
          <m:e>
            <m:r>
              <m:t>Q</m:t>
            </m:r>
          </m:e>
          <m:sub>
            <m:r>
              <m:t>75</m:t>
            </m:r>
          </m:sub>
        </m:sSub>
      </m:oMath>
      <w:r>
        <w:t xml:space="preserve">). The general form of the triangular membership function is presented in Eq. 1:</w:t>
      </w:r>
    </w:p>
    <w:p>
      <w:pPr>
        <w:pStyle w:val="BodyText"/>
      </w:pPr>
      <m:oMathPara>
        <m:oMathParaPr>
          <m:jc m:val="center"/>
        </m:oMathParaPr>
        <m:oMath>
          <m:sSub>
            <m:e>
              <m:r>
                <m:t>μ</m:t>
              </m:r>
            </m:e>
            <m:sub>
              <m:r>
                <m:t>A</m:t>
              </m:r>
            </m:sub>
          </m:sSub>
          <m:r>
            <m:rPr>
              <m:sty m:val="p"/>
            </m:rPr>
            <m:t>(</m:t>
          </m:r>
          <m:r>
            <m:t>x</m:t>
          </m:r>
          <m:r>
            <m:rPr>
              <m:sty m:val="p"/>
            </m:rPr>
            <m:t>)</m:t>
          </m:r>
          <m:r>
            <m:rPr>
              <m:sty m:val="p"/>
            </m:rPr>
            <m:t>=</m:t>
          </m:r>
          <m:r>
            <m:rPr>
              <m:sty m:val="p"/>
            </m:rPr>
            <m:t>max</m:t>
          </m:r>
          <m:d>
            <m:dPr>
              <m:begChr m:val="("/>
              <m:sepChr m:val=""/>
              <m:endChr m:val=")"/>
              <m:grow/>
            </m:dPr>
            <m:e>
              <m:r>
                <m:rPr>
                  <m:sty m:val="p"/>
                </m:rPr>
                <m:t>min</m:t>
              </m:r>
              <m:d>
                <m:dPr>
                  <m:begChr m:val="("/>
                  <m:sepChr m:val=""/>
                  <m:endChr m:val=")"/>
                  <m:grow/>
                </m:dPr>
                <m:e>
                  <m:f>
                    <m:fPr>
                      <m:type m:val="bar"/>
                    </m:fPr>
                    <m:num>
                      <m:r>
                        <m:t>x</m:t>
                      </m:r>
                      <m:r>
                        <m:rPr>
                          <m:sty m:val="p"/>
                        </m:rPr>
                        <m:t>−</m:t>
                      </m:r>
                      <m:r>
                        <m:t>a</m:t>
                      </m:r>
                    </m:num>
                    <m:den>
                      <m:r>
                        <m:t>b</m:t>
                      </m:r>
                      <m:r>
                        <m:rPr>
                          <m:sty m:val="p"/>
                        </m:rPr>
                        <m:t>−</m:t>
                      </m:r>
                      <m:r>
                        <m:t>a</m:t>
                      </m:r>
                    </m:den>
                  </m:f>
                  <m:r>
                    <m:rPr>
                      <m:sty m:val="p"/>
                    </m:rPr>
                    <m:t>,</m:t>
                  </m:r>
                  <m:f>
                    <m:fPr>
                      <m:type m:val="bar"/>
                    </m:fPr>
                    <m:num>
                      <m:r>
                        <m:t>c</m:t>
                      </m:r>
                      <m:r>
                        <m:rPr>
                          <m:sty m:val="p"/>
                        </m:rPr>
                        <m:t>−</m:t>
                      </m:r>
                      <m:r>
                        <m:t>x</m:t>
                      </m:r>
                    </m:num>
                    <m:den>
                      <m:r>
                        <m:t>c</m:t>
                      </m:r>
                      <m:r>
                        <m:rPr>
                          <m:sty m:val="p"/>
                        </m:rPr>
                        <m:t>−</m:t>
                      </m:r>
                      <m:r>
                        <m:t>b</m:t>
                      </m:r>
                    </m:den>
                  </m:f>
                </m:e>
              </m:d>
              <m:r>
                <m:rPr>
                  <m:sty m:val="p"/>
                </m:rPr>
                <m:t>,</m:t>
              </m:r>
              <m:r>
                <m:t>0</m:t>
              </m:r>
            </m:e>
          </m:d>
        </m:oMath>
      </m:oMathPara>
    </w:p>
    <w:p>
      <w:pPr>
        <w:pStyle w:val="FirstParagraph"/>
      </w:pPr>
      <w:r>
        <w:t xml:space="preserve">where</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represent the lower bound, peak, and upper bound, respectively. The parameter sets were defined as Low (</w:t>
      </w:r>
      <m:oMath>
        <m:r>
          <m:t>0</m:t>
        </m:r>
        <m:r>
          <m:rPr>
            <m:sty m:val="p"/>
          </m:rPr>
          <m:t>,</m:t>
        </m:r>
        <m:sSub>
          <m:e>
            <m:r>
              <m:t>Q</m:t>
            </m:r>
          </m:e>
          <m:sub>
            <m:r>
              <m:t>25</m:t>
            </m:r>
          </m:sub>
        </m:sSub>
        <m:r>
          <m:rPr>
            <m:sty m:val="p"/>
          </m:rPr>
          <m:t>,</m:t>
        </m:r>
        <m:sSub>
          <m:e>
            <m:r>
              <m:t>Q</m:t>
            </m:r>
          </m:e>
          <m:sub>
            <m:r>
              <m:t>50</m:t>
            </m:r>
          </m:sub>
        </m:sSub>
      </m:oMath>
      <w:r>
        <w:t xml:space="preserve">), Medium (</w:t>
      </w:r>
      <m:oMath>
        <m:sSub>
          <m:e>
            <m:r>
              <m:t>Q</m:t>
            </m:r>
          </m:e>
          <m:sub>
            <m:r>
              <m:t>25</m:t>
            </m:r>
          </m:sub>
        </m:sSub>
        <m:r>
          <m:rPr>
            <m:sty m:val="p"/>
          </m:rPr>
          <m:t>,</m:t>
        </m:r>
        <m:sSub>
          <m:e>
            <m:r>
              <m:t>Q</m:t>
            </m:r>
          </m:e>
          <m:sub>
            <m:r>
              <m:t>50</m:t>
            </m:r>
          </m:sub>
        </m:sSub>
        <m:r>
          <m:rPr>
            <m:sty m:val="p"/>
          </m:rPr>
          <m:t>,</m:t>
        </m:r>
        <m:sSub>
          <m:e>
            <m:r>
              <m:t>Q</m:t>
            </m:r>
          </m:e>
          <m:sub>
            <m:r>
              <m:t>75</m:t>
            </m:r>
          </m:sub>
        </m:sSub>
      </m:oMath>
      <w:r>
        <w:t xml:space="preserve">), and High (</w:t>
      </w:r>
      <m:oMath>
        <m:sSub>
          <m:e>
            <m:r>
              <m:t>Q</m:t>
            </m:r>
          </m:e>
          <m:sub>
            <m:r>
              <m:t>50</m:t>
            </m:r>
          </m:sub>
        </m:sSub>
        <m:r>
          <m:rPr>
            <m:sty m:val="p"/>
          </m:rPr>
          <m:t>,</m:t>
        </m:r>
        <m:sSub>
          <m:e>
            <m:r>
              <m:t>Q</m:t>
            </m:r>
          </m:e>
          <m:sub>
            <m:r>
              <m:t>75</m:t>
            </m:r>
          </m:sub>
        </m:sSub>
        <m:r>
          <m:rPr>
            <m:sty m:val="p"/>
          </m:rPr>
          <m:t>,</m:t>
        </m:r>
        <m:r>
          <m:t>10</m:t>
        </m:r>
      </m:oMath>
      <w:r>
        <w:t xml:space="preserve">).</w:t>
      </w:r>
    </w:p>
    <w:bookmarkEnd w:id="23"/>
    <w:bookmarkStart w:id="24" w:name="inference-rules-and-defuzzification"/>
    <w:p>
      <w:pPr>
        <w:pStyle w:val="Heading3"/>
      </w:pPr>
      <w:r>
        <w:t xml:space="preserve">2.5.2 Inference rules and defuzzification</w:t>
      </w:r>
    </w:p>
    <w:p>
      <w:pPr>
        <w:pStyle w:val="FirstParagraph"/>
      </w:pPr>
      <w:r>
        <w:t xml:space="preserve">The knowledge base consisted of fuzzy rules in an IF-THEN format, using the logical AND operator (represented by the minimum operator) to aggregate antecedents. The activation degree (</w:t>
      </w:r>
      <m:oMath>
        <m:sSub>
          <m:e>
            <m:r>
              <m:t>α</m:t>
            </m:r>
          </m:e>
          <m:sub>
            <m:r>
              <m:t>i</m:t>
            </m:r>
          </m:sub>
        </m:sSub>
      </m:oMath>
      <w:r>
        <w:t xml:space="preserve">) of each rule was calculated according to Eq. 2:</w:t>
      </w:r>
    </w:p>
    <w:p>
      <w:pPr>
        <w:pStyle w:val="BodyText"/>
      </w:pPr>
      <m:oMathPara>
        <m:oMathParaPr>
          <m:jc m:val="center"/>
        </m:oMathParaPr>
        <m:oMath>
          <m:sSub>
            <m:e>
              <m:r>
                <m:t>α</m:t>
              </m:r>
            </m:e>
            <m:sub>
              <m:r>
                <m:t>i</m:t>
              </m:r>
            </m:sub>
          </m:sSub>
          <m:r>
            <m:rPr>
              <m:sty m:val="p"/>
            </m:rPr>
            <m:t>=</m:t>
          </m:r>
          <m:r>
            <m:rPr>
              <m:sty m:val="p"/>
            </m:rPr>
            <m:t>min</m:t>
          </m:r>
          <m:r>
            <m:rPr>
              <m:sty m:val="p"/>
            </m:rPr>
            <m:t>(</m:t>
          </m:r>
          <m:sSub>
            <m:e>
              <m:r>
                <m:t>μ</m:t>
              </m:r>
            </m:e>
            <m:sub>
              <m:r>
                <m:t>N</m:t>
              </m:r>
            </m:sub>
          </m:sSub>
          <m:r>
            <m:rPr>
              <m:sty m:val="p"/>
            </m:rPr>
            <m:t>(</m:t>
          </m:r>
          <m:sSub>
            <m:e>
              <m:r>
                <m:t>x</m:t>
              </m:r>
            </m:e>
            <m:sub>
              <m:r>
                <m:t>N</m:t>
              </m:r>
            </m:sub>
          </m:sSub>
          <m:r>
            <m:rPr>
              <m:sty m:val="p"/>
            </m:rPr>
            <m:t>)</m:t>
          </m:r>
          <m:r>
            <m:rPr>
              <m:sty m:val="p"/>
            </m:rPr>
            <m:t>,</m:t>
          </m:r>
          <m:sSub>
            <m:e>
              <m:r>
                <m:t>μ</m:t>
              </m:r>
            </m:e>
            <m:sub>
              <m:r>
                <m:t>P</m:t>
              </m:r>
            </m:sub>
          </m:sSub>
          <m:r>
            <m:rPr>
              <m:sty m:val="p"/>
            </m:rPr>
            <m:t>(</m:t>
          </m:r>
          <m:sSub>
            <m:e>
              <m:r>
                <m:t>x</m:t>
              </m:r>
            </m:e>
            <m:sub>
              <m:r>
                <m:t>P</m:t>
              </m:r>
            </m:sub>
          </m:sSub>
          <m:r>
            <m:rPr>
              <m:sty m:val="p"/>
            </m:rPr>
            <m:t>)</m:t>
          </m:r>
          <m:r>
            <m:rPr>
              <m:sty m:val="p"/>
            </m:rPr>
            <m:t>,</m:t>
          </m:r>
          <m:sSub>
            <m:e>
              <m:r>
                <m:t>μ</m:t>
              </m:r>
            </m:e>
            <m:sub>
              <m:r>
                <m:t>B</m:t>
              </m:r>
              <m:r>
                <m:t>d</m:t>
              </m:r>
            </m:sub>
          </m:sSub>
          <m:r>
            <m:rPr>
              <m:sty m:val="p"/>
            </m:rPr>
            <m:t>(</m:t>
          </m:r>
          <m:sSub>
            <m:e>
              <m:r>
                <m:t>x</m:t>
              </m:r>
            </m:e>
            <m:sub>
              <m:r>
                <m:t>B</m:t>
              </m:r>
              <m:r>
                <m:t>d</m:t>
              </m:r>
            </m:sub>
          </m:sSub>
          <m:r>
            <m:rPr>
              <m:sty m:val="p"/>
            </m:rPr>
            <m:t>)</m:t>
          </m:r>
          <m:r>
            <m:rPr>
              <m:sty m:val="p"/>
            </m:rPr>
            <m:t>)</m:t>
          </m:r>
        </m:oMath>
      </m:oMathPara>
    </w:p>
    <w:p>
      <w:pPr>
        <w:pStyle w:val="FirstParagraph"/>
      </w:pPr>
      <w:r>
        <w:t xml:space="preserve">where</w:t>
      </w:r>
      <w:r>
        <w:t xml:space="preserve"> </w:t>
      </w:r>
      <m:oMath>
        <m:sSub>
          <m:e>
            <m:r>
              <m:t>μ</m:t>
            </m:r>
          </m:e>
          <m:sub>
            <m:r>
              <m:t>N</m:t>
            </m:r>
          </m:sub>
        </m:sSub>
      </m:oMath>
      <w:r>
        <w:t xml:space="preserve">,</w:t>
      </w:r>
      <w:r>
        <w:t xml:space="preserve"> </w:t>
      </w:r>
      <m:oMath>
        <m:sSub>
          <m:e>
            <m:r>
              <m:t>μ</m:t>
            </m:r>
          </m:e>
          <m:sub>
            <m:r>
              <m:t>P</m:t>
            </m:r>
          </m:sub>
        </m:sSub>
      </m:oMath>
      <w:r>
        <w:t xml:space="preserve">, and</w:t>
      </w:r>
      <w:r>
        <w:t xml:space="preserve"> </w:t>
      </w:r>
      <m:oMath>
        <m:sSub>
          <m:e>
            <m:r>
              <m:t>μ</m:t>
            </m:r>
          </m:e>
          <m:sub>
            <m:r>
              <m:t>B</m:t>
            </m:r>
            <m:r>
              <m:t>d</m:t>
            </m:r>
          </m:sub>
        </m:sSub>
      </m:oMath>
      <w:r>
        <w:t xml:space="preserve"> </w:t>
      </w:r>
      <w:r>
        <w:t xml:space="preserve">denote the membership degrees of the N stock, P stock, and bulk density inputs, respectively.</w:t>
      </w:r>
    </w:p>
    <w:p>
      <w:pPr>
        <w:pStyle w:val="BodyText"/>
      </w:pPr>
      <w:r>
        <w:t xml:space="preserve">The final FSNSI value was obtained by centroid defuzzification, as shown in Eq. 3:</w:t>
      </w:r>
    </w:p>
    <w:p>
      <w:pPr>
        <w:pStyle w:val="BodyText"/>
      </w:pPr>
      <m:oMathPara>
        <m:oMathParaPr>
          <m:jc m:val="center"/>
        </m:oMathParaPr>
        <m:oMath>
          <m:acc>
            <m:accPr>
              <m:chr m:val="̂"/>
            </m:accPr>
            <m:e>
              <m:r>
                <m:t>z</m:t>
              </m:r>
            </m:e>
          </m:acc>
          <m:r>
            <m:rPr>
              <m:sty m:val="p"/>
            </m:rPr>
            <m:t>=</m:t>
          </m:r>
          <m:f>
            <m:fPr>
              <m:type m:val="bar"/>
            </m:fPr>
            <m:num>
              <m:r>
                <m:rPr>
                  <m:sty m:val="p"/>
                </m:rPr>
                <m:t>∫</m:t>
              </m:r>
              <m:r>
                <m:t>z</m:t>
              </m:r>
              <m:r>
                <m:rPr>
                  <m:sty m:val="p"/>
                </m:rPr>
                <m:t>⋅</m:t>
              </m:r>
              <m:sSub>
                <m:e>
                  <m:r>
                    <m:t>μ</m:t>
                  </m:r>
                </m:e>
                <m:sub>
                  <m:r>
                    <m:t>F</m:t>
                  </m:r>
                  <m:r>
                    <m:t>S</m:t>
                  </m:r>
                  <m:r>
                    <m:t>N</m:t>
                  </m:r>
                  <m:r>
                    <m:t>S</m:t>
                  </m:r>
                  <m:r>
                    <m:t>I</m:t>
                  </m:r>
                </m:sub>
              </m:sSub>
              <m:r>
                <m:rPr>
                  <m:sty m:val="p"/>
                </m:rPr>
                <m:t>(</m:t>
              </m:r>
              <m:r>
                <m:t>z</m:t>
              </m:r>
              <m:r>
                <m:rPr>
                  <m:sty m:val="p"/>
                </m:rPr>
                <m:t>)</m:t>
              </m:r>
              <m:r>
                <m:t> </m:t>
              </m:r>
              <m:r>
                <m:t>d</m:t>
              </m:r>
              <m:r>
                <m:t>z</m:t>
              </m:r>
            </m:num>
            <m:den>
              <m:r>
                <m:rPr>
                  <m:sty m:val="p"/>
                </m:rPr>
                <m:t>∫</m:t>
              </m:r>
              <m:sSub>
                <m:e>
                  <m:r>
                    <m:t>μ</m:t>
                  </m:r>
                </m:e>
                <m:sub>
                  <m:r>
                    <m:t>F</m:t>
                  </m:r>
                  <m:r>
                    <m:t>S</m:t>
                  </m:r>
                  <m:r>
                    <m:t>N</m:t>
                  </m:r>
                  <m:r>
                    <m:t>S</m:t>
                  </m:r>
                  <m:r>
                    <m:t>I</m:t>
                  </m:r>
                </m:sub>
              </m:sSub>
              <m:r>
                <m:rPr>
                  <m:sty m:val="p"/>
                </m:rPr>
                <m:t>(</m:t>
              </m:r>
              <m:r>
                <m:t>z</m:t>
              </m:r>
              <m:r>
                <m:rPr>
                  <m:sty m:val="p"/>
                </m:rPr>
                <m:t>)</m:t>
              </m:r>
              <m:r>
                <m:t> </m:t>
              </m:r>
              <m:r>
                <m:t>d</m:t>
              </m:r>
              <m:r>
                <m:t>z</m:t>
              </m:r>
            </m:den>
          </m:f>
        </m:oMath>
      </m:oMathPara>
    </w:p>
    <w:p>
      <w:pPr>
        <w:pStyle w:val="FirstParagraph"/>
      </w:pPr>
      <w:r>
        <w:t xml:space="preserve">The FSNSI ranges from 0 to 10 and was interpreted using the following classes: Low Sustainability (0.0–3.3), Intermediate Sustainability (3.4–6.6), and High Sustainability (6.7–10.0).</w:t>
      </w:r>
    </w:p>
    <w:bookmarkEnd w:id="24"/>
    <w:bookmarkEnd w:id="25"/>
    <w:bookmarkStart w:id="26" w:name="data-analysis"/>
    <w:p>
      <w:pPr>
        <w:pStyle w:val="Heading2"/>
      </w:pPr>
      <w:r>
        <w:t xml:space="preserve">2.6 Data analysis</w:t>
      </w:r>
    </w:p>
    <w:p>
      <w:pPr>
        <w:pStyle w:val="FirstParagraph"/>
      </w:pPr>
      <w:r>
        <w:t xml:space="preserve">Data were analyzed using generalized linear models (GLMs; R package</w:t>
      </w:r>
      <w:r>
        <w:t xml:space="preserve"> </w:t>
      </w:r>
      <w:r>
        <w:rPr>
          <w:i/>
          <w:iCs/>
        </w:rPr>
        <w:t xml:space="preserve">stats</w:t>
      </w:r>
      <w:r>
        <w:t xml:space="preserve">) with bootstrap resampling (n = 1,000) to evaluate the effects of land-use and soil depth on N and P fractions, stocks, and FSNSI. The GLM framework was adopted instead of traditional ANOVA because the data showed non-normality and heteroscedasticity, as indicated by the Shapiro–Wilk test (p &lt; 0.01). A Gamma distribution was selected based on lower Akaike Information Criterion (AIC) and Bayesian Information Criterion (BIC) values compared with normal and log-normal distributions</w:t>
      </w:r>
      <w:r>
        <w:t xml:space="preserve"> </w:t>
      </w:r>
      <w:r>
        <w:t xml:space="preserve">(Akaike 1974; McCullagh and Nelder 2019)</w:t>
      </w:r>
      <w:r>
        <w:t xml:space="preserve">.</w:t>
      </w:r>
    </w:p>
    <w:p>
      <w:pPr>
        <w:pStyle w:val="BodyText"/>
      </w:pPr>
      <w:r>
        <w:t xml:space="preserve">Model adequacy was confirmed by residual analysis (Deviance/df &lt; 1) and by the absence of overdispersion</w:t>
      </w:r>
      <w:r>
        <w:t xml:space="preserve"> </w:t>
      </w:r>
      <w:r>
        <w:t xml:space="preserve">(Cameron and Trivedi 2013)</w:t>
      </w:r>
      <w:r>
        <w:t xml:space="preserve">. Following current recommendations to report effect sizes alongside significance levels, land-use effects on FSNSI were quantified as exponentiated coefficients, Exp(B), with bootstrap 95% confidence intervals. These coefficients express effect magnitude on the original response scale and are more informative for practical interpretation than significance tests alone, because significance tests indicate only departure from the null hypothesis, whereas Exp(B) quantifies the predicted mean under each treatment condition.</w:t>
      </w:r>
    </w:p>
    <w:p>
      <w:pPr>
        <w:pStyle w:val="BodyText"/>
      </w:pPr>
      <w:r>
        <w:t xml:space="preserve">Multivariate significance was assessed using Pillai’s trace (V), Wilks’ lambda (Λ), Hotelling–Lawley trace (T²), and Roy’s largest root (Θ) statistics. Pairwise comparisons were performed using Bonferroni correction. Exploratory analyses included principal component analysis (PCA) on the correlation matrix of standardized variables, hierarchical clustering analysis (HCA) using Ward.D2 linkage and Euclidean distance, and Pearson correlation analysis to assess linear associations among variables.</w:t>
      </w:r>
    </w:p>
    <w:p>
      <w:pPr>
        <w:pStyle w:val="BodyText"/>
      </w:pPr>
      <w:r>
        <w:t xml:space="preserve">Structural relationships were modeled using PLSR and PLS-SEM to identify key predictors, considering the Variable Importance in Projection (VIP &gt; 1.0). The structural model was specified as a second-order hierarchical component model (HCM), and land-use contrasts were evaluated using PLS multi-group analysis (PLS-MGA). Analyses were conducted in R</w:t>
      </w:r>
      <w:r>
        <w:t xml:space="preserve"> </w:t>
      </w:r>
      <w:r>
        <w:t xml:space="preserve">(R Core Team 2024)</w:t>
      </w:r>
      <w:r>
        <w:t xml:space="preserve"> </w:t>
      </w:r>
      <w:r>
        <w:t xml:space="preserve">using the packages FactoMineR, factoextra, ggplot2, seminr (for PLS-SEM and PLS-MGA), and boot (for bootstrap resampling).</w:t>
      </w:r>
    </w:p>
    <w:p>
      <w:pPr>
        <w:pStyle w:val="BodyText"/>
      </w:pPr>
      <w:r>
        <w:t xml:space="preserve">In the PLSR workflow, all predictors were standardized, mean-centered, and scaled to unit variance before model fitting</w:t>
      </w:r>
      <w:r>
        <w:t xml:space="preserve"> </w:t>
      </w:r>
      <w:r>
        <w:t xml:space="preserve">(Mevik and Wehrens 2007)</w:t>
      </w:r>
      <w:r>
        <w:t xml:space="preserve">. This procedure ensured equal contribution of variables measured on different scales. Latent components were estimated using leave-one-out cross-validation (LOO-CV) to control overfitting under correlated predictors. Two PLSR models were fitted, one for the N system and one for the P system. In the N model, the dependent variable was total N stock (EstNT), with independent variables representing operational fractions and their stocks: NLabil, NLOM, NTFA, NTHA, NTHum, EstNLabil, EstNLOM, EstNFA, EstNHA, and EstNTHum. In the P model, the dependent variable was total P stock (EstPT), with analogous independent variables: PLabil, PLOM, PTFA, PTHA, PTHum, EstPLabil, EstPLOM, EstPFA, EstPHA, and EstPTHum.</w:t>
      </w:r>
    </w:p>
    <w:p>
      <w:pPr>
        <w:pStyle w:val="BodyText"/>
      </w:pPr>
      <w:r>
        <w:t xml:space="preserve">The modeling dataset comprised 200 observations derived from five land-use classes, five replicate trenches per class, and eight depth intervals per trench. Two latent variables were retained for both nutrient systems. In both models, the first latent variable explained 49.43% of the response variance, and the second latent variable increased the cumulative explained response variance to 94.49%.</w:t>
      </w:r>
    </w:p>
    <w:bookmarkEnd w:id="26"/>
    <w:bookmarkEnd w:id="27"/>
    <w:bookmarkStart w:id="50" w:name="results-and-discussion"/>
    <w:p>
      <w:pPr>
        <w:pStyle w:val="Heading1"/>
      </w:pPr>
      <w:r>
        <w:t xml:space="preserve">3. Results and Discussion</w:t>
      </w:r>
    </w:p>
    <w:bookmarkStart w:id="36" w:name="Xa51760f99f88bac2c418e3cef7fcdd2ad72dcbe"/>
    <w:p>
      <w:pPr>
        <w:pStyle w:val="Heading2"/>
      </w:pPr>
      <w:r>
        <w:t xml:space="preserve">3.1 Dynamics of nitrogen and phosphorus fractions situations</w:t>
      </w:r>
    </w:p>
    <w:p>
      <w:pPr>
        <w:pStyle w:val="FirstParagraph"/>
      </w:pPr>
      <w:r>
        <w:t xml:space="preserve">Humic fractions accounted for a median of 76.0% of total N (IQR: 74.48% to 79.45%; range: 72.09% to 82.85%), indicating the dominance of high-inertia reservoirs in Cerrado Oxisols. In the PLSR latent space (Figure 3), humic fractions showed directional coherence with total N, supporting this mass-balance hierarchy.</w:t>
      </w:r>
    </w:p>
    <w:p>
      <w:pPr>
        <w:pStyle w:val="BodyText"/>
      </w:pPr>
      <w:r>
        <w:t xml:space="preserve">Labile fractions accounted for a median of 12.18% of total N content in the soil profile (IQR: 11.47% to 12.73%; range: 9.09% to 13.77%), whereas the residual fraction showed a median of 11.47% (range: 3.38% to 18.83%). For P, the compartment ordering preserved the humic dominance observed for N, supporting the co-stratification of macronutrients within an organomineral framework consistent with mineral-associated organic matter</w:t>
      </w:r>
      <w:r>
        <w:t xml:space="preserve"> </w:t>
      </w:r>
      <w:r>
        <w:t xml:space="preserve">(Lavallee et al. 2020)</w:t>
      </w:r>
      <w:r>
        <w:t xml:space="preserve">. In this framework, preferential association with silt and clay particles and physical protection within microaggregates reduce microbial accessibility and prolong element residence time</w:t>
      </w:r>
      <w:r>
        <w:t xml:space="preserve"> </w:t>
      </w:r>
      <w:r>
        <w:t xml:space="preserve">(Spohn 2024)</w:t>
      </w:r>
      <w:r>
        <w:t xml:space="preserve">.</w:t>
      </w:r>
    </w:p>
    <w:p>
      <w:pPr>
        <w:pStyle w:val="BodyText"/>
      </w:pPr>
      <w:r>
        <w:t xml:space="preserve">In Figure 3, the TN–humic alignment is consistent with the 76.0% median humic share of total N and with the observed compositional hierarchy, in which most N is allocated to fractions with greater structural complexity. Mechanistically, this dominance suggests that N retention is governed by progressive incorporation into organic networks with low biodegradability and by interactions with mineral surfaces that impose physicochemical barriers to enzymatic access</w:t>
      </w:r>
      <w:r>
        <w:t xml:space="preserve"> </w:t>
      </w:r>
      <w:r>
        <w:t xml:space="preserve">(</w:t>
      </w:r>
      <w:r>
        <w:t xml:space="preserve">Kleber et al.</w:t>
      </w:r>
      <w:r>
        <w:t xml:space="preserve"> </w:t>
      </w:r>
      <w:r>
        <w:t xml:space="preserve">2015; Celi et al. 2022)</w:t>
      </w:r>
      <w:r>
        <w:t xml:space="preserve">, reinforcing a dynamic of immobilization and continuous re-stabilization.</w:t>
      </w:r>
    </w:p>
    <w:p>
      <w:pPr>
        <w:pStyle w:val="BodyText"/>
      </w:pPr>
      <w:r>
        <w:t xml:space="preserve">Because humification transfers mass from a high-turnover compartment to a more persistent compartment, the labile fraction tends to act as a short-term reservoir rather than as a determinant of long-term stocks. This interpretation is consistent with its lower proportional contribution and greater sensitivity to disturbance and microclimate</w:t>
      </w:r>
      <w:r>
        <w:t xml:space="preserve"> </w:t>
      </w:r>
      <w:r>
        <w:t xml:space="preserve">(Carvalho et al. 2023)</w:t>
      </w:r>
      <w:r>
        <w:t xml:space="preserve">.</w:t>
      </w:r>
    </w:p>
    <w:p>
      <w:pPr>
        <w:pStyle w:val="BodyText"/>
      </w:pPr>
      <w:r>
        <w:t xml:space="preserve">In the nitrogen PLSR model, EstNT was treated as the dependent variable and the fraction variables as predictors, with two latent components retained after cross-validation</w:t>
      </w:r>
      <w:r>
        <w:t xml:space="preserve"> </w:t>
      </w:r>
      <w:r>
        <w:t xml:space="preserve">(Mevik and Wehrens 2007)</w:t>
      </w:r>
      <w:r>
        <w:t xml:space="preserve">. The first component captured the dominant covariance structure between total stock and humic fractions, explaining 49.43% of the response variance, whereas the second component improved the separation of labile and mineral-associated contributions, increasing the cumulative explained variance to 94.49%.</w:t>
      </w:r>
    </w:p>
    <w:bookmarkStart w:id="31" w:name="fig:3"/>
    <w:p>
      <w:pPr>
        <w:pStyle w:val="CaptionedFigure"/>
      </w:pPr>
      <w:r>
        <w:drawing>
          <wp:inline>
            <wp:extent cx="3733800" cy="3733799"/>
            <wp:effectExtent b="0" l="0" r="0" t="0"/>
            <wp:docPr descr="Figure 3. Structural correlation biplot of the nitrogen PLSR model with two latent components. Land-use systems are distinguished by symbol shape and color." title="" id="29" name="Picture"/>
            <a:graphic>
              <a:graphicData uri="http://schemas.openxmlformats.org/drawingml/2006/picture">
                <pic:pic>
                  <pic:nvPicPr>
                    <pic:cNvPr descr="../../../2-FIGURAS/biplot_plsr_nt.png" id="30" name="Picture"/>
                    <pic:cNvPicPr>
                      <a:picLocks noChangeArrowheads="1" noChangeAspect="1"/>
                    </pic:cNvPicPr>
                  </pic:nvPicPr>
                  <pic:blipFill>
                    <a:blip r:embed="rId28"/>
                    <a:stretch>
                      <a:fillRect/>
                    </a:stretch>
                  </pic:blipFill>
                  <pic:spPr bwMode="auto">
                    <a:xfrm>
                      <a:off x="0" y="0"/>
                      <a:ext cx="3733800" cy="3733799"/>
                    </a:xfrm>
                    <a:prstGeom prst="rect">
                      <a:avLst/>
                    </a:prstGeom>
                    <a:noFill/>
                    <a:ln w="9525">
                      <a:noFill/>
                      <a:headEnd/>
                      <a:tailEnd/>
                    </a:ln>
                  </pic:spPr>
                </pic:pic>
              </a:graphicData>
            </a:graphic>
          </wp:inline>
        </w:drawing>
      </w:r>
    </w:p>
    <w:p>
      <w:pPr>
        <w:pStyle w:val="ImageCaption"/>
      </w:pPr>
      <w:r>
        <w:t xml:space="preserve">Figure 3. Structural correlation biplot of the nitrogen PLSR model with two latent components. Land-use systems are distinguished by symbol shape and color.</w:t>
      </w:r>
    </w:p>
    <w:bookmarkEnd w:id="31"/>
    <w:p>
      <w:pPr>
        <w:pStyle w:val="BodyText"/>
      </w:pPr>
      <w:r>
        <w:rPr>
          <w:i/>
          <w:iCs/>
        </w:rPr>
        <w:t xml:space="preserve">Note: Total N stock = total nitrogen stock, used as the dependent variable; FA-N = fulvic acid nitrogen; HA-N = humic acid nitrogen; Humin-N = humin nitrogen; Labile N = labile nitrogen; LOM-N = light organic matter nitrogen. The suffix</w:t>
      </w:r>
      <w:r>
        <w:rPr>
          <w:i/>
          <w:iCs/>
        </w:rPr>
        <w:t xml:space="preserve"> </w:t>
      </w:r>
      <w:r>
        <w:rPr>
          <w:i/>
          <w:iCs/>
        </w:rPr>
        <w:t xml:space="preserve">“stock”</w:t>
      </w:r>
      <w:r>
        <w:rPr>
          <w:i/>
          <w:iCs/>
        </w:rPr>
        <w:t xml:space="preserve"> </w:t>
      </w:r>
      <w:r>
        <w:rPr>
          <w:i/>
          <w:iCs/>
        </w:rPr>
        <w:t xml:space="preserve">denotes stock-level variables, for example, FA-N stock = fulvic acid nitrogen stock.</w:t>
      </w:r>
    </w:p>
    <w:p>
      <w:pPr>
        <w:pStyle w:val="BodyText"/>
      </w:pPr>
      <w:r>
        <w:t xml:space="preserve">In highly weathered Oxisols, P cycling is constrained by specific adsorption to Fe and Al oxides through ligand exchange, which increases chemical impedance to biological turnover. Organic matter modulates P availability by competing for reactive sites and favoring incorporation into persistent organomineral pools, consistent with</w:t>
      </w:r>
      <w:r>
        <w:t xml:space="preserve"> </w:t>
      </w:r>
      <w:r>
        <w:t xml:space="preserve">Gerke (2022)</w:t>
      </w:r>
      <w:r>
        <w:t xml:space="preserve">. In the phosphorus PLSR model, EstPT was treated as the dependent variable, and P fractions were used as predictors, with two latent components retained after cross-validation.</w:t>
      </w:r>
    </w:p>
    <w:p>
      <w:pPr>
        <w:pStyle w:val="BodyText"/>
      </w:pPr>
      <w:r>
        <w:t xml:space="preserve">The predictive consistency of this model is shown by the observed-versus-predicted relationship for P, in which the trend indicates a coherent model response across land-use systems (Figure 4).</w:t>
      </w:r>
    </w:p>
    <w:bookmarkStart w:id="35" w:name="fig:4"/>
    <w:p>
      <w:pPr>
        <w:pStyle w:val="CaptionedFigure"/>
      </w:pPr>
      <w:r>
        <w:drawing>
          <wp:inline>
            <wp:extent cx="3733800" cy="2987040"/>
            <wp:effectExtent b="0" l="0" r="0" t="0"/>
            <wp:docPr descr="Figure 4. Observed-versus-predicted relationship for total phosphorus stock estimated by the phosphorus PLSR model." title="" id="33" name="Picture"/>
            <a:graphic>
              <a:graphicData uri="http://schemas.openxmlformats.org/drawingml/2006/picture">
                <pic:pic>
                  <pic:nvPicPr>
                    <pic:cNvPr descr="../../../2-FIGURAS/predicoes_pt.png" id="34" name="Picture"/>
                    <pic:cNvPicPr>
                      <a:picLocks noChangeArrowheads="1" noChangeAspect="1"/>
                    </pic:cNvPicPr>
                  </pic:nvPicPr>
                  <pic:blipFill>
                    <a:blip r:embed="rId32"/>
                    <a:stretch>
                      <a:fillRect/>
                    </a:stretch>
                  </pic:blipFill>
                  <pic:spPr bwMode="auto">
                    <a:xfrm>
                      <a:off x="0" y="0"/>
                      <a:ext cx="3733800" cy="2987040"/>
                    </a:xfrm>
                    <a:prstGeom prst="rect">
                      <a:avLst/>
                    </a:prstGeom>
                    <a:noFill/>
                    <a:ln w="9525">
                      <a:noFill/>
                      <a:headEnd/>
                      <a:tailEnd/>
                    </a:ln>
                  </pic:spPr>
                </pic:pic>
              </a:graphicData>
            </a:graphic>
          </wp:inline>
        </w:drawing>
      </w:r>
    </w:p>
    <w:p>
      <w:pPr>
        <w:pStyle w:val="ImageCaption"/>
      </w:pPr>
      <w:r>
        <w:t xml:space="preserve">Figure 4. Observed-versus-predicted relationship for total phosphorus stock estimated by the phosphorus PLSR model.</w:t>
      </w:r>
    </w:p>
    <w:bookmarkEnd w:id="35"/>
    <w:p>
      <w:pPr>
        <w:pStyle w:val="BodyText"/>
      </w:pPr>
      <w:r>
        <w:rPr>
          <w:i/>
          <w:iCs/>
        </w:rPr>
        <w:t xml:space="preserve">Note: Each point represents one observation and is colored according to land-use system. The solid line indicates the linear fit between observed and predicted values.</w:t>
      </w:r>
    </w:p>
    <w:p>
      <w:pPr>
        <w:pStyle w:val="BodyText"/>
      </w:pPr>
      <w:r>
        <w:t xml:space="preserve">The convergence between N and P patterns in the multivariate space reinforces the hypothesis of stoichiometric coupling during SOM formation and maturation</w:t>
      </w:r>
      <w:r>
        <w:t xml:space="preserve"> </w:t>
      </w:r>
      <w:r>
        <w:t xml:space="preserve">(Qaswar et al. 2019)</w:t>
      </w:r>
      <w:r>
        <w:t xml:space="preserve">. The retention of one nutrient conditions the retention of the other through shared routes of microbial processing and physicochemical protection</w:t>
      </w:r>
      <w:r>
        <w:t xml:space="preserve"> </w:t>
      </w:r>
      <w:r>
        <w:t xml:space="preserve">(Celi et al. 2022)</w:t>
      </w:r>
      <w:r>
        <w:t xml:space="preserve">, rather than through independent trajectories governed only by mineral reactivity. This interpretation is consistent with the principle that microbial immobilization of N is modulated by carbon quality and, concomitantly, conditions the capture of P in more persistent organic forms</w:t>
      </w:r>
      <w:r>
        <w:t xml:space="preserve"> </w:t>
      </w:r>
      <w:r>
        <w:t xml:space="preserve">(Cao et al. 2021)</w:t>
      </w:r>
      <w:r>
        <w:t xml:space="preserve">. In highly weathered Oxisols, this co-stabilization occurs under intense competition for reactive sites on Fe and Al oxides. Organic matter therefore modulates P dynamics by interfering with specific phosphate sorption and favoring incorporation into more persistent organomineral fractions</w:t>
      </w:r>
      <w:r>
        <w:t xml:space="preserve"> </w:t>
      </w:r>
      <w:r>
        <w:t xml:space="preserve">(Yang and Post 2011)</w:t>
      </w:r>
      <w:r>
        <w:t xml:space="preserve">.</w:t>
      </w:r>
    </w:p>
    <w:p>
      <w:pPr>
        <w:pStyle w:val="BodyText"/>
      </w:pPr>
      <w:r>
        <w:t xml:space="preserve">In the context of aggregates and organomineral associations, the role of Fe and Al as bridges between microbially processed organic matter and mineral surfaces provides a plausible mechanism for the persistence of P associated with organomineral matrices in highly weathered soils</w:t>
      </w:r>
      <w:r>
        <w:t xml:space="preserve"> </w:t>
      </w:r>
      <w:r>
        <w:t xml:space="preserve">(Wagai et al. 2020)</w:t>
      </w:r>
      <w:r>
        <w:t xml:space="preserve">.</w:t>
      </w:r>
    </w:p>
    <w:p>
      <w:pPr>
        <w:pStyle w:val="BodyText"/>
      </w:pPr>
      <w:r>
        <w:t xml:space="preserve">Preserved Cerrado exhibited the highest humic contribution, with a median of 82.0%, and the lowest residual fraction, 4.96%, whereas agriculture showed the lowest humic contribution, with a median of 73.0%, and the highest residual fraction, 17.15%</w:t>
      </w:r>
      <w:r>
        <w:t xml:space="preserve"> </w:t>
      </w:r>
      <w:r>
        <w:t xml:space="preserve">(Ferreira et al. 2021)</w:t>
      </w:r>
      <w:r>
        <w:t xml:space="preserve">. When the comparisons are summarized into three broader system groups (native vegetation, forest plantations, and agriculture), this ordering reduces interpretive ambiguity. Forest plantations offered an intermediate condition, with a median humic contribution of 76.0% and a residual fraction of 11.47%, suggesting that the transition from native Cerrado to arboreal systems maintained a substantial part of the stabilization architecture while redistributing mass among compartments. This pattern is consistent with organomineral protection mechanisms</w:t>
      </w:r>
      <w:r>
        <w:t xml:space="preserve"> </w:t>
      </w:r>
      <w:r>
        <w:t xml:space="preserve">(Paul 2016)</w:t>
      </w:r>
      <w:r>
        <w:t xml:space="preserve"> </w:t>
      </w:r>
      <w:r>
        <w:t xml:space="preserve">and with contrasting pathways between particulate and mineral-associated organic matter</w:t>
      </w:r>
      <w:r>
        <w:t xml:space="preserve"> </w:t>
      </w:r>
      <w:r>
        <w:t xml:space="preserve">(Gmach et al. 2018)</w:t>
      </w:r>
      <w:r>
        <w:t xml:space="preserve">.</w:t>
      </w:r>
    </w:p>
    <w:p>
      <w:pPr>
        <w:pStyle w:val="BodyText"/>
      </w:pPr>
      <w:r>
        <w:t xml:space="preserve">Total N stocks per layer ranked in decreasing order as Teak (median EstNT of 1.383 Mg ha⁻¹), Eucalyptus (1.335 Mg ha⁻¹), Mahogany (1.295 Mg ha⁻¹), Agriculture (1.171 Mg ha⁻¹), and Cerrado (1.124 Mg ha⁻¹). These values correspond to increases of 23.0%, 18.8%, 15.2%, and 4.1%, respectively, relative to the native baseline. The higher stock observed in agriculture likely reflects sustained mineral-N additions through fertilization cycles (Table 1), which supplement organically derived N</w:t>
      </w:r>
      <w:r>
        <w:t xml:space="preserve"> </w:t>
      </w:r>
      <w:r>
        <w:t xml:space="preserve">(McMahon et al. 2019)</w:t>
      </w:r>
      <w:r>
        <w:t xml:space="preserve"> </w:t>
      </w:r>
      <w:r>
        <w:t xml:space="preserve">and hinder direct comparison with unfertilized native vegetation.</w:t>
      </w:r>
    </w:p>
    <w:p>
      <w:pPr>
        <w:pStyle w:val="BodyText"/>
      </w:pPr>
      <w:r>
        <w:t xml:space="preserve">None of the three plantation species is an N-fixing legume; therefore, the stock gains observed in silvicultural systems cannot be attributed to biological N fixation and are more plausibly explained by continuous litter input, root turnover, and reduced post-establishment disturbance</w:t>
      </w:r>
      <w:r>
        <w:t xml:space="preserve"> </w:t>
      </w:r>
      <w:r>
        <w:t xml:space="preserve">(Souza Almeida et al. 2021; Moraes et al. 2024)</w:t>
      </w:r>
      <w:r>
        <w:t xml:space="preserve">. Total N stock dynamics should not be equated with bulk SOM trends because N accumulation reflects the combined outcome of organic-N incorporation, mineral-N retention, and fraction-specific stabilization, processes that may diverge from carbon-driven SOM trajectories</w:t>
      </w:r>
      <w:r>
        <w:t xml:space="preserve"> </w:t>
      </w:r>
      <w:r>
        <w:t xml:space="preserve">(Gerke 2022)</w:t>
      </w:r>
      <w:r>
        <w:t xml:space="preserve">. This contrast suggests that stock gains depend primarily on how each management system modulates organic input quality, residence time, and protection within organomineral domains, rather than on input magnitude alone.</w:t>
      </w:r>
    </w:p>
    <w:p>
      <w:pPr>
        <w:pStyle w:val="BodyText"/>
      </w:pPr>
      <w:r>
        <w:t xml:space="preserve">The relatively low dispersion of partitioning percentages, especially when compared with the variation in stocks, should be interpreted as a compositional property of a system in which fractions represent a decomposition of the total and are therefore subject to sum constraints and analytical recovery efficiency, rather than as evidence of absent dynamics</w:t>
      </w:r>
      <w:r>
        <w:t xml:space="preserve"> </w:t>
      </w:r>
      <w:r>
        <w:t xml:space="preserve">(Aitchison 1986)</w:t>
      </w:r>
      <w:r>
        <w:t xml:space="preserve">. In process-engineering terms, this finding indicates that the dominant control lies in the transfer flux among compartments and in the balance between stabilization and loss, rather than in large fluctuations in percentage distribution. This interpretation reinforces the role of fraction dynamics and structural stability as regulators of long-term stock resilience</w:t>
      </w:r>
      <w:r>
        <w:t xml:space="preserve"> </w:t>
      </w:r>
      <w:r>
        <w:t xml:space="preserve">(Jensen and Schjønning 2020)</w:t>
      </w:r>
      <w:r>
        <w:t xml:space="preserve">.</w:t>
      </w:r>
    </w:p>
    <w:bookmarkEnd w:id="36"/>
    <w:bookmarkStart w:id="41" w:name="X12252cc35409e8f0fea80005293e1818b09ae36"/>
    <w:p>
      <w:pPr>
        <w:pStyle w:val="Heading2"/>
      </w:pPr>
      <w:r>
        <w:t xml:space="preserve">3.2 Structural mechanisms of nutrient stabilization</w:t>
      </w:r>
    </w:p>
    <w:p>
      <w:pPr>
        <w:pStyle w:val="FirstParagraph"/>
      </w:pPr>
      <w:r>
        <w:t xml:space="preserve">In the structural model, humic-to-total path coefficients exceeded 1.2, whereas labile-to-total coefficients were approximately −0.3 (Figure 5), indicating that chemical-capital accumulation is governed primarily by stabilization in fractions with greater temporal inertia. These negative labile coefficients should be interpreted as a mass-transfer signature between a high-turnover reservoir and a persistent reservoir, compatible with humification kinetics and the transient nature of the labile compartment, rather than as a functional penalty</w:t>
      </w:r>
      <w:r>
        <w:t xml:space="preserve"> </w:t>
      </w:r>
      <w:r>
        <w:t xml:space="preserve">(Hair Jr. et al. 2021)</w:t>
      </w:r>
      <w:r>
        <w:t xml:space="preserve">.</w:t>
      </w:r>
    </w:p>
    <w:bookmarkStart w:id="40" w:name="fig:5"/>
    <w:p>
      <w:pPr>
        <w:pStyle w:val="CaptionedFigure"/>
      </w:pPr>
      <w:r>
        <w:drawing>
          <wp:inline>
            <wp:extent cx="4267200" cy="3620568"/>
            <wp:effectExtent b="0" l="0" r="0" t="0"/>
            <wp:docPr descr="Figure 5. Second-order hierarchical component model (HCM) integrating functional fractions of nitrogen and phosphorus via PLS-SEM. First-order constructs are Humic N (fulvic acid N, humic acid N, humin N), Labile N (labile N, light organic matter N), Humic P (fulvic acid P, humic acid P, humin P), and Labile P (labile P, light organic matter P)." title="" id="38" name="Picture"/>
            <a:graphic>
              <a:graphicData uri="http://schemas.openxmlformats.org/drawingml/2006/picture">
                <pic:pic>
                  <pic:nvPicPr>
                    <pic:cNvPr descr="../../../2-FIGURAS/analise_caminhos_pls.png" id="39" name="Picture"/>
                    <pic:cNvPicPr>
                      <a:picLocks noChangeArrowheads="1" noChangeAspect="1"/>
                    </pic:cNvPicPr>
                  </pic:nvPicPr>
                  <pic:blipFill>
                    <a:blip r:embed="rId37"/>
                    <a:stretch>
                      <a:fillRect/>
                    </a:stretch>
                  </pic:blipFill>
                  <pic:spPr bwMode="auto">
                    <a:xfrm>
                      <a:off x="0" y="0"/>
                      <a:ext cx="4267200" cy="3620568"/>
                    </a:xfrm>
                    <a:prstGeom prst="rect">
                      <a:avLst/>
                    </a:prstGeom>
                    <a:noFill/>
                    <a:ln w="9525">
                      <a:noFill/>
                      <a:headEnd/>
                      <a:tailEnd/>
                    </a:ln>
                  </pic:spPr>
                </pic:pic>
              </a:graphicData>
            </a:graphic>
          </wp:inline>
        </w:drawing>
      </w:r>
    </w:p>
    <w:p>
      <w:pPr>
        <w:pStyle w:val="ImageCaption"/>
      </w:pPr>
      <w:r>
        <w:t xml:space="preserve">Figure 5. Second-order hierarchical component model (HCM) integrating functional fractions of nitrogen and phosphorus via PLS-SEM. First-order constructs are Humic N (fulvic acid N, humic acid N, humin N), Labile N (labile N, light organic matter N), Humic P (fulvic acid P, humic acid P, humin P), and Labile P (labile P, light organic matter P).</w:t>
      </w:r>
    </w:p>
    <w:bookmarkEnd w:id="40"/>
    <w:p>
      <w:pPr>
        <w:pStyle w:val="BodyText"/>
      </w:pPr>
      <w:r>
        <w:rPr>
          <w:i/>
          <w:iCs/>
        </w:rPr>
        <w:t xml:space="preserve">Note: Second-order endogenous constructs are Total N and Total P. Solid arrows indicate positive paths, and dashed arrows indicate negative paths. Coefficient ranges across the five land-use systems are shown on each edge.</w:t>
      </w:r>
    </w:p>
    <w:p>
      <w:pPr>
        <w:pStyle w:val="BodyText"/>
      </w:pPr>
      <w:r>
        <w:t xml:space="preserve">As proposed by</w:t>
      </w:r>
      <w:r>
        <w:t xml:space="preserve"> </w:t>
      </w:r>
      <w:r>
        <w:t xml:space="preserve">Lehmann and Kleber (2015)</w:t>
      </w:r>
      <w:r>
        <w:t xml:space="preserve">, the continuum model of SOM implies that labile compounds are continuously processed and stabilized. Within this framework, a high stock of labile N or P that is not translated into humic N or P indicates interrupted humification or excessive mineralization, which is typical of conventionally tilled agriculture. Conversely, balanced coefficients in Cerrado and Eucalyptus systems indicate an active flux of labile inputs into stable reserves</w:t>
      </w:r>
      <w:r>
        <w:t xml:space="preserve"> </w:t>
      </w:r>
      <w:r>
        <w:t xml:space="preserve">(Gmach et al. 2018)</w:t>
      </w:r>
      <w:r>
        <w:t xml:space="preserve">.</w:t>
      </w:r>
    </w:p>
    <w:p>
      <w:pPr>
        <w:pStyle w:val="BodyText"/>
      </w:pPr>
      <w:r>
        <w:t xml:space="preserve">The symmetry between N and P pathways in the structural model reinforces the concept of biogeochemical co-stabilization.</w:t>
      </w:r>
      <w:r>
        <w:t xml:space="preserve"> </w:t>
      </w:r>
      <w:r>
        <w:t xml:space="preserve">Junior et al. (2021)</w:t>
      </w:r>
      <w:r>
        <w:t xml:space="preserve"> </w:t>
      </w:r>
      <w:r>
        <w:t xml:space="preserve">reported that, in Brazilian Cerrado soils, disruption of this coupling, such as excessive P fertilization without organic inputs, may reduce SOM quality. Herein, the results extend this interpretation by indicating that this coupling may be maintained under silvicultural transitions, provided that soil physical structure is preserved. The global PLS-SEM fit corroborated the structural adequacy of the model, with R² = 0.959 for both total N and total P endogenous constructs, standardized root mean squared residual (SRMR) below 0.06, composite reliability exceeding 0.97</w:t>
      </w:r>
      <w:r>
        <w:t xml:space="preserve"> </w:t>
      </w:r>
      <w:r>
        <w:t xml:space="preserve">(Hair Jr. et al. 2021)</w:t>
      </w:r>
      <w:r>
        <w:t xml:space="preserve">, and average variance extracted (AVE) above 0.95</w:t>
      </w:r>
      <w:r>
        <w:t xml:space="preserve"> </w:t>
      </w:r>
      <w:r>
        <w:t xml:space="preserve">(Henseler et al. 2015)</w:t>
      </w:r>
      <w:r>
        <w:t xml:space="preserve">. Collectively, these metrics indicate that the latent constructs captured more than 95% of the indicator variance, with satisfactory discriminant validity, regarding the Fornell–Larcker criterion</w:t>
      </w:r>
      <w:r>
        <w:t xml:space="preserve"> </w:t>
      </w:r>
      <w:r>
        <w:t xml:space="preserve">(Fornell and Larcker 1981)</w:t>
      </w:r>
      <w:r>
        <w:t xml:space="preserve">.</w:t>
      </w:r>
    </w:p>
    <w:bookmarkEnd w:id="41"/>
    <w:bookmarkStart w:id="42" w:name="functional-heterogeneity-among-land-uses"/>
    <w:p>
      <w:pPr>
        <w:pStyle w:val="Heading2"/>
      </w:pPr>
      <w:r>
        <w:t xml:space="preserve">3.3 Functional heterogeneity among land uses</w:t>
      </w:r>
    </w:p>
    <w:p>
      <w:pPr>
        <w:pStyle w:val="FirstParagraph"/>
      </w:pPr>
      <w:r>
        <w:t xml:space="preserve">Multi-group analysis revealed humic coefficients ranging from β = 1.180 in Agriculture to β = 1.372 in Teak, indicating that management alters stabilization pathways (Table 2). Native Cerrado exhibited high humic coefficients (β = 1.286), representing a functional baseline in which nutrient cycling is tightly coupled and efficient.</w:t>
      </w:r>
    </w:p>
    <w:p>
      <w:pPr>
        <w:pStyle w:val="BodyText"/>
      </w:pPr>
      <w:r>
        <w:t xml:space="preserve">Agriculture showed reduced humic efficiency (β = 1.180), consistent with</w:t>
      </w:r>
      <w:r>
        <w:t xml:space="preserve"> </w:t>
      </w:r>
      <w:r>
        <w:t xml:space="preserve">Silva et al. (2024)</w:t>
      </w:r>
      <w:r>
        <w:t xml:space="preserve">, who reported that conversion of Cerrado to agriculture accelerates particulate organic matter oxidation. Physical aggregate disruption by tillage exposes previously protected organic matter to microbial attack</w:t>
      </w:r>
      <w:r>
        <w:t xml:space="preserve"> </w:t>
      </w:r>
      <w:r>
        <w:t xml:space="preserve">(Assunção et al. 2019; Purwanto and Alam 2020)</w:t>
      </w:r>
      <w:r>
        <w:t xml:space="preserve">, thereby decoupling N and P cycles.</w:t>
      </w:r>
    </w:p>
    <w:p>
      <w:pPr>
        <w:pStyle w:val="BodyText"/>
      </w:pPr>
      <w:r>
        <w:rPr>
          <w:b/>
          <w:bCs/>
        </w:rPr>
        <w:t xml:space="preserve">Table 2. Path coefficients stratified by land-use system.</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Land use</w:t>
            </w:r>
          </w:p>
        </w:tc>
        <w:tc>
          <w:tcPr/>
          <w:p>
            <w:pPr>
              <w:pStyle w:val="Compact"/>
            </w:pPr>
            <w:r>
              <w:t xml:space="preserve">Humic N → Total N</w:t>
            </w:r>
          </w:p>
        </w:tc>
        <w:tc>
          <w:tcPr/>
          <w:p>
            <w:pPr>
              <w:pStyle w:val="Compact"/>
            </w:pPr>
            <w:r>
              <w:t xml:space="preserve">Labile N → Total N</w:t>
            </w:r>
          </w:p>
        </w:tc>
        <w:tc>
          <w:tcPr/>
          <w:p>
            <w:pPr>
              <w:pStyle w:val="Compact"/>
            </w:pPr>
            <w:r>
              <w:t xml:space="preserve">Humic P → Total P</w:t>
            </w:r>
          </w:p>
        </w:tc>
        <w:tc>
          <w:tcPr/>
          <w:p>
            <w:pPr>
              <w:pStyle w:val="Compact"/>
            </w:pPr>
            <w:r>
              <w:t xml:space="preserve">Labile P → Total P</w:t>
            </w:r>
          </w:p>
        </w:tc>
      </w:tr>
      <w:tr>
        <w:tc>
          <w:tcPr/>
          <w:p>
            <w:pPr>
              <w:pStyle w:val="Compact"/>
            </w:pPr>
            <w:r>
              <w:t xml:space="preserve">Cerrado</w:t>
            </w:r>
          </w:p>
        </w:tc>
        <w:tc>
          <w:tcPr/>
          <w:p>
            <w:pPr>
              <w:pStyle w:val="Compact"/>
            </w:pPr>
            <w:r>
              <w:t xml:space="preserve">1.286</w:t>
            </w:r>
          </w:p>
        </w:tc>
        <w:tc>
          <w:tcPr/>
          <w:p>
            <w:pPr>
              <w:pStyle w:val="Compact"/>
            </w:pPr>
            <w:r>
              <w:t xml:space="preserve">-0.313</w:t>
            </w:r>
          </w:p>
        </w:tc>
        <w:tc>
          <w:tcPr/>
          <w:p>
            <w:pPr>
              <w:pStyle w:val="Compact"/>
            </w:pPr>
            <w:r>
              <w:t xml:space="preserve">1.286</w:t>
            </w:r>
          </w:p>
        </w:tc>
        <w:tc>
          <w:tcPr/>
          <w:p>
            <w:pPr>
              <w:pStyle w:val="Compact"/>
            </w:pPr>
            <w:r>
              <w:t xml:space="preserve">-0.313</w:t>
            </w:r>
          </w:p>
        </w:tc>
      </w:tr>
      <w:tr>
        <w:tc>
          <w:tcPr/>
          <w:p>
            <w:pPr>
              <w:pStyle w:val="Compact"/>
            </w:pPr>
            <w:r>
              <w:t xml:space="preserve">Agriculture</w:t>
            </w:r>
          </w:p>
        </w:tc>
        <w:tc>
          <w:tcPr/>
          <w:p>
            <w:pPr>
              <w:pStyle w:val="Compact"/>
            </w:pPr>
            <w:r>
              <w:t xml:space="preserve">1.180</w:t>
            </w:r>
          </w:p>
        </w:tc>
        <w:tc>
          <w:tcPr/>
          <w:p>
            <w:pPr>
              <w:pStyle w:val="Compact"/>
            </w:pPr>
            <w:r>
              <w:t xml:space="preserve">-0.237</w:t>
            </w:r>
          </w:p>
        </w:tc>
        <w:tc>
          <w:tcPr/>
          <w:p>
            <w:pPr>
              <w:pStyle w:val="Compact"/>
            </w:pPr>
            <w:r>
              <w:t xml:space="preserve">1.180</w:t>
            </w:r>
          </w:p>
        </w:tc>
        <w:tc>
          <w:tcPr/>
          <w:p>
            <w:pPr>
              <w:pStyle w:val="Compact"/>
            </w:pPr>
            <w:r>
              <w:t xml:space="preserve">-0.237</w:t>
            </w:r>
          </w:p>
        </w:tc>
      </w:tr>
      <w:tr>
        <w:tc>
          <w:tcPr/>
          <w:p>
            <w:pPr>
              <w:pStyle w:val="Compact"/>
            </w:pPr>
            <w:r>
              <w:t xml:space="preserve">African mahogany</w:t>
            </w:r>
          </w:p>
        </w:tc>
        <w:tc>
          <w:tcPr/>
          <w:p>
            <w:pPr>
              <w:pStyle w:val="Compact"/>
            </w:pPr>
            <w:r>
              <w:t xml:space="preserve">1.271</w:t>
            </w:r>
          </w:p>
        </w:tc>
        <w:tc>
          <w:tcPr/>
          <w:p>
            <w:pPr>
              <w:pStyle w:val="Compact"/>
            </w:pPr>
            <w:r>
              <w:t xml:space="preserve">-0.277</w:t>
            </w:r>
          </w:p>
        </w:tc>
        <w:tc>
          <w:tcPr/>
          <w:p>
            <w:pPr>
              <w:pStyle w:val="Compact"/>
            </w:pPr>
            <w:r>
              <w:t xml:space="preserve">1.271</w:t>
            </w:r>
          </w:p>
        </w:tc>
        <w:tc>
          <w:tcPr/>
          <w:p>
            <w:pPr>
              <w:pStyle w:val="Compact"/>
            </w:pPr>
            <w:r>
              <w:t xml:space="preserve">-0.277</w:t>
            </w:r>
          </w:p>
        </w:tc>
      </w:tr>
      <w:tr>
        <w:tc>
          <w:tcPr/>
          <w:p>
            <w:pPr>
              <w:pStyle w:val="Compact"/>
            </w:pPr>
            <w:r>
              <w:t xml:space="preserve">Eucalyptus</w:t>
            </w:r>
          </w:p>
        </w:tc>
        <w:tc>
          <w:tcPr/>
          <w:p>
            <w:pPr>
              <w:pStyle w:val="Compact"/>
            </w:pPr>
            <w:r>
              <w:t xml:space="preserve">1.275</w:t>
            </w:r>
          </w:p>
        </w:tc>
        <w:tc>
          <w:tcPr/>
          <w:p>
            <w:pPr>
              <w:pStyle w:val="Compact"/>
            </w:pPr>
            <w:r>
              <w:t xml:space="preserve">-0.283</w:t>
            </w:r>
          </w:p>
        </w:tc>
        <w:tc>
          <w:tcPr/>
          <w:p>
            <w:pPr>
              <w:pStyle w:val="Compact"/>
            </w:pPr>
            <w:r>
              <w:t xml:space="preserve">1.275</w:t>
            </w:r>
          </w:p>
        </w:tc>
        <w:tc>
          <w:tcPr/>
          <w:p>
            <w:pPr>
              <w:pStyle w:val="Compact"/>
            </w:pPr>
            <w:r>
              <w:t xml:space="preserve">-0.283</w:t>
            </w:r>
          </w:p>
        </w:tc>
      </w:tr>
      <w:tr>
        <w:tc>
          <w:tcPr/>
          <w:p>
            <w:pPr>
              <w:pStyle w:val="Compact"/>
            </w:pPr>
            <w:r>
              <w:t xml:space="preserve">Teak</w:t>
            </w:r>
          </w:p>
        </w:tc>
        <w:tc>
          <w:tcPr/>
          <w:p>
            <w:pPr>
              <w:pStyle w:val="Compact"/>
            </w:pPr>
            <w:r>
              <w:t xml:space="preserve">1.372</w:t>
            </w:r>
          </w:p>
        </w:tc>
        <w:tc>
          <w:tcPr/>
          <w:p>
            <w:pPr>
              <w:pStyle w:val="Compact"/>
            </w:pPr>
            <w:r>
              <w:t xml:space="preserve">-0.445</w:t>
            </w:r>
          </w:p>
        </w:tc>
        <w:tc>
          <w:tcPr/>
          <w:p>
            <w:pPr>
              <w:pStyle w:val="Compact"/>
            </w:pPr>
            <w:r>
              <w:t xml:space="preserve">1.372</w:t>
            </w:r>
          </w:p>
        </w:tc>
        <w:tc>
          <w:tcPr/>
          <w:p>
            <w:pPr>
              <w:pStyle w:val="Compact"/>
            </w:pPr>
            <w:r>
              <w:t xml:space="preserve">-0.445</w:t>
            </w:r>
          </w:p>
        </w:tc>
      </w:tr>
    </w:tbl>
    <w:p>
      <w:pPr>
        <w:pStyle w:val="BodyText"/>
      </w:pPr>
      <w:r>
        <w:rPr>
          <w:i/>
          <w:iCs/>
        </w:rPr>
        <w:t xml:space="preserve">Note: Standardized values indicate the magnitude of structural relationships within each land-use system.</w:t>
      </w:r>
    </w:p>
    <w:p>
      <w:pPr>
        <w:pStyle w:val="BodyText"/>
      </w:pPr>
      <w:r>
        <w:t xml:space="preserve">Among the silvicultural systems, Eucalyptus (β = 1.275) and African mahogany (β = 1.271) closely approximated native Cerrado functionality. This resilience may be attributed to the maintenance of a permanent litter layer and the absence of soil disturbance after plantation establishment.</w:t>
      </w:r>
      <w:r>
        <w:t xml:space="preserve"> </w:t>
      </w:r>
      <w:r>
        <w:t xml:space="preserve">St. Luce et al. (2022)</w:t>
      </w:r>
      <w:r>
        <w:t xml:space="preserve"> </w:t>
      </w:r>
      <w:r>
        <w:t xml:space="preserve">reported that deep-rooted tree plantations can pump nutrients from subsoil layers and redistribute them to the surface through litterfall, effectively contributing to nutrient-cycle closure.</w:t>
      </w:r>
    </w:p>
    <w:p>
      <w:pPr>
        <w:pStyle w:val="BodyText"/>
      </w:pPr>
      <w:r>
        <w:t xml:space="preserve">Teak revealed a distinct anomaly, with the highest humic coefficient (β = 1.372) paired with the most negative labile coefficient (β = −0.445). Although this pattern may appear favorable in a purely structural interpretation, it is consistent with a cycling bottleneck associated with low litter decomposability. Teak litter is known for its high lignin content and secondary metabolites, such as tectoquinone, which can reduce decomposition rates and delay nutrient return to labile pools</w:t>
      </w:r>
      <w:r>
        <w:t xml:space="preserve"> </w:t>
      </w:r>
      <w:r>
        <w:t xml:space="preserve">(Araújo Filho et al. 2025)</w:t>
      </w:r>
      <w:r>
        <w:t xml:space="preserve">. Combined with the higher bulk density observed in Teak stands (Appendix 2), this result is consistent with increased physical and biochemical impedance, shifting the system toward accumulation in recalcitrant forms and reducing short-term renewal, a condition associated with functional stagnation in compacted soils</w:t>
      </w:r>
      <w:r>
        <w:t xml:space="preserve"> </w:t>
      </w:r>
      <w:r>
        <w:t xml:space="preserve">(Locatelli et al. 2023)</w:t>
      </w:r>
      <w:r>
        <w:t xml:space="preserve">.</w:t>
      </w:r>
    </w:p>
    <w:p>
      <w:pPr>
        <w:pStyle w:val="BodyText"/>
      </w:pPr>
      <w:r>
        <w:t xml:space="preserve">Plantation ages differed among the evaluated systems: Eucalyptus, 5 years; Mahogany, 7 years; and Teak, 10 years (Table 1). This reflects the fact that the sampled areas correspond to land uses established in the landscape at different dates, characterizing a space-for-time substitution design</w:t>
      </w:r>
      <w:r>
        <w:t xml:space="preserve"> </w:t>
      </w:r>
      <w:r>
        <w:t xml:space="preserve">(Pickett 1989)</w:t>
      </w:r>
      <w:r>
        <w:t xml:space="preserve">, in which coexisting systems at different post-conversion stages serve as proxies for temporal trajectories.</w:t>
      </w:r>
      <w:r>
        <w:t xml:space="preserve"> </w:t>
      </w:r>
      <w:r>
        <w:t xml:space="preserve">Walker et al. (2010)</w:t>
      </w:r>
      <w:r>
        <w:t xml:space="preserve"> </w:t>
      </w:r>
      <w:r>
        <w:t xml:space="preserve">demonstrated that such designs may yield reliable inferences on soil development when sites share comparable parent material, climate, and topographic position. These conditions were satisfied in the present study, given the uniform Oxisol substrate and the spatial proximity of all evaluated areas within the same farm.</w:t>
      </w:r>
    </w:p>
    <w:bookmarkEnd w:id="42"/>
    <w:bookmarkStart w:id="47" w:name="X13986f04ee2da35ce98b634b1ca76b6a9477116"/>
    <w:p>
      <w:pPr>
        <w:pStyle w:val="Heading2"/>
      </w:pPr>
      <w:r>
        <w:t xml:space="preserve">3.4 Fuzzy integration of edaphic functionality and the FSNSI</w:t>
      </w:r>
    </w:p>
    <w:p>
      <w:pPr>
        <w:pStyle w:val="FirstParagraph"/>
      </w:pPr>
      <w:r>
        <w:t xml:space="preserve">The fitted GLM indicated a statistically significant land-use effect on FSNSI (p &lt; 0.001; Deviance/df = 0.082; Pearson/df = 0.075), and adjusted marginal estimates indicated higher functionality in the Eucalyptus system, whose mean differed significantly from native Cerrado (p &lt; 0.05). Adjusted marginal means ranked in decreasing order as Eucalyptus (Exp(B) = 6.07; 95% CI: 5.45–6.69), Mahogany (Exp(B) = 4.54; 95% CI: 3.98–5.10), Cerrado (Exp(B) = 4.42; 95% CI: 3.80–5.04), Agriculture (Exp(B) = 4.25; 95% CI: 3.68–4.82), and Teak (Exp(B) = 2.77; 95% CI: 2.35–3.19), suggesting that functionality tends to be highest under continuous organic inputs without post-establishment soil disturbance and lowest where biochemical impedance restricts nutrient cycling.</w:t>
      </w:r>
    </w:p>
    <w:p>
      <w:pPr>
        <w:pStyle w:val="BodyText"/>
      </w:pPr>
      <w:r>
        <w:t xml:space="preserve">Eucalyptus exceeded Cerrado (Exp(B) = 6.07 versus 4.42), but this pattern is conditional on the sampling window and on how the index weights chemical capital (N and P) and physical constraint (bulk density). The result is consistent with higher inputs and limited post-establishment disturbance</w:t>
      </w:r>
      <w:r>
        <w:t xml:space="preserve"> </w:t>
      </w:r>
      <w:r>
        <w:t xml:space="preserve">(Robinson et al. 2022)</w:t>
      </w:r>
      <w:r>
        <w:t xml:space="preserve">, and evidence indicates that well-managed plantations may surpass native baselines for specific soil functions under optimized inputs</w:t>
      </w:r>
      <w:r>
        <w:t xml:space="preserve"> </w:t>
      </w:r>
      <w:r>
        <w:t xml:space="preserve">(Tang et al. 2023)</w:t>
      </w:r>
      <w:r>
        <w:t xml:space="preserve">.</w:t>
      </w:r>
    </w:p>
    <w:p>
      <w:pPr>
        <w:pStyle w:val="BodyText"/>
      </w:pPr>
      <w:r>
        <w:t xml:space="preserve">Across land uses, FSNSI ranged from 1.56 to 8.57, and shifts in medians and within-use dispersion revealed functional heterogeneity integrated by fuzzy aggregation (Figure 6).</w:t>
      </w:r>
    </w:p>
    <w:bookmarkStart w:id="46" w:name="fig:6"/>
    <w:p>
      <w:pPr>
        <w:pStyle w:val="CaptionedFigure"/>
      </w:pPr>
      <w:r>
        <w:drawing>
          <wp:inline>
            <wp:extent cx="3733800" cy="2800349"/>
            <wp:effectExtent b="0" l="0" r="0" t="0"/>
            <wp:docPr descr="Figure 6. Distribution of the Fuzzy Soil Nutritional Sustainability Index (FSNSI) by land use." title="" id="44" name="Picture"/>
            <a:graphic>
              <a:graphicData uri="http://schemas.openxmlformats.org/drawingml/2006/picture">
                <pic:pic>
                  <pic:nvPicPr>
                    <pic:cNvPr descr="../../../2-FIGURAS/boxplot_fsnsi_uso_terra.png" id="45" name="Picture"/>
                    <pic:cNvPicPr>
                      <a:picLocks noChangeArrowheads="1" noChangeAspect="1"/>
                    </pic:cNvPicPr>
                  </pic:nvPicPr>
                  <pic:blipFill>
                    <a:blip r:embed="rId43"/>
                    <a:stretch>
                      <a:fillRect/>
                    </a:stretch>
                  </pic:blipFill>
                  <pic:spPr bwMode="auto">
                    <a:xfrm>
                      <a:off x="0" y="0"/>
                      <a:ext cx="3733800" cy="2800349"/>
                    </a:xfrm>
                    <a:prstGeom prst="rect">
                      <a:avLst/>
                    </a:prstGeom>
                    <a:noFill/>
                    <a:ln w="9525">
                      <a:noFill/>
                      <a:headEnd/>
                      <a:tailEnd/>
                    </a:ln>
                  </pic:spPr>
                </pic:pic>
              </a:graphicData>
            </a:graphic>
          </wp:inline>
        </w:drawing>
      </w:r>
    </w:p>
    <w:p>
      <w:pPr>
        <w:pStyle w:val="ImageCaption"/>
      </w:pPr>
      <w:r>
        <w:t xml:space="preserve">Figure 6. Distribution of the Fuzzy Soil Nutritional Sustainability Index (FSNSI) by land use.</w:t>
      </w:r>
    </w:p>
    <w:bookmarkEnd w:id="46"/>
    <w:p>
      <w:pPr>
        <w:pStyle w:val="BodyText"/>
      </w:pPr>
      <w:r>
        <w:rPr>
          <w:i/>
          <w:iCs/>
        </w:rPr>
        <w:t xml:space="preserve">Note: Different letters indicate significant differences according to Tukey’s Honest Significant Difference (HSD) test (p &lt; 0.05). Points represent individual values.</w:t>
      </w:r>
    </w:p>
    <w:p>
      <w:pPr>
        <w:pStyle w:val="BodyText"/>
      </w:pPr>
      <w:r>
        <w:t xml:space="preserve">Native Cerrado showed a bimodal distribution (50% low and 40% high functionality), reflecting strong natural vertical stratification</w:t>
      </w:r>
      <w:r>
        <w:t xml:space="preserve"> </w:t>
      </w:r>
      <w:r>
        <w:t xml:space="preserve">(Souza Almeida et al. 2021)</w:t>
      </w:r>
      <w:r>
        <w:t xml:space="preserve">. The wide FSNSI range (1.56–8.57) captures the contrast between organic-rich, porous surface layers (0–20 cm) and a chemically impoverished, naturally compacted subsoil typical of these Oxisols. Conventional agriculture (Exp(B) = 4.25; 95% CI: 3.68–4.82) revealed a tendency toward vertical homogenization (CV = 60.6%), consistent with mechanized tillage, which mixes soil layers and reduces structural gradients</w:t>
      </w:r>
      <w:r>
        <w:t xml:space="preserve"> </w:t>
      </w:r>
      <w:r>
        <w:t xml:space="preserve">(Leal et al. 2024)</w:t>
      </w:r>
      <w:r>
        <w:t xml:space="preserve">. Although functionality is compromised, 22.5% of samples reached the</w:t>
      </w:r>
      <w:r>
        <w:t xml:space="preserve"> </w:t>
      </w:r>
      <w:r>
        <w:t xml:space="preserve">“High”</w:t>
      </w:r>
      <w:r>
        <w:t xml:space="preserve"> </w:t>
      </w:r>
      <w:r>
        <w:t xml:space="preserve">class, plausibly due to surface fertilization and residual SOM accumulation</w:t>
      </w:r>
      <w:r>
        <w:t xml:space="preserve"> </w:t>
      </w:r>
      <w:r>
        <w:t xml:space="preserve">(Camargo et al. 2024)</w:t>
      </w:r>
      <w:r>
        <w:t xml:space="preserve">.</w:t>
      </w:r>
    </w:p>
    <w:p>
      <w:pPr>
        <w:pStyle w:val="BodyText"/>
      </w:pPr>
      <w:r>
        <w:t xml:space="preserve">Correlations between FSNSI and nutrient pools were strong (r = 0.616–0.789; p &lt; 0.001), supporting the internal coherence of the index (Table 3). FSNSI responds simultaneously to persistent chemical capital and short-turnover nutrient capital while penalizing physical impedance through bulk density, consistent with the principle that robust soil quality indicators must integrate physical, chemical, and biological attributes rather than rely on isolated measurements</w:t>
      </w:r>
      <w:r>
        <w:t xml:space="preserve"> </w:t>
      </w:r>
      <w:r>
        <w:t xml:space="preserve">(Doran and Parkin 1994)</w:t>
      </w:r>
      <w:r>
        <w:t xml:space="preserve">. This integrative property reduces the interpretive complexity typical of univariate readings and shifts the assessment from fertility to functionality, where stabilization, cycling, and physical constraints coexist as coupled components of system performance. This approach was previously validated for physical indicators of Oxisols under contrasting land uses by</w:t>
      </w:r>
      <w:r>
        <w:t xml:space="preserve"> </w:t>
      </w:r>
      <w:r>
        <w:t xml:space="preserve">Cavalcante et al. (2021)</w:t>
      </w:r>
      <w:r>
        <w:t xml:space="preserve">.</w:t>
      </w:r>
    </w:p>
    <w:p>
      <w:pPr>
        <w:pStyle w:val="BodyText"/>
      </w:pPr>
      <w:r>
        <w:t xml:space="preserve">The positive association with total pools indicates that the indicator captures long-term nutrient storage, a relationship consistent with the role of organic matter in sustaining soil water retention and nutrient buffering capacity</w:t>
      </w:r>
      <w:r>
        <w:t xml:space="preserve"> </w:t>
      </w:r>
      <w:r>
        <w:t xml:space="preserve">(Lal 2020)</w:t>
      </w:r>
      <w:r>
        <w:t xml:space="preserve">. The negative association with bulk density indicates that structural compaction constrains edaphic performance by reducing effective pore space for gas and water transfer, in agreement with the mechanistic framework relating bulk density to aeration, hydraulic conductivity, and root impedance established by</w:t>
      </w:r>
      <w:r>
        <w:t xml:space="preserve"> </w:t>
      </w:r>
      <w:r>
        <w:t xml:space="preserve">Letey (1985)</w:t>
      </w:r>
      <w:r>
        <w:t xml:space="preserve">.</w:t>
      </w:r>
    </w:p>
    <w:bookmarkEnd w:id="47"/>
    <w:bookmarkStart w:id="48" w:name="X347f789ac3efba5a1f32a6332edbf4de77a37cf"/>
    <w:p>
      <w:pPr>
        <w:pStyle w:val="Heading2"/>
      </w:pPr>
      <w:r>
        <w:t xml:space="preserve">3.5 How FSNSI improves interpretation of N and P functional dynamics</w:t>
      </w:r>
    </w:p>
    <w:p>
      <w:pPr>
        <w:pStyle w:val="FirstParagraph"/>
      </w:pPr>
      <w:r>
        <w:t xml:space="preserve">The FSNSI framework improves interpretation because it converts multivariate and partially collinear soil information into a single response variable that preserves mechanistic meaning across land uses</w:t>
      </w:r>
      <w:r>
        <w:t xml:space="preserve"> </w:t>
      </w:r>
      <w:r>
        <w:t xml:space="preserve">(Karlen et al. 1997)</w:t>
      </w:r>
      <w:r>
        <w:t xml:space="preserve">, addressing the recognized challenge that multivariate soil assessments produce indicators that are difficult to compare directly when evaluated in isolation</w:t>
      </w:r>
      <w:r>
        <w:t xml:space="preserve"> </w:t>
      </w:r>
      <w:r>
        <w:t xml:space="preserve">(Bünemann et al. 2018)</w:t>
      </w:r>
      <w:r>
        <w:t xml:space="preserve">. Instead of evaluating isolated concentrations or stocks, the index integrates persistent nutrient capital, represented by total and humic-associated pools, with short-turnover pools and physical impedance represented by bulk density, following the multicriteria aggregation rationale demonstrated by</w:t>
      </w:r>
      <w:r>
        <w:t xml:space="preserve"> </w:t>
      </w:r>
      <w:r>
        <w:t xml:space="preserve">Mora-Herrera et al. (2020)</w:t>
      </w:r>
      <w:r>
        <w:t xml:space="preserve"> </w:t>
      </w:r>
      <w:r>
        <w:t xml:space="preserve">for fuzzy-based soil quality scoring.</w:t>
      </w:r>
    </w:p>
    <w:p>
      <w:pPr>
        <w:pStyle w:val="BodyText"/>
      </w:pPr>
      <w:r>
        <w:t xml:space="preserve">This joint representation allows direct comparison of functional states among management systems</w:t>
      </w:r>
      <w:r>
        <w:t xml:space="preserve"> </w:t>
      </w:r>
      <w:r>
        <w:t xml:space="preserve">(Andrews et al. 2002)</w:t>
      </w:r>
      <w:r>
        <w:t xml:space="preserve"> </w:t>
      </w:r>
      <w:r>
        <w:t xml:space="preserve">while maintaining sensitivity to the balance between stabilization and renewal, a property identified as necessary for soil quality indices intended to discriminate among land-use trajectories</w:t>
      </w:r>
      <w:r>
        <w:t xml:space="preserve"> </w:t>
      </w:r>
      <w:r>
        <w:t xml:space="preserve">(Mukherjee and Lal 2014)</w:t>
      </w:r>
      <w:r>
        <w:t xml:space="preserve">. In practical terms, the model identifies whether higher stocks are associated with effective co-stabilization in humic compartments or with transient accumulation under structural restriction, which is necessary for distinguishing resilient from vulnerable nutrient regimes. By combining PLS-based structural evidence with fuzzy aggregation, FSNSI therefore extends descriptive comparisons into an operational decision metric for monitoring, prioritization, and management targeting, consistent with the call for comprehensive and quantitative indices that move beyond isolated indicators toward integrated soil health assessment</w:t>
      </w:r>
      <w:r>
        <w:t xml:space="preserve"> </w:t>
      </w:r>
      <w:r>
        <w:t xml:space="preserve">(Rinot et al. 2019)</w:t>
      </w:r>
      <w:r>
        <w:t xml:space="preserve">.</w:t>
      </w:r>
    </w:p>
    <w:p>
      <w:pPr>
        <w:pStyle w:val="BodyText"/>
      </w:pPr>
      <w:r>
        <w:rPr>
          <w:b/>
          <w:bCs/>
        </w:rPr>
        <w:t xml:space="preserve">Table 3. Pearson correlation coefficients between soil variables and the Fuzzy Soil Nutritional Sustainability Index (FSNSI).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Correlation (r)</w:t>
            </w:r>
          </w:p>
        </w:tc>
        <w:tc>
          <w:tcPr/>
          <w:p>
            <w:pPr>
              <w:pStyle w:val="Compact"/>
            </w:pPr>
            <w:r>
              <w:t xml:space="preserve">p-value</w:t>
            </w:r>
          </w:p>
        </w:tc>
      </w:tr>
      <w:tr>
        <w:tc>
          <w:tcPr/>
          <w:p>
            <w:pPr>
              <w:pStyle w:val="Compact"/>
            </w:pPr>
            <w:r>
              <w:t xml:space="preserve">Total N</w:t>
            </w:r>
          </w:p>
        </w:tc>
        <w:tc>
          <w:tcPr/>
          <w:p>
            <w:pPr>
              <w:pStyle w:val="Compact"/>
            </w:pPr>
            <w:r>
              <w:t xml:space="preserve">+0.789</w:t>
            </w:r>
          </w:p>
        </w:tc>
        <w:tc>
          <w:tcPr/>
          <w:p>
            <w:pPr>
              <w:pStyle w:val="Compact"/>
            </w:pPr>
            <w:r>
              <w:t xml:space="preserve">&lt; 0.001</w:t>
            </w:r>
          </w:p>
        </w:tc>
      </w:tr>
      <w:tr>
        <w:tc>
          <w:tcPr/>
          <w:p>
            <w:pPr>
              <w:pStyle w:val="Compact"/>
            </w:pPr>
            <w:r>
              <w:t xml:space="preserve">Total P</w:t>
            </w:r>
          </w:p>
        </w:tc>
        <w:tc>
          <w:tcPr/>
          <w:p>
            <w:pPr>
              <w:pStyle w:val="Compact"/>
            </w:pPr>
            <w:r>
              <w:t xml:space="preserve">+0.789</w:t>
            </w:r>
          </w:p>
        </w:tc>
        <w:tc>
          <w:tcPr/>
          <w:p>
            <w:pPr>
              <w:pStyle w:val="Compact"/>
            </w:pPr>
            <w:r>
              <w:t xml:space="preserve">&lt; 0.001</w:t>
            </w:r>
          </w:p>
        </w:tc>
      </w:tr>
      <w:tr>
        <w:tc>
          <w:tcPr/>
          <w:p>
            <w:pPr>
              <w:pStyle w:val="Compact"/>
            </w:pPr>
            <w:r>
              <w:t xml:space="preserve">Labile N</w:t>
            </w:r>
          </w:p>
        </w:tc>
        <w:tc>
          <w:tcPr/>
          <w:p>
            <w:pPr>
              <w:pStyle w:val="Compact"/>
            </w:pPr>
            <w:r>
              <w:t xml:space="preserve">+0.627</w:t>
            </w:r>
          </w:p>
        </w:tc>
        <w:tc>
          <w:tcPr/>
          <w:p>
            <w:pPr>
              <w:pStyle w:val="Compact"/>
            </w:pPr>
            <w:r>
              <w:t xml:space="preserve">&lt; 0.001</w:t>
            </w:r>
          </w:p>
        </w:tc>
      </w:tr>
      <w:tr>
        <w:tc>
          <w:tcPr/>
          <w:p>
            <w:pPr>
              <w:pStyle w:val="Compact"/>
            </w:pPr>
            <w:r>
              <w:t xml:space="preserve">Labile P</w:t>
            </w:r>
          </w:p>
        </w:tc>
        <w:tc>
          <w:tcPr/>
          <w:p>
            <w:pPr>
              <w:pStyle w:val="Compact"/>
            </w:pPr>
            <w:r>
              <w:t xml:space="preserve">+0.627</w:t>
            </w:r>
          </w:p>
        </w:tc>
        <w:tc>
          <w:tcPr/>
          <w:p>
            <w:pPr>
              <w:pStyle w:val="Compact"/>
            </w:pPr>
            <w:r>
              <w:t xml:space="preserve">&lt; 0.001</w:t>
            </w:r>
          </w:p>
        </w:tc>
      </w:tr>
      <w:tr>
        <w:tc>
          <w:tcPr/>
          <w:p>
            <w:pPr>
              <w:pStyle w:val="Compact"/>
            </w:pPr>
            <w:r>
              <w:t xml:space="preserve">Humic N</w:t>
            </w:r>
          </w:p>
        </w:tc>
        <w:tc>
          <w:tcPr/>
          <w:p>
            <w:pPr>
              <w:pStyle w:val="Compact"/>
            </w:pPr>
            <w:r>
              <w:t xml:space="preserve">+0.616</w:t>
            </w:r>
          </w:p>
        </w:tc>
        <w:tc>
          <w:tcPr/>
          <w:p>
            <w:pPr>
              <w:pStyle w:val="Compact"/>
            </w:pPr>
            <w:r>
              <w:t xml:space="preserve">&lt; 0.001</w:t>
            </w:r>
          </w:p>
        </w:tc>
      </w:tr>
      <w:tr>
        <w:tc>
          <w:tcPr/>
          <w:p>
            <w:pPr>
              <w:pStyle w:val="Compact"/>
            </w:pPr>
            <w:r>
              <w:t xml:space="preserve">Humic P</w:t>
            </w:r>
          </w:p>
        </w:tc>
        <w:tc>
          <w:tcPr/>
          <w:p>
            <w:pPr>
              <w:pStyle w:val="Compact"/>
            </w:pPr>
            <w:r>
              <w:t xml:space="preserve">+0.616</w:t>
            </w:r>
          </w:p>
        </w:tc>
        <w:tc>
          <w:tcPr/>
          <w:p>
            <w:pPr>
              <w:pStyle w:val="Compact"/>
            </w:pPr>
            <w:r>
              <w:t xml:space="preserve">&lt; 0.001</w:t>
            </w:r>
          </w:p>
        </w:tc>
      </w:tr>
      <w:tr>
        <w:tc>
          <w:tcPr/>
          <w:p>
            <w:pPr>
              <w:pStyle w:val="Compact"/>
            </w:pPr>
            <w:r>
              <w:t xml:space="preserve">Bulk density</w:t>
            </w:r>
          </w:p>
        </w:tc>
        <w:tc>
          <w:tcPr/>
          <w:p>
            <w:pPr>
              <w:pStyle w:val="Compact"/>
            </w:pPr>
            <w:r>
              <w:t xml:space="preserve">-0.424</w:t>
            </w:r>
          </w:p>
        </w:tc>
        <w:tc>
          <w:tcPr/>
          <w:p>
            <w:pPr>
              <w:pStyle w:val="Compact"/>
            </w:pPr>
            <w:r>
              <w:t xml:space="preserve">&lt; 0.001</w:t>
            </w:r>
          </w:p>
        </w:tc>
      </w:tr>
      <w:tr>
        <w:tc>
          <w:tcPr/>
          <w:p>
            <w:pPr>
              <w:pStyle w:val="Compact"/>
            </w:pPr>
            <w:r>
              <w:t xml:space="preserve">Sand</w:t>
            </w:r>
          </w:p>
        </w:tc>
        <w:tc>
          <w:tcPr/>
          <w:p>
            <w:pPr>
              <w:pStyle w:val="Compact"/>
            </w:pPr>
            <w:r>
              <w:t xml:space="preserve">-0.439</w:t>
            </w:r>
          </w:p>
        </w:tc>
        <w:tc>
          <w:tcPr/>
          <w:p>
            <w:pPr>
              <w:pStyle w:val="Compact"/>
            </w:pPr>
            <w:r>
              <w:t xml:space="preserve">&lt; 0.001</w:t>
            </w:r>
          </w:p>
        </w:tc>
      </w:tr>
      <w:tr>
        <w:tc>
          <w:tcPr/>
          <w:p>
            <w:pPr>
              <w:pStyle w:val="Compact"/>
            </w:pPr>
            <w:r>
              <w:t xml:space="preserve">Clay</w:t>
            </w:r>
          </w:p>
        </w:tc>
        <w:tc>
          <w:tcPr/>
          <w:p>
            <w:pPr>
              <w:pStyle w:val="Compact"/>
            </w:pPr>
            <w:r>
              <w:t xml:space="preserve">+0.267</w:t>
            </w:r>
          </w:p>
        </w:tc>
        <w:tc>
          <w:tcPr/>
          <w:p>
            <w:pPr>
              <w:pStyle w:val="Compact"/>
            </w:pPr>
            <w:r>
              <w:t xml:space="preserve">0.001</w:t>
            </w:r>
          </w:p>
        </w:tc>
      </w:tr>
      <w:tr>
        <w:tc>
          <w:tcPr/>
          <w:p>
            <w:pPr>
              <w:pStyle w:val="Compact"/>
            </w:pPr>
            <w:r>
              <w:t xml:space="preserve">Silt</w:t>
            </w:r>
          </w:p>
        </w:tc>
        <w:tc>
          <w:tcPr/>
          <w:p>
            <w:pPr>
              <w:pStyle w:val="Compact"/>
            </w:pPr>
            <w:r>
              <w:t xml:space="preserve">+0.230</w:t>
            </w:r>
          </w:p>
        </w:tc>
        <w:tc>
          <w:tcPr/>
          <w:p>
            <w:pPr>
              <w:pStyle w:val="Compact"/>
            </w:pPr>
            <w:r>
              <w:t xml:space="preserve">&lt; 0.001</w:t>
            </w:r>
          </w:p>
        </w:tc>
      </w:tr>
    </w:tbl>
    <w:bookmarkEnd w:id="48"/>
    <w:bookmarkStart w:id="49" w:name="limitations-and-scope"/>
    <w:p>
      <w:pPr>
        <w:pStyle w:val="Heading2"/>
      </w:pPr>
      <w:r>
        <w:t xml:space="preserve">3.6 Limitations and scope</w:t>
      </w:r>
    </w:p>
    <w:p>
      <w:pPr>
        <w:pStyle w:val="FirstParagraph"/>
      </w:pPr>
      <w:r>
        <w:t xml:space="preserve">Direct soil organic carbon (SOC) measurements were outside the scope of this initial survey. However, N and P fractionation across humic and labile pools captures key dimensions of SOM functionality</w:t>
      </w:r>
      <w:r>
        <w:t xml:space="preserve"> </w:t>
      </w:r>
      <w:r>
        <w:t xml:space="preserve">(Paul 2016)</w:t>
      </w:r>
      <w:r>
        <w:t xml:space="preserve"> </w:t>
      </w:r>
      <w:r>
        <w:t xml:space="preserve">and provides a self-consistent basis for the structural relationships estimated by PLS-SEM. Future campaigns incorporating SOC quantification would enable the computation of stoichiometric ratios and may further refine the mechanistic interpretation of organomineral coupling</w:t>
      </w:r>
      <w:r>
        <w:t xml:space="preserve"> </w:t>
      </w:r>
      <w:r>
        <w:t xml:space="preserve">(Lehmann and Kleber 2015)</w:t>
      </w:r>
      <w:r>
        <w:t xml:space="preserve">.</w:t>
      </w:r>
    </w:p>
    <w:p>
      <w:pPr>
        <w:pStyle w:val="BodyText"/>
      </w:pPr>
      <w:r>
        <w:t xml:space="preserve">The dataset originates from a single sampling campaign, representing a cross-sectional snapshot commonly used in baseline monitoring and comparative land-use studies of established systems</w:t>
      </w:r>
      <w:r>
        <w:t xml:space="preserve"> </w:t>
      </w:r>
      <w:r>
        <w:t xml:space="preserve">(Vogel et al. 2018)</w:t>
      </w:r>
      <w:r>
        <w:t xml:space="preserve">. The consistency of the observed contrasts with independent studies conducted under comparable Cerrado conditions</w:t>
      </w:r>
      <w:r>
        <w:t xml:space="preserve"> </w:t>
      </w:r>
      <w:r>
        <w:t xml:space="preserve">(Gmach et al. 2018; Ferreira et al. 2021)</w:t>
      </w:r>
      <w:r>
        <w:t xml:space="preserve"> </w:t>
      </w:r>
      <w:r>
        <w:t xml:space="preserve">supports the representativeness of the observed patterns. However, temporal replication would allow the seasonal stability of FSNSI to be assessed as a monitoring indicator</w:t>
      </w:r>
      <w:r>
        <w:t xml:space="preserve"> </w:t>
      </w:r>
      <w:r>
        <w:t xml:space="preserve">(Greiner et al. 2018)</w:t>
      </w:r>
      <w:r>
        <w:t xml:space="preserve">.</w:t>
      </w:r>
    </w:p>
    <w:p>
      <w:pPr>
        <w:pStyle w:val="BodyText"/>
      </w:pPr>
      <w:r>
        <w:t xml:space="preserve">The space-for-time substitution design, widely employed in soil-development research</w:t>
      </w:r>
      <w:r>
        <w:t xml:space="preserve"> </w:t>
      </w:r>
      <w:r>
        <w:t xml:space="preserve">(Pickett 1989)</w:t>
      </w:r>
      <w:r>
        <w:t xml:space="preserve">, introduces stand-age heterogeneity as an inherent constraint.</w:t>
      </w:r>
      <w:r>
        <w:t xml:space="preserve"> </w:t>
      </w:r>
      <w:r>
        <w:t xml:space="preserve">Walker et al. (2010)</w:t>
      </w:r>
      <w:r>
        <w:t xml:space="preserve"> </w:t>
      </w:r>
      <w:r>
        <w:t xml:space="preserve">showed that such designs may yield reliable inferences when sites share parent material, climate, and topographic position, conditions satisfied herein by the uniform Oxisol substrate and the spatial proximity of all areas within the same farm. Paired chronosequence designs would provide additional control over age effects in future investigations.</w:t>
      </w:r>
    </w:p>
    <w:bookmarkEnd w:id="49"/>
    <w:bookmarkEnd w:id="50"/>
    <w:bookmarkStart w:id="57" w:name="conclusion"/>
    <w:p>
      <w:pPr>
        <w:pStyle w:val="Heading1"/>
      </w:pPr>
      <w:r>
        <w:t xml:space="preserve">4. Conclusion</w:t>
      </w:r>
    </w:p>
    <w:p>
      <w:pPr>
        <w:pStyle w:val="FirstParagraph"/>
      </w:pPr>
      <w:r>
        <w:t xml:space="preserve">The results suggest that soil nutrient functionality in Cerrado Oxisols is primarily regulated by humic retention mechanisms, with bulk density acting as a mediating constraint on biogeochemical fluxes. The proposed FSNSI differentiated among land-use systems, providing an operational indicator that integrates chemical capital and physical constraint into a single metric for environmental monitoring and assessment. FSNSI may support management prioritization by identifying systems with compromised functionality, such as conventional agriculture, while highlighting silvicultural alternatives that maintain part of the stabilization architecture. The capacity of FSNSI to synthesize biogeochemical relationships into an interpretable metric may contribute to soil functionality assessment in tropical environments, and its coupling with spatial data layers may support prioritization and routine monitoring within land-management programs.</w:t>
      </w:r>
    </w:p>
    <w:bookmarkStart w:id="51" w:name="funding"/>
    <w:p>
      <w:pPr>
        <w:pStyle w:val="Heading2"/>
      </w:pPr>
      <w:r>
        <w:t xml:space="preserve">Funding</w:t>
      </w:r>
    </w:p>
    <w:p>
      <w:pPr>
        <w:pStyle w:val="FirstParagraph"/>
      </w:pPr>
      <w:r>
        <w:t xml:space="preserve">The authors received no specific funding for this work.</w:t>
      </w:r>
    </w:p>
    <w:bookmarkEnd w:id="51"/>
    <w:bookmarkStart w:id="52" w:name="competing-interests"/>
    <w:p>
      <w:pPr>
        <w:pStyle w:val="Heading2"/>
      </w:pPr>
      <w:r>
        <w:t xml:space="preserve">Competing interests</w:t>
      </w:r>
    </w:p>
    <w:p>
      <w:pPr>
        <w:pStyle w:val="FirstParagraph"/>
      </w:pPr>
      <w:r>
        <w:t xml:space="preserve">The authors declare that they have no competing interests.</w:t>
      </w:r>
    </w:p>
    <w:bookmarkEnd w:id="52"/>
    <w:bookmarkStart w:id="53" w:name="ethics-approval"/>
    <w:p>
      <w:pPr>
        <w:pStyle w:val="Heading2"/>
      </w:pPr>
      <w:r>
        <w:t xml:space="preserve">Ethics approval</w:t>
      </w:r>
    </w:p>
    <w:p>
      <w:pPr>
        <w:pStyle w:val="FirstParagraph"/>
      </w:pPr>
      <w:r>
        <w:t xml:space="preserve">Not applicable.</w:t>
      </w:r>
    </w:p>
    <w:bookmarkEnd w:id="53"/>
    <w:bookmarkStart w:id="54" w:name="author-contributions-statement"/>
    <w:p>
      <w:pPr>
        <w:pStyle w:val="Heading2"/>
      </w:pPr>
      <w:r>
        <w:t xml:space="preserve">Author Contributions Statement</w:t>
      </w:r>
    </w:p>
    <w:p>
      <w:pPr>
        <w:pStyle w:val="FirstParagraph"/>
      </w:pPr>
      <w:r>
        <w:t xml:space="preserve">RNAF: Renisson Neponuceno de Araújo Filho; LDVS: Luiz Diego Vidal Santos; FSRH: Francisco Sandro Rodrigues Holanda; AP: Alceu Pedrotti; OCL: Olavo da Costa Leite; LMP: Ludmilla Morais Pereira; MBSS: Mateus Barbosa Santos da Silva; JMS: Jémison Mattos dos Santos. Conceptualization: RNAF, LDVS, FSRH, AP. Methodology: RNAF, LDVS, FSRH, AP. Formal analysis: LDVS, JMS. Investigation: RNAF, OCL, LMP. Data curation: LDVS, MBSS, JMS. Visualization: LDVS, MBSS. Writing – original draft: LDVS. Writing – review &amp; editing: RNAF, LDVS, FSRH, AP, OCL, LMP, MBSS, JMS. Supervision: RNAF, FSRH, AP. Project administration: RNAF. Funding acquisition: None. All authors read and approved the final manuscript.</w:t>
      </w:r>
    </w:p>
    <w:bookmarkEnd w:id="54"/>
    <w:bookmarkStart w:id="56" w:name="data-availability"/>
    <w:p>
      <w:pPr>
        <w:pStyle w:val="Heading2"/>
      </w:pPr>
      <w:r>
        <w:t xml:space="preserve">Data availability</w:t>
      </w:r>
    </w:p>
    <w:p>
      <w:pPr>
        <w:pStyle w:val="FirstParagraph"/>
      </w:pPr>
      <w:r>
        <w:t xml:space="preserve">The dataset used in this study is available in the project repository at</w:t>
      </w:r>
      <w:r>
        <w:t xml:space="preserve"> </w:t>
      </w:r>
      <w:hyperlink r:id="rId55">
        <w:r>
          <w:rPr>
            <w:rStyle w:val="Hyperlink"/>
          </w:rPr>
          <w:t xml:space="preserve">https://doi.org/10.5281/zenodo.18077256</w:t>
        </w:r>
      </w:hyperlink>
      <w:r>
        <w:t xml:space="preserve">.</w:t>
      </w:r>
    </w:p>
    <w:bookmarkEnd w:id="56"/>
    <w:bookmarkEnd w:id="57"/>
    <w:bookmarkStart w:id="216" w:name="references"/>
    <w:p>
      <w:pPr>
        <w:pStyle w:val="Heading1"/>
      </w:pPr>
      <w:r>
        <w:t xml:space="preserve">References</w:t>
      </w:r>
    </w:p>
    <w:bookmarkStart w:id="215" w:name="refs"/>
    <w:bookmarkStart w:id="58" w:name="ref-Aitchison1986"/>
    <w:p>
      <w:pPr>
        <w:pStyle w:val="Bibliography"/>
      </w:pPr>
      <w:r>
        <w:t xml:space="preserve">Aitchison J (1986) The statistical analysis of compositional data. Chapman; Hall, London</w:t>
      </w:r>
    </w:p>
    <w:bookmarkEnd w:id="58"/>
    <w:bookmarkStart w:id="60" w:name="ref-Akaike1974"/>
    <w:p>
      <w:pPr>
        <w:pStyle w:val="Bibliography"/>
      </w:pPr>
      <w:r>
        <w:t xml:space="preserve">Akaike H (1974) A new look at the statistical model identification. IEEE Transactions on Automatic Control 19:716–723.</w:t>
      </w:r>
      <w:r>
        <w:t xml:space="preserve"> </w:t>
      </w:r>
      <w:hyperlink r:id="rId59">
        <w:r>
          <w:rPr>
            <w:rStyle w:val="Hyperlink"/>
          </w:rPr>
          <w:t xml:space="preserve">https://doi.org/10.1109/TAC.1974.1100705</w:t>
        </w:r>
      </w:hyperlink>
    </w:p>
    <w:bookmarkEnd w:id="60"/>
    <w:bookmarkStart w:id="62" w:name="ref-Andrews2002"/>
    <w:p>
      <w:pPr>
        <w:pStyle w:val="Bibliography"/>
      </w:pPr>
      <w:r>
        <w:t xml:space="preserve">Andrews SS, Karlen DL, Mitchell JP (2002) A comparison of soil quality indexing methods for vegetable production systems in</w:t>
      </w:r>
      <w:r>
        <w:t xml:space="preserve"> </w:t>
      </w:r>
      <w:r>
        <w:t xml:space="preserve">Northern California</w:t>
      </w:r>
      <w:r>
        <w:t xml:space="preserve">. Agriculture, Ecosystems &amp; Environment 90:25–45.</w:t>
      </w:r>
      <w:r>
        <w:t xml:space="preserve"> </w:t>
      </w:r>
      <w:hyperlink r:id="rId61">
        <w:r>
          <w:rPr>
            <w:rStyle w:val="Hyperlink"/>
          </w:rPr>
          <w:t xml:space="preserve">https://doi.org/10.1016/S0167-8809(01)00174-8</w:t>
        </w:r>
      </w:hyperlink>
    </w:p>
    <w:bookmarkEnd w:id="62"/>
    <w:bookmarkStart w:id="64" w:name="ref-AraujoFilho2025"/>
    <w:p>
      <w:pPr>
        <w:pStyle w:val="Bibliography"/>
      </w:pPr>
      <w:r>
        <w:t xml:space="preserve">Araújo Filho RN de, Freire MBGS, Freire FJ, et al (2025) Litter dynamics and nutrient stocks in a chronosequence of hyperxerophilous forest under the effect of clear felling. Ecology and Evolution 15:e72100.</w:t>
      </w:r>
      <w:r>
        <w:t xml:space="preserve"> </w:t>
      </w:r>
      <w:hyperlink r:id="rId63">
        <w:r>
          <w:rPr>
            <w:rStyle w:val="Hyperlink"/>
          </w:rPr>
          <w:t xml:space="preserve">https://doi.org/10.1002/ece3.72100</w:t>
        </w:r>
      </w:hyperlink>
    </w:p>
    <w:bookmarkEnd w:id="64"/>
    <w:bookmarkStart w:id="66" w:name="ref-Assuncao2019"/>
    <w:p>
      <w:pPr>
        <w:pStyle w:val="Bibliography"/>
      </w:pPr>
      <w:r>
        <w:t xml:space="preserve">Assunção SA, Pereira MG, Rosset JS, et al (2019) Carbon input and the structural quality of soil organic matter as a function of agricultural management in a tropical climate region of</w:t>
      </w:r>
      <w:r>
        <w:t xml:space="preserve"> </w:t>
      </w:r>
      <w:r>
        <w:t xml:space="preserve">Brazil</w:t>
      </w:r>
      <w:r>
        <w:t xml:space="preserve">. Science of the Total Environment 658:901–911.</w:t>
      </w:r>
      <w:r>
        <w:t xml:space="preserve"> </w:t>
      </w:r>
      <w:hyperlink r:id="rId65">
        <w:r>
          <w:rPr>
            <w:rStyle w:val="Hyperlink"/>
          </w:rPr>
          <w:t xml:space="preserve">https://doi.org/10.1016/j.scitotenv.2018.12.271</w:t>
        </w:r>
      </w:hyperlink>
    </w:p>
    <w:bookmarkEnd w:id="66"/>
    <w:bookmarkStart w:id="68" w:name="ref-Boudiar2022"/>
    <w:p>
      <w:pPr>
        <w:pStyle w:val="Bibliography"/>
      </w:pPr>
      <w:r>
        <w:t xml:space="preserve">Boudiar R, Alshallash KS, Alharbi K, et al (2022) Influence of tillage and cropping systems on soil properties and crop performance under semi-arid conditions. Sustainability 14:11651.</w:t>
      </w:r>
      <w:r>
        <w:t xml:space="preserve"> </w:t>
      </w:r>
      <w:hyperlink r:id="rId67">
        <w:r>
          <w:rPr>
            <w:rStyle w:val="Hyperlink"/>
          </w:rPr>
          <w:t xml:space="preserve">https://doi.org/10.3390/su141811651</w:t>
        </w:r>
      </w:hyperlink>
    </w:p>
    <w:bookmarkEnd w:id="68"/>
    <w:bookmarkStart w:id="70" w:name="ref-Bunemann2018"/>
    <w:p>
      <w:pPr>
        <w:pStyle w:val="Bibliography"/>
      </w:pPr>
      <w:r>
        <w:t xml:space="preserve">Bünemann EK, Bongiorno G, Bai Z, et al (2018) Soil quality – a critical review. Soil Biology and Biochemistry 120:105–125.</w:t>
      </w:r>
      <w:r>
        <w:t xml:space="preserve"> </w:t>
      </w:r>
      <w:hyperlink r:id="rId69">
        <w:r>
          <w:rPr>
            <w:rStyle w:val="Hyperlink"/>
          </w:rPr>
          <w:t xml:space="preserve">https://doi.org/10.1016/j.soilbio.2018.01.030</w:t>
        </w:r>
      </w:hyperlink>
    </w:p>
    <w:bookmarkEnd w:id="70"/>
    <w:bookmarkStart w:id="72" w:name="ref-Camargo2024"/>
    <w:p>
      <w:pPr>
        <w:pStyle w:val="Bibliography"/>
      </w:pPr>
      <w:r>
        <w:t xml:space="preserve">Camargo TA, Alves LA, Mendes IC, et al (2024) Enhancing soil quality and grain yields through fertilization strategies in integrated crop–livestock system under no-till in the brazilian cerrado. European Journal of Soil Biology 121:103613.</w:t>
      </w:r>
      <w:r>
        <w:t xml:space="preserve"> </w:t>
      </w:r>
      <w:hyperlink r:id="rId71">
        <w:r>
          <w:rPr>
            <w:rStyle w:val="Hyperlink"/>
          </w:rPr>
          <w:t xml:space="preserve">https://doi.org/10.1016/j.ejsobi.2024.103613</w:t>
        </w:r>
      </w:hyperlink>
    </w:p>
    <w:bookmarkEnd w:id="72"/>
    <w:bookmarkStart w:id="73" w:name="ref-CameronTrivedi1990"/>
    <w:p>
      <w:pPr>
        <w:pStyle w:val="Bibliography"/>
      </w:pPr>
      <w:r>
        <w:t xml:space="preserve">Cameron AC, Trivedi PK (2013) Regression analysis of count data. Cambridge University Press</w:t>
      </w:r>
    </w:p>
    <w:bookmarkEnd w:id="73"/>
    <w:bookmarkStart w:id="75" w:name="ref-Cao2021"/>
    <w:p>
      <w:pPr>
        <w:pStyle w:val="Bibliography"/>
      </w:pPr>
      <w:r>
        <w:t xml:space="preserve">Cao Y, He Z, Zhu T, Zhao F (2021) Organic-c quality as a key driver of microbial nitrogen immobilization in soil: A meta-analysis. Geoderma 383:114784.</w:t>
      </w:r>
      <w:r>
        <w:t xml:space="preserve"> </w:t>
      </w:r>
      <w:hyperlink r:id="rId74">
        <w:r>
          <w:rPr>
            <w:rStyle w:val="Hyperlink"/>
          </w:rPr>
          <w:t xml:space="preserve">https://doi.org/10.1016/j.geoderma.2020.114784</w:t>
        </w:r>
      </w:hyperlink>
    </w:p>
    <w:bookmarkEnd w:id="75"/>
    <w:bookmarkStart w:id="77" w:name="ref-Carvalho2023"/>
    <w:p>
      <w:pPr>
        <w:pStyle w:val="Bibliography"/>
      </w:pPr>
      <w:r>
        <w:t xml:space="preserve">Carvalho ML, Maciel VF, Bordonal RO, et al (2023) Stabilization of organic matter in soils: Drivers, mechanisms, and analytical tools – a literature review. Revista Brasileira de Ciência do Solo 47:e0220130.</w:t>
      </w:r>
      <w:r>
        <w:t xml:space="preserve"> </w:t>
      </w:r>
      <w:hyperlink r:id="rId76">
        <w:r>
          <w:rPr>
            <w:rStyle w:val="Hyperlink"/>
          </w:rPr>
          <w:t xml:space="preserve">https://doi.org/10.36783/18069657rbcs20220130</w:t>
        </w:r>
      </w:hyperlink>
    </w:p>
    <w:bookmarkEnd w:id="77"/>
    <w:bookmarkStart w:id="79" w:name="ref-Cavalcante2021"/>
    <w:p>
      <w:pPr>
        <w:pStyle w:val="Bibliography"/>
      </w:pPr>
      <w:r>
        <w:t xml:space="preserve">Cavalcante DM, Silva APFe, Almeida BG de, et al (2021) Physical soil quality indicators for environmental assessment and agricultural potential of</w:t>
      </w:r>
      <w:r>
        <w:t xml:space="preserve"> </w:t>
      </w:r>
      <w:r>
        <w:t xml:space="preserve">Oxisols</w:t>
      </w:r>
      <w:r>
        <w:t xml:space="preserve"> </w:t>
      </w:r>
      <w:r>
        <w:t xml:space="preserve">under different land uses in the</w:t>
      </w:r>
      <w:r>
        <w:t xml:space="preserve"> </w:t>
      </w:r>
      <w:r>
        <w:t xml:space="preserve">Araripe Plateau</w:t>
      </w:r>
      <w:r>
        <w:t xml:space="preserve">,</w:t>
      </w:r>
      <w:r>
        <w:t xml:space="preserve"> </w:t>
      </w:r>
      <w:r>
        <w:t xml:space="preserve">Brazil</w:t>
      </w:r>
      <w:r>
        <w:t xml:space="preserve">. Soil and Tillage Research 212:104951.</w:t>
      </w:r>
      <w:r>
        <w:t xml:space="preserve"> </w:t>
      </w:r>
      <w:hyperlink r:id="rId78">
        <w:r>
          <w:rPr>
            <w:rStyle w:val="Hyperlink"/>
          </w:rPr>
          <w:t xml:space="preserve">https://doi.org/10.1016/j.still.2021.104951</w:t>
        </w:r>
      </w:hyperlink>
    </w:p>
    <w:bookmarkEnd w:id="79"/>
    <w:bookmarkStart w:id="81" w:name="ref-Celi2022"/>
    <w:p>
      <w:pPr>
        <w:pStyle w:val="Bibliography"/>
      </w:pPr>
      <w:r>
        <w:t xml:space="preserve">Celi L, Said‐Pullicino D, Bol R, et al (2022)</w:t>
      </w:r>
      <w:r>
        <w:t xml:space="preserve"> </w:t>
      </w:r>
      <w:hyperlink r:id="rId80">
        <w:r>
          <w:rPr>
            <w:rStyle w:val="Hyperlink"/>
          </w:rPr>
          <w:t xml:space="preserve">INTERCONNECTING SOIL ORGANIC MATTER WITH NITROGEN AND PHOSPHORUS CYCLING</w:t>
        </w:r>
      </w:hyperlink>
      <w:r>
        <w:t xml:space="preserve">. In: Multi‐Scale Biogeochemical Processes in Soil Ecosystems. Wiley, pp 51–77</w:t>
      </w:r>
    </w:p>
    <w:bookmarkEnd w:id="81"/>
    <w:bookmarkStart w:id="83" w:name="ref-cotrufo2021"/>
    <w:p>
      <w:pPr>
        <w:pStyle w:val="Bibliography"/>
      </w:pPr>
      <w:r>
        <w:t xml:space="preserve">Cotrufo MF et al</w:t>
      </w:r>
      <w:r>
        <w:t xml:space="preserve"> </w:t>
      </w:r>
      <w:r>
        <w:t xml:space="preserve">(2021) Soil organic matter formation, persistence, and functioning: A synthesis of current understanding to inform its conservation and regeneration. Advances in Agronomy 172:1–66.</w:t>
      </w:r>
      <w:r>
        <w:t xml:space="preserve"> </w:t>
      </w:r>
      <w:hyperlink r:id="rId82">
        <w:r>
          <w:rPr>
            <w:rStyle w:val="Hyperlink"/>
          </w:rPr>
          <w:t xml:space="preserve">https://doi.org/10.1016/bs.agron.2021.11.002</w:t>
        </w:r>
      </w:hyperlink>
    </w:p>
    <w:bookmarkEnd w:id="83"/>
    <w:bookmarkStart w:id="85" w:name="ref-Sala2019"/>
    <w:p>
      <w:pPr>
        <w:pStyle w:val="Bibliography"/>
      </w:pPr>
      <w:r>
        <w:t xml:space="preserve">De Laurentiis V, Secchi M, Bos U, et al (2019) Soil quality index: Exploring options for a comprehensive assessment of land use impacts in LCA. Journal of Cleaner Production 215:63–74.</w:t>
      </w:r>
      <w:r>
        <w:t xml:space="preserve"> </w:t>
      </w:r>
      <w:hyperlink r:id="rId84">
        <w:r>
          <w:rPr>
            <w:rStyle w:val="Hyperlink"/>
          </w:rPr>
          <w:t xml:space="preserve">https://doi.org/10.1016/j.jclepro.2018.12.238</w:t>
        </w:r>
      </w:hyperlink>
    </w:p>
    <w:bookmarkEnd w:id="85"/>
    <w:bookmarkStart w:id="87" w:name="ref-DoranParkin1994"/>
    <w:p>
      <w:pPr>
        <w:pStyle w:val="Bibliography"/>
      </w:pPr>
      <w:r>
        <w:t xml:space="preserve">Doran JW, Parkin TB (1994)</w:t>
      </w:r>
      <w:r>
        <w:t xml:space="preserve"> </w:t>
      </w:r>
      <w:hyperlink r:id="rId86">
        <w:r>
          <w:rPr>
            <w:rStyle w:val="Hyperlink"/>
          </w:rPr>
          <w:t xml:space="preserve">Defining and assessing soil quality</w:t>
        </w:r>
      </w:hyperlink>
      <w:r>
        <w:t xml:space="preserve">. In: Doran JW, Coleman DC, Bezdicek DF, Stewart BA (eds) Defining soil quality for a sustainable environment. Soil Science Society of America, Madison, pp 1–21</w:t>
      </w:r>
    </w:p>
    <w:bookmarkEnd w:id="87"/>
    <w:bookmarkStart w:id="89" w:name="ref-Ferreira2021"/>
    <w:p>
      <w:pPr>
        <w:pStyle w:val="Bibliography"/>
      </w:pPr>
      <w:r>
        <w:t xml:space="preserve">Ferreira GWD, Oliveira FCC, Soares EMB, et al (2021) Retaining eucalyptus harvest residues promotes different pathways for particulate and mineral-associated organic matter. Ecosphere 12:e03439.</w:t>
      </w:r>
      <w:r>
        <w:t xml:space="preserve"> </w:t>
      </w:r>
      <w:hyperlink r:id="rId88">
        <w:r>
          <w:rPr>
            <w:rStyle w:val="Hyperlink"/>
          </w:rPr>
          <w:t xml:space="preserve">https://doi.org/10.1002/ecs2.3439</w:t>
        </w:r>
      </w:hyperlink>
    </w:p>
    <w:bookmarkEnd w:id="89"/>
    <w:bookmarkStart w:id="91" w:name="ref-FornellLarcker1981"/>
    <w:p>
      <w:pPr>
        <w:pStyle w:val="Bibliography"/>
      </w:pPr>
      <w:r>
        <w:t xml:space="preserve">Fornell C, Larcker DF (1981) Evaluating structural equation models with unobservable variables and measurement error. Journal of Marketing Research 18:39–50.</w:t>
      </w:r>
      <w:r>
        <w:t xml:space="preserve"> </w:t>
      </w:r>
      <w:hyperlink r:id="rId90">
        <w:r>
          <w:rPr>
            <w:rStyle w:val="Hyperlink"/>
          </w:rPr>
          <w:t xml:space="preserve">https://doi.org/10.1177/002224378101800104</w:t>
        </w:r>
      </w:hyperlink>
    </w:p>
    <w:bookmarkEnd w:id="91"/>
    <w:bookmarkStart w:id="93" w:name="ref-FragaSalcedo2004"/>
    <w:p>
      <w:pPr>
        <w:pStyle w:val="Bibliography"/>
      </w:pPr>
      <w:r>
        <w:t xml:space="preserve">Fraga V da S, Salcedo IH (2004) Declines of organic nutrient pools in tropical semi-arid soils under subsistence farming. Soil Science Society of America Journal 68:215–224.</w:t>
      </w:r>
      <w:r>
        <w:t xml:space="preserve"> </w:t>
      </w:r>
      <w:hyperlink r:id="rId92">
        <w:r>
          <w:rPr>
            <w:rStyle w:val="Hyperlink"/>
          </w:rPr>
          <w:t xml:space="preserve">https://doi.org/10.2136/sssaj2004.2150</w:t>
        </w:r>
      </w:hyperlink>
    </w:p>
    <w:bookmarkEnd w:id="93"/>
    <w:bookmarkStart w:id="95" w:name="ref-Macci2016"/>
    <w:p>
      <w:pPr>
        <w:pStyle w:val="Bibliography"/>
      </w:pPr>
      <w:r>
        <w:t xml:space="preserve">García AC, Souza LGA de, Pereira MG, et al (2016) Structure-property-function relationship in humic substances to explain the biological activity in plants. Scientific Reports 6:20798.</w:t>
      </w:r>
      <w:r>
        <w:t xml:space="preserve"> </w:t>
      </w:r>
      <w:hyperlink r:id="rId94">
        <w:r>
          <w:rPr>
            <w:rStyle w:val="Hyperlink"/>
          </w:rPr>
          <w:t xml:space="preserve">https://doi.org/10.1038/srep20798</w:t>
        </w:r>
      </w:hyperlink>
    </w:p>
    <w:bookmarkEnd w:id="95"/>
    <w:bookmarkStart w:id="97" w:name="ref-Gerke2022"/>
    <w:p>
      <w:pPr>
        <w:pStyle w:val="Bibliography"/>
      </w:pPr>
      <w:r>
        <w:t xml:space="preserve">Gerke J (2022) The central role of soil organic matter in soil fertility and carbon storage. Soil Systems 6:33.</w:t>
      </w:r>
      <w:r>
        <w:t xml:space="preserve"> </w:t>
      </w:r>
      <w:hyperlink r:id="rId96">
        <w:r>
          <w:rPr>
            <w:rStyle w:val="Hyperlink"/>
          </w:rPr>
          <w:t xml:space="preserve">https://doi.org/10.3390/soilsystems6020033</w:t>
        </w:r>
      </w:hyperlink>
    </w:p>
    <w:bookmarkEnd w:id="97"/>
    <w:bookmarkStart w:id="99" w:name="ref-Gmach2018"/>
    <w:p>
      <w:pPr>
        <w:pStyle w:val="Bibliography"/>
      </w:pPr>
      <w:r>
        <w:t xml:space="preserve">Gmach MR, Dias BO, Silva CA, et al (2018) Soil organic matter dynamics and land-use change on</w:t>
      </w:r>
      <w:r>
        <w:t xml:space="preserve"> </w:t>
      </w:r>
      <w:r>
        <w:t xml:space="preserve">Oxisols</w:t>
      </w:r>
      <w:r>
        <w:t xml:space="preserve"> </w:t>
      </w:r>
      <w:r>
        <w:t xml:space="preserve">in the</w:t>
      </w:r>
      <w:r>
        <w:t xml:space="preserve"> </w:t>
      </w:r>
      <w:r>
        <w:t xml:space="preserve">Cerrado</w:t>
      </w:r>
      <w:r>
        <w:t xml:space="preserve">,</w:t>
      </w:r>
      <w:r>
        <w:t xml:space="preserve"> </w:t>
      </w:r>
      <w:r>
        <w:t xml:space="preserve">Brazil</w:t>
      </w:r>
      <w:r>
        <w:t xml:space="preserve">. Geoderma Regional 14:e00193.</w:t>
      </w:r>
      <w:r>
        <w:t xml:space="preserve"> </w:t>
      </w:r>
      <w:hyperlink r:id="rId98">
        <w:r>
          <w:rPr>
            <w:rStyle w:val="Hyperlink"/>
          </w:rPr>
          <w:t xml:space="preserve">https://doi.org/10.1016/j.geodrs.2018.e00193</w:t>
        </w:r>
      </w:hyperlink>
    </w:p>
    <w:bookmarkEnd w:id="99"/>
    <w:bookmarkStart w:id="101" w:name="ref-Toth2018"/>
    <w:p>
      <w:pPr>
        <w:pStyle w:val="Bibliography"/>
      </w:pPr>
      <w:r>
        <w:t xml:space="preserve">Greiner L, Nussbaum M, Papritz A, et al (2018) Uncertainty indication in soil function maps – transparent and easy-to-use information to support sustainable use of soil resources. SOIL 4:123–139.</w:t>
      </w:r>
      <w:r>
        <w:t xml:space="preserve"> </w:t>
      </w:r>
      <w:hyperlink r:id="rId100">
        <w:r>
          <w:rPr>
            <w:rStyle w:val="Hyperlink"/>
          </w:rPr>
          <w:t xml:space="preserve">https://doi.org/10.5194/soil-4-123-2018</w:t>
        </w:r>
      </w:hyperlink>
    </w:p>
    <w:bookmarkEnd w:id="101"/>
    <w:bookmarkStart w:id="102" w:name="ref-HairJr2021"/>
    <w:p>
      <w:pPr>
        <w:pStyle w:val="Bibliography"/>
      </w:pPr>
      <w:r>
        <w:t xml:space="preserve">Hair Jr. JF, Hult GTM, Ringle CM, Sarstedt M (2021) A primer on partial least squares structural equation modeling (PLS-SEM), 3rd edn. SAGE Publications, Thousand Oaks</w:t>
      </w:r>
    </w:p>
    <w:bookmarkEnd w:id="102"/>
    <w:bookmarkStart w:id="104" w:name="ref-Hedley1982"/>
    <w:p>
      <w:pPr>
        <w:pStyle w:val="Bibliography"/>
      </w:pPr>
      <w:r>
        <w:t xml:space="preserve">Hedley MJ, Stewart JWB, Chauhan BS (1982) Changes in inorganic and organic soil phosphorus fractions induced by cultivation practices and by laboratory incubations. Soil Science Society of America Journal 46:970–976.</w:t>
      </w:r>
      <w:r>
        <w:t xml:space="preserve"> </w:t>
      </w:r>
      <w:hyperlink r:id="rId103">
        <w:r>
          <w:rPr>
            <w:rStyle w:val="Hyperlink"/>
          </w:rPr>
          <w:t xml:space="preserve">https://doi.org/10.2136/sssaj1982.03615995004600050017x</w:t>
        </w:r>
      </w:hyperlink>
    </w:p>
    <w:bookmarkEnd w:id="104"/>
    <w:bookmarkStart w:id="106" w:name="ref-Henseler2015"/>
    <w:p>
      <w:pPr>
        <w:pStyle w:val="Bibliography"/>
      </w:pPr>
      <w:r>
        <w:t xml:space="preserve">Henseler J, Ringle CM, Sarstedt M (2015) A new criterion for assessing discriminant validity in variance-based structural equation modeling. Journal of the Academy of Marketing Science 43:115–135.</w:t>
      </w:r>
      <w:r>
        <w:t xml:space="preserve"> </w:t>
      </w:r>
      <w:hyperlink r:id="rId105">
        <w:r>
          <w:rPr>
            <w:rStyle w:val="Hyperlink"/>
          </w:rPr>
          <w:t xml:space="preserve">https://doi.org/10.1007/s11747-014-0403-8</w:t>
        </w:r>
      </w:hyperlink>
    </w:p>
    <w:bookmarkEnd w:id="106"/>
    <w:bookmarkStart w:id="108" w:name="ref-Jensen2020"/>
    <w:p>
      <w:pPr>
        <w:pStyle w:val="Bibliography"/>
      </w:pPr>
      <w:r>
        <w:t xml:space="preserve">Jensen JL, Schjønning P (2020) Soil degradation and recovery – changes in organic matter fractions and structural stability. Geoderma 364:114181.</w:t>
      </w:r>
      <w:r>
        <w:t xml:space="preserve"> </w:t>
      </w:r>
      <w:hyperlink r:id="rId107">
        <w:r>
          <w:rPr>
            <w:rStyle w:val="Hyperlink"/>
          </w:rPr>
          <w:t xml:space="preserve">https://doi.org/10.1016/j.geoderma.2020.114181</w:t>
        </w:r>
      </w:hyperlink>
    </w:p>
    <w:bookmarkEnd w:id="108"/>
    <w:bookmarkStart w:id="110" w:name="ref-Jha2025EMA"/>
    <w:p>
      <w:pPr>
        <w:pStyle w:val="Bibliography"/>
      </w:pPr>
      <w:r>
        <w:t xml:space="preserve">Jha SK, Bajpai S, Jha MB, et al (2025) Understanding bihar’s climate risks: A district-level assessment of climate trends, projections, exposure, hazards, and vulnerability. Environmental Monitoring and Assessment 197:1023.</w:t>
      </w:r>
      <w:r>
        <w:t xml:space="preserve"> </w:t>
      </w:r>
      <w:hyperlink r:id="rId109">
        <w:r>
          <w:rPr>
            <w:rStyle w:val="Hyperlink"/>
          </w:rPr>
          <w:t xml:space="preserve">https://doi.org/10.1007/s10661-025-14474-9</w:t>
        </w:r>
      </w:hyperlink>
    </w:p>
    <w:bookmarkEnd w:id="110"/>
    <w:bookmarkStart w:id="112" w:name="ref-MarinhoJunior2021"/>
    <w:p>
      <w:pPr>
        <w:pStyle w:val="Bibliography"/>
      </w:pPr>
      <w:r>
        <w:t xml:space="preserve">Junior JLM, Araújo Filho RN de, Filho MC, et al (2021) Soil carbon stocks and labile fractions of organic matter under differents vegetations coverages in gurupi – to. FLORESTA 51:767.</w:t>
      </w:r>
      <w:r>
        <w:t xml:space="preserve"> </w:t>
      </w:r>
      <w:hyperlink r:id="rId111">
        <w:r>
          <w:rPr>
            <w:rStyle w:val="Hyperlink"/>
          </w:rPr>
          <w:t xml:space="preserve">https://doi.org/10.5380/rf.v51i3.72868</w:t>
        </w:r>
      </w:hyperlink>
    </w:p>
    <w:bookmarkEnd w:id="112"/>
    <w:bookmarkStart w:id="114" w:name="ref-kallenbach2016"/>
    <w:p>
      <w:pPr>
        <w:pStyle w:val="Bibliography"/>
      </w:pPr>
      <w:r>
        <w:t xml:space="preserve">Kallenbach CM et al</w:t>
      </w:r>
      <w:r>
        <w:t xml:space="preserve"> </w:t>
      </w:r>
      <w:r>
        <w:t xml:space="preserve">(2016) Direct evidence for microbial-derived soil organic matter formation and its ecophysiological controls. Nature Communications 7:13630.</w:t>
      </w:r>
      <w:r>
        <w:t xml:space="preserve"> </w:t>
      </w:r>
      <w:hyperlink r:id="rId113">
        <w:r>
          <w:rPr>
            <w:rStyle w:val="Hyperlink"/>
          </w:rPr>
          <w:t xml:space="preserve">https://doi.org/10.1038/ncomms13630</w:t>
        </w:r>
      </w:hyperlink>
    </w:p>
    <w:bookmarkEnd w:id="114"/>
    <w:bookmarkStart w:id="116" w:name="ref-Karlen1997"/>
    <w:p>
      <w:pPr>
        <w:pStyle w:val="Bibliography"/>
      </w:pPr>
      <w:r>
        <w:t xml:space="preserve">Karlen DL, Mausbach MJ, Doran JW, et al (1997) Soil quality: A concept, definition, and framework for evaluation. Soil Science Society of America Journal 61:4–10.</w:t>
      </w:r>
      <w:r>
        <w:t xml:space="preserve"> </w:t>
      </w:r>
      <w:hyperlink r:id="rId115">
        <w:r>
          <w:rPr>
            <w:rStyle w:val="Hyperlink"/>
          </w:rPr>
          <w:t xml:space="preserve">https://doi.org/10.2136/sssaj1997.03615995006100010001x</w:t>
        </w:r>
      </w:hyperlink>
    </w:p>
    <w:bookmarkEnd w:id="116"/>
    <w:bookmarkStart w:id="118" w:name="ref-kleber2015"/>
    <w:p>
      <w:pPr>
        <w:pStyle w:val="Bibliography"/>
      </w:pPr>
      <w:r>
        <w:t xml:space="preserve">Kleber M et al</w:t>
      </w:r>
      <w:r>
        <w:t xml:space="preserve"> </w:t>
      </w:r>
      <w:r>
        <w:t xml:space="preserve">(2015) Mineral–organic associations: Formation, properties, and relevance in soil environments. Advances in Agronomy 130:1–140.</w:t>
      </w:r>
      <w:r>
        <w:t xml:space="preserve"> </w:t>
      </w:r>
      <w:hyperlink r:id="rId117">
        <w:r>
          <w:rPr>
            <w:rStyle w:val="Hyperlink"/>
          </w:rPr>
          <w:t xml:space="preserve">https://doi.org/10.1016/bs.agron.2014.10.005</w:t>
        </w:r>
      </w:hyperlink>
    </w:p>
    <w:bookmarkEnd w:id="118"/>
    <w:bookmarkStart w:id="120" w:name="ref-Lacerda2025"/>
    <w:p>
      <w:pPr>
        <w:pStyle w:val="Bibliography"/>
      </w:pPr>
      <w:r>
        <w:t xml:space="preserve">Lacerda FCB, Mota NM, Coelho AJP, et al (2025) Different physiognomies of the brazilian savanna determine changes in soil c, n and p pools. Plant Ecology 226:855–866.</w:t>
      </w:r>
      <w:r>
        <w:t xml:space="preserve"> </w:t>
      </w:r>
      <w:hyperlink r:id="rId119">
        <w:r>
          <w:rPr>
            <w:rStyle w:val="Hyperlink"/>
          </w:rPr>
          <w:t xml:space="preserve">https://doi.org/10.1007/s11258-025-01535-9</w:t>
        </w:r>
      </w:hyperlink>
    </w:p>
    <w:bookmarkEnd w:id="120"/>
    <w:bookmarkStart w:id="122" w:name="ref-Lal2020"/>
    <w:p>
      <w:pPr>
        <w:pStyle w:val="Bibliography"/>
      </w:pPr>
      <w:r>
        <w:t xml:space="preserve">Lal R (2020) Soil organic matter and water retention. Agronomy Journal 112:3265–3277.</w:t>
      </w:r>
      <w:r>
        <w:t xml:space="preserve"> </w:t>
      </w:r>
      <w:hyperlink r:id="rId121">
        <w:r>
          <w:rPr>
            <w:rStyle w:val="Hyperlink"/>
          </w:rPr>
          <w:t xml:space="preserve">https://doi.org/10.1002/agj2.20282</w:t>
        </w:r>
      </w:hyperlink>
    </w:p>
    <w:bookmarkEnd w:id="122"/>
    <w:bookmarkStart w:id="124" w:name="ref-Lavallee2020"/>
    <w:p>
      <w:pPr>
        <w:pStyle w:val="Bibliography"/>
      </w:pPr>
      <w:r>
        <w:t xml:space="preserve">Lavallee JM, Soong JL, Cotrufo MF (2020) Conceptualizing soil organic matter into particulate and mineral-associated forms to address global change in the 21st century. Global Change Biology 26:261–273.</w:t>
      </w:r>
      <w:r>
        <w:t xml:space="preserve"> </w:t>
      </w:r>
      <w:hyperlink r:id="rId123">
        <w:r>
          <w:rPr>
            <w:rStyle w:val="Hyperlink"/>
          </w:rPr>
          <w:t xml:space="preserve">https://doi.org/10.1111/gcb.14859</w:t>
        </w:r>
      </w:hyperlink>
    </w:p>
    <w:bookmarkEnd w:id="124"/>
    <w:bookmarkStart w:id="126" w:name="ref-Leal2024"/>
    <w:p>
      <w:pPr>
        <w:pStyle w:val="Bibliography"/>
      </w:pPr>
      <w:r>
        <w:t xml:space="preserve">Leal OA, Santana GS, Knicker H, et al (2024) Acacia and eucalyptus plantations modify the molecular composition of density organic matter fractions of subtropical native pasture soils. Geoderma 441:116745.</w:t>
      </w:r>
      <w:r>
        <w:t xml:space="preserve"> </w:t>
      </w:r>
      <w:hyperlink r:id="rId125">
        <w:r>
          <w:rPr>
            <w:rStyle w:val="Hyperlink"/>
          </w:rPr>
          <w:t xml:space="preserve">https://doi.org/10.1016/j.geoderma.2023.116745</w:t>
        </w:r>
      </w:hyperlink>
    </w:p>
    <w:bookmarkEnd w:id="126"/>
    <w:bookmarkStart w:id="128" w:name="ref-Lehmann2015"/>
    <w:p>
      <w:pPr>
        <w:pStyle w:val="Bibliography"/>
      </w:pPr>
      <w:r>
        <w:t xml:space="preserve">Lehmann J, Kleber M (2015) The contentious nature of soil organic matter. Nature 528:60–68.</w:t>
      </w:r>
      <w:r>
        <w:t xml:space="preserve"> </w:t>
      </w:r>
      <w:hyperlink r:id="rId127">
        <w:r>
          <w:rPr>
            <w:rStyle w:val="Hyperlink"/>
          </w:rPr>
          <w:t xml:space="preserve">https://doi.org/10.1038/nature16069</w:t>
        </w:r>
      </w:hyperlink>
    </w:p>
    <w:bookmarkEnd w:id="128"/>
    <w:bookmarkStart w:id="130" w:name="ref-Letey1985"/>
    <w:p>
      <w:pPr>
        <w:pStyle w:val="Bibliography"/>
      </w:pPr>
      <w:r>
        <w:t xml:space="preserve">Letey J (1985)</w:t>
      </w:r>
      <w:r>
        <w:t xml:space="preserve"> </w:t>
      </w:r>
      <w:hyperlink r:id="rId129">
        <w:r>
          <w:rPr>
            <w:rStyle w:val="Hyperlink"/>
          </w:rPr>
          <w:t xml:space="preserve">Relationship between soil physical properties and crop production</w:t>
        </w:r>
      </w:hyperlink>
      <w:r>
        <w:t xml:space="preserve">. In: Stewart BA (ed) Advances in soil science. Springer, New York, pp 277–294</w:t>
      </w:r>
    </w:p>
    <w:bookmarkEnd w:id="130"/>
    <w:bookmarkStart w:id="132" w:name="ref-Lima2023"/>
    <w:p>
      <w:pPr>
        <w:pStyle w:val="Bibliography"/>
      </w:pPr>
      <w:r>
        <w:t xml:space="preserve">Lima DS, Piscoya VC, Cunha Filho M, et al (2023) Stocks of elements in radicular biomasses in different coverages in the cerrado of tocantins, brazil. Revista Caatinga 36:e2023v36n114rc.</w:t>
      </w:r>
      <w:r>
        <w:t xml:space="preserve"> </w:t>
      </w:r>
      <w:hyperlink r:id="rId131">
        <w:r>
          <w:rPr>
            <w:rStyle w:val="Hyperlink"/>
          </w:rPr>
          <w:t xml:space="preserve">https://doi.org/10.1590/1983-21252023v36n114rc</w:t>
        </w:r>
      </w:hyperlink>
    </w:p>
    <w:bookmarkEnd w:id="132"/>
    <w:bookmarkStart w:id="134" w:name="ref-Locatelli2023"/>
    <w:p>
      <w:pPr>
        <w:pStyle w:val="Bibliography"/>
      </w:pPr>
      <w:r>
        <w:t xml:space="preserve">Locatelli JL, Lima RP de, Santos RS, et al (2023) Soil strength and structural stability are mediated by soil organic matter composition in agricultural expansion areas of the brazilian cerrado biome. Agronomy 13:71.</w:t>
      </w:r>
      <w:r>
        <w:t xml:space="preserve"> </w:t>
      </w:r>
      <w:hyperlink r:id="rId133">
        <w:r>
          <w:rPr>
            <w:rStyle w:val="Hyperlink"/>
          </w:rPr>
          <w:t xml:space="preserve">https://doi.org/10.3390/agronomy13010071</w:t>
        </w:r>
      </w:hyperlink>
    </w:p>
    <w:bookmarkEnd w:id="134"/>
    <w:bookmarkStart w:id="136" w:name="ref-Lucena2024"/>
    <w:p>
      <w:pPr>
        <w:pStyle w:val="Bibliography"/>
      </w:pPr>
      <w:r>
        <w:t xml:space="preserve">Lucena FR, Andrade JR, Santos CF, et al (2024) Agroforestry systems with khaya ivorensis provide improved tree growth and economic benefits to rural producers. Agroforestry Systems 98:1211–1224.</w:t>
      </w:r>
      <w:r>
        <w:t xml:space="preserve"> </w:t>
      </w:r>
      <w:hyperlink r:id="rId135">
        <w:r>
          <w:rPr>
            <w:rStyle w:val="Hyperlink"/>
          </w:rPr>
          <w:t xml:space="preserve">https://doi.org/10.1007/s10457-023-00864-w</w:t>
        </w:r>
      </w:hyperlink>
    </w:p>
    <w:bookmarkEnd w:id="136"/>
    <w:bookmarkStart w:id="138" w:name="ref-Machado2024"/>
    <w:p>
      <w:pPr>
        <w:pStyle w:val="Bibliography"/>
      </w:pPr>
      <w:r>
        <w:t xml:space="preserve">Machado IES, Veloso NM, Souza ACD, et al (2024) Sistemas de culturas para o cultivo de soja no cerrado. Caderno Pedagógico 21:e5739.</w:t>
      </w:r>
      <w:r>
        <w:t xml:space="preserve"> </w:t>
      </w:r>
      <w:hyperlink r:id="rId137">
        <w:r>
          <w:rPr>
            <w:rStyle w:val="Hyperlink"/>
          </w:rPr>
          <w:t xml:space="preserve">https://doi.org/10.54033/cadpedv21n7-128</w:t>
        </w:r>
      </w:hyperlink>
    </w:p>
    <w:bookmarkEnd w:id="138"/>
    <w:bookmarkStart w:id="140" w:name="ref-Mamdani1977"/>
    <w:p>
      <w:pPr>
        <w:pStyle w:val="Bibliography"/>
      </w:pPr>
      <w:r>
        <w:t xml:space="preserve">Mamdani EH (1977) Application of fuzzy logic to approximate reasoning using linguistic synthesis. IEEE Transactions on Computers C-26:1182–1191.</w:t>
      </w:r>
      <w:r>
        <w:t xml:space="preserve"> </w:t>
      </w:r>
      <w:hyperlink r:id="rId139">
        <w:r>
          <w:rPr>
            <w:rStyle w:val="Hyperlink"/>
          </w:rPr>
          <w:t xml:space="preserve">https://doi.org/10.1109/TC.1977.1674779</w:t>
        </w:r>
      </w:hyperlink>
    </w:p>
    <w:bookmarkEnd w:id="140"/>
    <w:bookmarkStart w:id="142" w:name="ref-marschner2008"/>
    <w:p>
      <w:pPr>
        <w:pStyle w:val="Bibliography"/>
      </w:pPr>
      <w:r>
        <w:t xml:space="preserve">Marschner B et al</w:t>
      </w:r>
      <w:r>
        <w:t xml:space="preserve"> </w:t>
      </w:r>
      <w:r>
        <w:t xml:space="preserve">(2008) How relevant is recalcitrance for the stabilization of organic matter in soils? Journal of Plant Nutrition and Soil Science 171:91–110.</w:t>
      </w:r>
      <w:r>
        <w:t xml:space="preserve"> </w:t>
      </w:r>
      <w:hyperlink r:id="rId141">
        <w:r>
          <w:rPr>
            <w:rStyle w:val="Hyperlink"/>
          </w:rPr>
          <w:t xml:space="preserve">https://doi.org/10.1002/jpln.200700049</w:t>
        </w:r>
      </w:hyperlink>
    </w:p>
    <w:bookmarkEnd w:id="142"/>
    <w:bookmarkStart w:id="144" w:name="ref-McCullaghNelder2019"/>
    <w:p>
      <w:pPr>
        <w:pStyle w:val="Bibliography"/>
      </w:pPr>
      <w:r>
        <w:t xml:space="preserve">McCullagh P, Nelder JA (2019)</w:t>
      </w:r>
      <w:r>
        <w:t xml:space="preserve"> </w:t>
      </w:r>
      <w:hyperlink r:id="rId143">
        <w:r>
          <w:rPr>
            <w:rStyle w:val="Hyperlink"/>
          </w:rPr>
          <w:t xml:space="preserve">Generalized linear models</w:t>
        </w:r>
      </w:hyperlink>
      <w:r>
        <w:t xml:space="preserve">. Routledge</w:t>
      </w:r>
    </w:p>
    <w:bookmarkEnd w:id="144"/>
    <w:bookmarkStart w:id="146" w:name="ref-McMahon2019"/>
    <w:p>
      <w:pPr>
        <w:pStyle w:val="Bibliography"/>
      </w:pPr>
      <w:r>
        <w:t xml:space="preserve">McMahon DE, Vergütz L, Valadares SV, et al (2019) Soil nutrient stocks are maintained over multiple rotations in</w:t>
      </w:r>
      <w:r>
        <w:t xml:space="preserve"> </w:t>
      </w:r>
      <w:r>
        <w:t xml:space="preserve">Brazilian</w:t>
      </w:r>
      <w:r>
        <w:t xml:space="preserve"> </w:t>
      </w:r>
      <w:r>
        <w:t xml:space="preserve">Eucalyptus</w:t>
      </w:r>
      <w:r>
        <w:t xml:space="preserve"> </w:t>
      </w:r>
      <w:r>
        <w:t xml:space="preserve">plantations. Forest Ecology and Management 448:364–375.</w:t>
      </w:r>
      <w:r>
        <w:t xml:space="preserve"> </w:t>
      </w:r>
      <w:hyperlink r:id="rId145">
        <w:r>
          <w:rPr>
            <w:rStyle w:val="Hyperlink"/>
          </w:rPr>
          <w:t xml:space="preserve">https://doi.org/10.1016/j.foreco.2019.06.027</w:t>
        </w:r>
      </w:hyperlink>
    </w:p>
    <w:bookmarkEnd w:id="146"/>
    <w:bookmarkStart w:id="148" w:name="ref-MevikWehrens2007"/>
    <w:p>
      <w:pPr>
        <w:pStyle w:val="Bibliography"/>
      </w:pPr>
      <w:r>
        <w:t xml:space="preserve">Mevik B-H, Wehrens R (2007) The pls package: Principal component and partial least squares regression in r. Journal of Statistical Software 18:1–24.</w:t>
      </w:r>
      <w:r>
        <w:t xml:space="preserve"> </w:t>
      </w:r>
      <w:hyperlink r:id="rId147">
        <w:r>
          <w:rPr>
            <w:rStyle w:val="Hyperlink"/>
          </w:rPr>
          <w:t xml:space="preserve">https://doi.org/10.18637/jss.v018.i02</w:t>
        </w:r>
      </w:hyperlink>
    </w:p>
    <w:bookmarkEnd w:id="148"/>
    <w:bookmarkStart w:id="150" w:name="ref-MoraesWS2024"/>
    <w:p>
      <w:pPr>
        <w:pStyle w:val="Bibliography"/>
      </w:pPr>
      <w:r>
        <w:t xml:space="preserve">Moraes WS, Dionisio LFS, Schwartz G (2024) Carbon and nitrogen, humic and labile fractions in soil under clonal eucalyptus stands from cerrado. European Journal of Forest Research.</w:t>
      </w:r>
      <w:r>
        <w:t xml:space="preserve"> </w:t>
      </w:r>
      <w:hyperlink r:id="rId149">
        <w:r>
          <w:rPr>
            <w:rStyle w:val="Hyperlink"/>
          </w:rPr>
          <w:t xml:space="preserve">https://doi.org/10.1007/s10342-024-01669-x</w:t>
        </w:r>
      </w:hyperlink>
    </w:p>
    <w:bookmarkEnd w:id="150"/>
    <w:bookmarkStart w:id="152" w:name="ref-MoraHerrera2020"/>
    <w:p>
      <w:pPr>
        <w:pStyle w:val="Bibliography"/>
      </w:pPr>
      <w:r>
        <w:t xml:space="preserve">Mora-Herrera DY, Guillaume S, Snoeck D, Zúñiga Escobar O (2020) A fuzzy logic based soil chemical quality index for cacao. Computers and Electronics in Agriculture 177:105624.</w:t>
      </w:r>
      <w:r>
        <w:t xml:space="preserve"> </w:t>
      </w:r>
      <w:hyperlink r:id="rId151">
        <w:r>
          <w:rPr>
            <w:rStyle w:val="Hyperlink"/>
          </w:rPr>
          <w:t xml:space="preserve">https://doi.org/10.1016/j.compag.2020.105624</w:t>
        </w:r>
      </w:hyperlink>
    </w:p>
    <w:bookmarkEnd w:id="152"/>
    <w:bookmarkStart w:id="154" w:name="ref-MukherjeeLal2014"/>
    <w:p>
      <w:pPr>
        <w:pStyle w:val="Bibliography"/>
      </w:pPr>
      <w:r>
        <w:t xml:space="preserve">Mukherjee A, Lal R (2014) Comparison of soil quality index using three methods. PLoS ONE 9:e105981.</w:t>
      </w:r>
      <w:r>
        <w:t xml:space="preserve"> </w:t>
      </w:r>
      <w:hyperlink r:id="rId153">
        <w:r>
          <w:rPr>
            <w:rStyle w:val="Hyperlink"/>
          </w:rPr>
          <w:t xml:space="preserve">https://doi.org/10.1371/journal.pone.0105981</w:t>
        </w:r>
      </w:hyperlink>
    </w:p>
    <w:bookmarkEnd w:id="154"/>
    <w:bookmarkStart w:id="156" w:name="ref-MurphyRiley1962"/>
    <w:p>
      <w:pPr>
        <w:pStyle w:val="Bibliography"/>
      </w:pPr>
      <w:r>
        <w:t xml:space="preserve">Murphy J, Riley JP (1962) A modified single solution method for the determination of phosphate in natural waters. Analytica Chimica Acta 27:31–36.</w:t>
      </w:r>
      <w:r>
        <w:t xml:space="preserve"> </w:t>
      </w:r>
      <w:hyperlink r:id="rId155">
        <w:r>
          <w:rPr>
            <w:rStyle w:val="Hyperlink"/>
          </w:rPr>
          <w:t xml:space="preserve">https://doi.org/10.1016/S0003-2670(00)88444-5</w:t>
        </w:r>
      </w:hyperlink>
    </w:p>
    <w:bookmarkEnd w:id="156"/>
    <w:bookmarkStart w:id="158" w:name="ref-Mendes2019"/>
    <w:p>
      <w:pPr>
        <w:pStyle w:val="Bibliography"/>
      </w:pPr>
      <w:r>
        <w:t xml:space="preserve">Novak E, Carvalho LA, Santiago EF (2019) CHANGES IN THE SOIL STRUCTURE AND ORGANIC MATTER DYNAMICS UNDER DIFFERENT PLANT COVERS. Cerne 25:230–240.</w:t>
      </w:r>
      <w:r>
        <w:t xml:space="preserve"> </w:t>
      </w:r>
      <w:hyperlink r:id="rId157">
        <w:r>
          <w:rPr>
            <w:rStyle w:val="Hyperlink"/>
          </w:rPr>
          <w:t xml:space="preserve">https://doi.org/10.1590/01047760201925022618</w:t>
        </w:r>
      </w:hyperlink>
    </w:p>
    <w:bookmarkEnd w:id="158"/>
    <w:bookmarkStart w:id="160" w:name="ref-Paul2016"/>
    <w:p>
      <w:pPr>
        <w:pStyle w:val="Bibliography"/>
      </w:pPr>
      <w:r>
        <w:t xml:space="preserve">Paul EA (2016) The nature and dynamics of soil organic matter: Plant inputs, microbial transformations, and organic matter stabilization. Soil Biology and Biochemistry 98:109–126.</w:t>
      </w:r>
      <w:r>
        <w:t xml:space="preserve"> </w:t>
      </w:r>
      <w:hyperlink r:id="rId159">
        <w:r>
          <w:rPr>
            <w:rStyle w:val="Hyperlink"/>
          </w:rPr>
          <w:t xml:space="preserve">https://doi.org/10.1016/j.soilbio.2016.04.001</w:t>
        </w:r>
      </w:hyperlink>
    </w:p>
    <w:bookmarkEnd w:id="160"/>
    <w:bookmarkStart w:id="162" w:name="ref-Pickett1989"/>
    <w:p>
      <w:pPr>
        <w:pStyle w:val="Bibliography"/>
      </w:pPr>
      <w:r>
        <w:t xml:space="preserve">Pickett STA (1989) Space-for-time substitution as an alternative to long-term studies. Ecology 70:535–543.</w:t>
      </w:r>
      <w:r>
        <w:t xml:space="preserve"> </w:t>
      </w:r>
      <w:hyperlink r:id="rId161">
        <w:r>
          <w:rPr>
            <w:rStyle w:val="Hyperlink"/>
          </w:rPr>
          <w:t xml:space="preserve">https://doi.org/10.1007/978-1-4615-7358-6_5</w:t>
        </w:r>
      </w:hyperlink>
    </w:p>
    <w:bookmarkEnd w:id="162"/>
    <w:bookmarkStart w:id="164" w:name="ref-Powlson2011"/>
    <w:p>
      <w:pPr>
        <w:pStyle w:val="Bibliography"/>
      </w:pPr>
      <w:r>
        <w:t xml:space="preserve">Powlson DS, Gregory PJ, Whalley WR, et al (2011) Soil management in relation to sustainable agriculture and ecosystem services. Food Policy 36:S72–S87.</w:t>
      </w:r>
      <w:r>
        <w:t xml:space="preserve"> </w:t>
      </w:r>
      <w:hyperlink r:id="rId163">
        <w:r>
          <w:rPr>
            <w:rStyle w:val="Hyperlink"/>
          </w:rPr>
          <w:t xml:space="preserve">https://doi.org/10.1016/j.foodpol.2010.11.025</w:t>
        </w:r>
      </w:hyperlink>
    </w:p>
    <w:bookmarkEnd w:id="164"/>
    <w:bookmarkStart w:id="166" w:name="ref-Purwanto2020"/>
    <w:p>
      <w:pPr>
        <w:pStyle w:val="Bibliography"/>
      </w:pPr>
      <w:r>
        <w:t xml:space="preserve">Purwanto BH, Alam S (2020) Impact of intensive agricultural management on carbon and nitrogen dynamics in the humid tropics. Soil Science and Plant Nutrition 66:50–59.</w:t>
      </w:r>
      <w:r>
        <w:t xml:space="preserve"> </w:t>
      </w:r>
      <w:hyperlink r:id="rId165">
        <w:r>
          <w:rPr>
            <w:rStyle w:val="Hyperlink"/>
          </w:rPr>
          <w:t xml:space="preserve">https://doi.org/10.1080/00380768.2019.1705182</w:t>
        </w:r>
      </w:hyperlink>
    </w:p>
    <w:bookmarkEnd w:id="166"/>
    <w:bookmarkStart w:id="168" w:name="ref-Qaswar2019"/>
    <w:p>
      <w:pPr>
        <w:pStyle w:val="Bibliography"/>
      </w:pPr>
      <w:r>
        <w:t xml:space="preserve">Qaswar M, Ahmed W, Jing H, et al (2019) Soil carbon (</w:t>
      </w:r>
      <w:r>
        <w:t xml:space="preserve">C</w:t>
      </w:r>
      <w:r>
        <w:t xml:space="preserve">), nitrogen (</w:t>
      </w:r>
      <w:r>
        <w:t xml:space="preserve">N</w:t>
      </w:r>
      <w:r>
        <w:t xml:space="preserve">) and phosphorus (</w:t>
      </w:r>
      <w:r>
        <w:t xml:space="preserve">P</w:t>
      </w:r>
      <w:r>
        <w:t xml:space="preserve">) stoichiometry drives phosphorus lability in paddy soil under long-term fertilization: A fractionation and path analysis study. PLoS ONE 14:e0218195.</w:t>
      </w:r>
      <w:r>
        <w:t xml:space="preserve"> </w:t>
      </w:r>
      <w:hyperlink r:id="rId167">
        <w:r>
          <w:rPr>
            <w:rStyle w:val="Hyperlink"/>
          </w:rPr>
          <w:t xml:space="preserve">https://doi.org/10.1371/journal.pone.0218195</w:t>
        </w:r>
      </w:hyperlink>
    </w:p>
    <w:bookmarkEnd w:id="168"/>
    <w:bookmarkStart w:id="170" w:name="ref-Queiroz2017"/>
    <w:p>
      <w:pPr>
        <w:pStyle w:val="Bibliography"/>
      </w:pPr>
      <w:r>
        <w:t xml:space="preserve">Queiroz WT de, Silva ML, Jardim FCS, et al (2017) Índice de valor de importância de espécies arbóreas da floresta nacional do tapajós via análises de componentes principais e de fatores. Ciência Florestal 27:11–24.</w:t>
      </w:r>
      <w:r>
        <w:t xml:space="preserve"> </w:t>
      </w:r>
      <w:hyperlink r:id="rId169">
        <w:r>
          <w:rPr>
            <w:rStyle w:val="Hyperlink"/>
          </w:rPr>
          <w:t xml:space="preserve">https://doi.org/10.5902/1980509826446</w:t>
        </w:r>
      </w:hyperlink>
    </w:p>
    <w:bookmarkEnd w:id="170"/>
    <w:bookmarkStart w:id="172" w:name="ref-RCoreTeam2024"/>
    <w:p>
      <w:pPr>
        <w:pStyle w:val="Bibliography"/>
      </w:pPr>
      <w:r>
        <w:t xml:space="preserve">R Core Team (2024)</w:t>
      </w:r>
      <w:r>
        <w:t xml:space="preserve"> </w:t>
      </w:r>
      <w:hyperlink r:id="rId171">
        <w:r>
          <w:rPr>
            <w:rStyle w:val="Hyperlink"/>
          </w:rPr>
          <w:t xml:space="preserve">R: A language and environment for statistical computing</w:t>
        </w:r>
      </w:hyperlink>
      <w:r>
        <w:t xml:space="preserve">. R Foundation for Statistical Computing, Vienna, Austria</w:t>
      </w:r>
    </w:p>
    <w:bookmarkEnd w:id="172"/>
    <w:bookmarkStart w:id="174" w:name="ref-Reis2023"/>
    <w:p>
      <w:pPr>
        <w:pStyle w:val="Bibliography"/>
      </w:pPr>
      <w:r>
        <w:t xml:space="preserve">Reis JC, Rodrigues GS, Barros I de, et al (2023) Fuzzy logic indicators for the assessment of farming sustainability strategies in a tropical agricultural frontier. Agronomy for Sustainable Development 43:8.</w:t>
      </w:r>
      <w:r>
        <w:t xml:space="preserve"> </w:t>
      </w:r>
      <w:hyperlink r:id="rId173">
        <w:r>
          <w:rPr>
            <w:rStyle w:val="Hyperlink"/>
          </w:rPr>
          <w:t xml:space="preserve">https://doi.org/10.1007/s13593-022-00858-5</w:t>
        </w:r>
      </w:hyperlink>
    </w:p>
    <w:bookmarkEnd w:id="174"/>
    <w:bookmarkStart w:id="176" w:name="ref-Rinot2019"/>
    <w:p>
      <w:pPr>
        <w:pStyle w:val="Bibliography"/>
      </w:pPr>
      <w:r>
        <w:t xml:space="preserve">Rinot O, Levy GJ, Steinberger Y, et al (2019) Soil health assessment: A critical review of current methodologies and a proposed new approach. Science of the Total Environment 648:1484–1491.</w:t>
      </w:r>
      <w:r>
        <w:t xml:space="preserve"> </w:t>
      </w:r>
      <w:hyperlink r:id="rId175">
        <w:r>
          <w:rPr>
            <w:rStyle w:val="Hyperlink"/>
          </w:rPr>
          <w:t xml:space="preserve">https://doi.org/10.1016/j.scitotenv.2018.08.259</w:t>
        </w:r>
      </w:hyperlink>
    </w:p>
    <w:bookmarkEnd w:id="176"/>
    <w:bookmarkStart w:id="178" w:name="ref-Iversen2022"/>
    <w:p>
      <w:pPr>
        <w:pStyle w:val="Bibliography"/>
      </w:pPr>
      <w:r>
        <w:t xml:space="preserve">Robinson DA, Thomas A, Shernan S, et al (2022) Analytical modelling of soil porosity and bulk density across the soil organic matter and land-use continuum. Scientific Reports 12:7085.</w:t>
      </w:r>
      <w:r>
        <w:t xml:space="preserve"> </w:t>
      </w:r>
      <w:hyperlink r:id="rId177">
        <w:r>
          <w:rPr>
            <w:rStyle w:val="Hyperlink"/>
          </w:rPr>
          <w:t xml:space="preserve">https://doi.org/10.1038/s41598-022-11099-7</w:t>
        </w:r>
      </w:hyperlink>
    </w:p>
    <w:bookmarkEnd w:id="178"/>
    <w:bookmarkStart w:id="180" w:name="ref-Ros2022"/>
    <w:p>
      <w:pPr>
        <w:pStyle w:val="Bibliography"/>
      </w:pPr>
      <w:r>
        <w:t xml:space="preserve">Ros GH, Verweij SE, Janssen SJC, et al (2022) An open soil health assessment framework facilitating sustainable soil management. Environmental Science &amp; Technology 57:425–434.</w:t>
      </w:r>
      <w:r>
        <w:t xml:space="preserve"> </w:t>
      </w:r>
      <w:hyperlink r:id="rId179">
        <w:r>
          <w:rPr>
            <w:rStyle w:val="Hyperlink"/>
          </w:rPr>
          <w:t xml:space="preserve">https://doi.org/10.1021/acs.est.2c04516</w:t>
        </w:r>
      </w:hyperlink>
    </w:p>
    <w:bookmarkEnd w:id="180"/>
    <w:bookmarkStart w:id="181" w:name="ref-Santos2025"/>
    <w:p>
      <w:pPr>
        <w:pStyle w:val="Bibliography"/>
      </w:pPr>
      <w:r>
        <w:t xml:space="preserve">Santos HG, Jacomine PKT, Anjos LHC, et al</w:t>
      </w:r>
      <w:r>
        <w:t xml:space="preserve"> </w:t>
      </w:r>
      <w:r>
        <w:t xml:space="preserve">(2025) Sistema brasileiro de classificação de solos, 6th edn. Embrapa Solos, Brasília</w:t>
      </w:r>
    </w:p>
    <w:bookmarkEnd w:id="181"/>
    <w:bookmarkStart w:id="183" w:name="ref-ShangTiessen1997"/>
    <w:p>
      <w:pPr>
        <w:pStyle w:val="Bibliography"/>
      </w:pPr>
      <w:r>
        <w:t xml:space="preserve">Shang C, Tiessen H (1997) Organic matter lability in a tropical oxisol: Evidence from shifting cultivation, chemical oxidation, particle size, density, and magnetic fractionations. Soil Science Society of America Journal 61:780–785.</w:t>
      </w:r>
      <w:r>
        <w:t xml:space="preserve"> </w:t>
      </w:r>
      <w:hyperlink r:id="rId182">
        <w:r>
          <w:rPr>
            <w:rStyle w:val="Hyperlink"/>
          </w:rPr>
          <w:t xml:space="preserve">https://doi.org/10.1097/00010694-199711000-00004</w:t>
        </w:r>
      </w:hyperlink>
    </w:p>
    <w:bookmarkEnd w:id="183"/>
    <w:bookmarkStart w:id="185" w:name="ref-Silva2024"/>
    <w:p>
      <w:pPr>
        <w:pStyle w:val="Bibliography"/>
      </w:pPr>
      <w:r>
        <w:t xml:space="preserve">Silva BO, Moitinho MR, Panosso AR, et al (2024) Implications of converting native forest areas to agricultural systems on the dynamics of CO2 emission and carbon stock in a cerrado soil, brazil. Journal of Environmental Management 358:120796.</w:t>
      </w:r>
      <w:r>
        <w:t xml:space="preserve"> </w:t>
      </w:r>
      <w:hyperlink r:id="rId184">
        <w:r>
          <w:rPr>
            <w:rStyle w:val="Hyperlink"/>
          </w:rPr>
          <w:t xml:space="preserve">https://doi.org/10.1016/j.jenvman.2024.120796</w:t>
        </w:r>
      </w:hyperlink>
    </w:p>
    <w:bookmarkEnd w:id="185"/>
    <w:bookmarkStart w:id="187" w:name="ref-SouzaAlmeida2021"/>
    <w:p>
      <w:pPr>
        <w:pStyle w:val="Bibliography"/>
      </w:pPr>
      <w:r>
        <w:t xml:space="preserve">Souza Almeida LL de, Frazão LA, Lessa TAM, et al (2021) Soil carbon and nitrogen stocks and the quality of soil organic matter under silvopastoral systems in the</w:t>
      </w:r>
      <w:r>
        <w:t xml:space="preserve"> </w:t>
      </w:r>
      <w:r>
        <w:t xml:space="preserve">Brazilian</w:t>
      </w:r>
      <w:r>
        <w:t xml:space="preserve"> </w:t>
      </w:r>
      <w:r>
        <w:t xml:space="preserve">Cerrado</w:t>
      </w:r>
      <w:r>
        <w:t xml:space="preserve">. Soil and Tillage Research 205:104785.</w:t>
      </w:r>
      <w:r>
        <w:t xml:space="preserve"> </w:t>
      </w:r>
      <w:hyperlink r:id="rId186">
        <w:r>
          <w:rPr>
            <w:rStyle w:val="Hyperlink"/>
          </w:rPr>
          <w:t xml:space="preserve">https://doi.org/10.1016/j.still.2020.104785</w:t>
        </w:r>
      </w:hyperlink>
    </w:p>
    <w:bookmarkEnd w:id="187"/>
    <w:bookmarkStart w:id="189" w:name="ref-Spohn2024"/>
    <w:p>
      <w:pPr>
        <w:pStyle w:val="Bibliography"/>
      </w:pPr>
      <w:r>
        <w:t xml:space="preserve">Spohn M (2024) Preferential adsorption of nitrogen- and phosphorus-containing organic compounds to minerals in soils: A review. Soil Biology and Biochemistry 194:109428.</w:t>
      </w:r>
      <w:r>
        <w:t xml:space="preserve"> </w:t>
      </w:r>
      <w:hyperlink r:id="rId188">
        <w:r>
          <w:rPr>
            <w:rStyle w:val="Hyperlink"/>
          </w:rPr>
          <w:t xml:space="preserve">https://doi.org/10.1016/j.soilbio.2024.109428</w:t>
        </w:r>
      </w:hyperlink>
    </w:p>
    <w:bookmarkEnd w:id="189"/>
    <w:bookmarkStart w:id="191" w:name="ref-StLuce2022"/>
    <w:p>
      <w:pPr>
        <w:pStyle w:val="Bibliography"/>
      </w:pPr>
      <w:r>
        <w:t xml:space="preserve">St. Luce M, Ziadi N, Chantigny MH, Braun J (2022) Long-term effects of tillage and nitrogen fertilization on soil c and n fractions in a corn–soybean rotation. Canadian Journal of Soil Science 102:1–13.</w:t>
      </w:r>
      <w:r>
        <w:t xml:space="preserve"> </w:t>
      </w:r>
      <w:hyperlink r:id="rId190">
        <w:r>
          <w:rPr>
            <w:rStyle w:val="Hyperlink"/>
          </w:rPr>
          <w:t xml:space="preserve">https://doi.org/10.1139/cjss-2021-0129</w:t>
        </w:r>
      </w:hyperlink>
    </w:p>
    <w:bookmarkEnd w:id="191"/>
    <w:bookmarkStart w:id="193" w:name="ref-Suganya2024EMA"/>
    <w:p>
      <w:pPr>
        <w:pStyle w:val="Bibliography"/>
      </w:pPr>
      <w:r>
        <w:t xml:space="preserve">Suganya K, Bhavani P, Anandham R, et al (2024) Myco-assisted phytoextraction of heavy metals with vetiver grass: A green technology for cleaning tannery effluent contaminated sites. Environmental Monitoring and Assessment 196:1281.</w:t>
      </w:r>
      <w:r>
        <w:t xml:space="preserve"> </w:t>
      </w:r>
      <w:hyperlink r:id="rId192">
        <w:r>
          <w:rPr>
            <w:rStyle w:val="Hyperlink"/>
          </w:rPr>
          <w:t xml:space="preserve">https://doi.org/10.1007/s10661-024-13414-3</w:t>
        </w:r>
      </w:hyperlink>
    </w:p>
    <w:bookmarkEnd w:id="193"/>
    <w:bookmarkStart w:id="194" w:name="ref-Swift1996"/>
    <w:p>
      <w:pPr>
        <w:pStyle w:val="Bibliography"/>
      </w:pPr>
      <w:r>
        <w:t xml:space="preserve">Swift RS (1996) Organic matter characterization. In: Sparks DL, Page AL, Helmke PA, et al. (eds) Methods of soil analysis. Part 3: Chemical methods. Soil Science Society of America, pp 1011–1069</w:t>
      </w:r>
    </w:p>
    <w:bookmarkEnd w:id="194"/>
    <w:bookmarkStart w:id="196" w:name="ref-Tang2023"/>
    <w:p>
      <w:pPr>
        <w:pStyle w:val="Bibliography"/>
      </w:pPr>
      <w:r>
        <w:t xml:space="preserve">Tang J, Zhao J, Qin Z, et al (2023) Structural equation model was used to evaluate the effects of soil chemical environment, fertility and enzyme activity on eucalyptus biomass. Royal Society Open Science 10:221570.</w:t>
      </w:r>
      <w:r>
        <w:t xml:space="preserve"> </w:t>
      </w:r>
      <w:hyperlink r:id="rId195">
        <w:r>
          <w:rPr>
            <w:rStyle w:val="Hyperlink"/>
          </w:rPr>
          <w:t xml:space="preserve">https://doi.org/10.1098/rsos.221570</w:t>
        </w:r>
      </w:hyperlink>
    </w:p>
    <w:bookmarkEnd w:id="196"/>
    <w:bookmarkStart w:id="197" w:name="ref-Teixeira2017"/>
    <w:p>
      <w:pPr>
        <w:pStyle w:val="Bibliography"/>
      </w:pPr>
      <w:r>
        <w:t xml:space="preserve">Teixeira PC et al</w:t>
      </w:r>
      <w:r>
        <w:t xml:space="preserve"> </w:t>
      </w:r>
      <w:r>
        <w:t xml:space="preserve">(2017) Manual e métodos de análise de solo, 3rd edn. Embrapa, Brasília</w:t>
      </w:r>
    </w:p>
    <w:bookmarkEnd w:id="197"/>
    <w:bookmarkStart w:id="198" w:name="ref-Thornthwaite1948"/>
    <w:p>
      <w:pPr>
        <w:pStyle w:val="Bibliography"/>
      </w:pPr>
      <w:r>
        <w:t xml:space="preserve">Thornthwaite CW (1948) An approach toward a rational classification of climate. Geographical Review 38:55–94</w:t>
      </w:r>
    </w:p>
    <w:bookmarkEnd w:id="198"/>
    <w:bookmarkStart w:id="200" w:name="ref-Tivet2013"/>
    <w:p>
      <w:pPr>
        <w:pStyle w:val="Bibliography"/>
      </w:pPr>
      <w:r>
        <w:t xml:space="preserve">Tivet F, Moraes Sá JC de, Lal R, et al (2013) Aggregate c depletion by plowing and its restoration by diverse biomass-c inputs under no-till in subtropical and tropical regions of brazil. Soil and Tillage Research 126:203–218.</w:t>
      </w:r>
      <w:r>
        <w:t xml:space="preserve"> </w:t>
      </w:r>
      <w:hyperlink r:id="rId199">
        <w:r>
          <w:rPr>
            <w:rStyle w:val="Hyperlink"/>
          </w:rPr>
          <w:t xml:space="preserve">https://doi.org/10.1016/j.still.2012.09.004</w:t>
        </w:r>
      </w:hyperlink>
    </w:p>
    <w:bookmarkEnd w:id="200"/>
    <w:bookmarkStart w:id="202" w:name="ref-Vera2022"/>
    <w:p>
      <w:pPr>
        <w:pStyle w:val="Bibliography"/>
      </w:pPr>
      <w:r>
        <w:t xml:space="preserve">Vera DE, Laura VA, Ferreira AD, Couto AM (2022) Crescimento e forma do eucalipto em função da densidade de plantio. Ciência Florestal 32:e48402.</w:t>
      </w:r>
      <w:r>
        <w:t xml:space="preserve"> </w:t>
      </w:r>
      <w:hyperlink r:id="rId201">
        <w:r>
          <w:rPr>
            <w:rStyle w:val="Hyperlink"/>
          </w:rPr>
          <w:t xml:space="preserve">https://doi.org/10.5902/1980509848402</w:t>
        </w:r>
      </w:hyperlink>
    </w:p>
    <w:bookmarkEnd w:id="202"/>
    <w:bookmarkStart w:id="204" w:name="ref-Vieira2017"/>
    <w:p>
      <w:pPr>
        <w:pStyle w:val="Bibliography"/>
      </w:pPr>
      <w:r>
        <w:t xml:space="preserve">Vieira CR, Weber OLS, Scaramuzza JF (2017) Influência da adubação NPK no crescimento inicial de tectona grandis l.f. Em campo. Revista do Instituto Florestal 29:57–69.</w:t>
      </w:r>
      <w:r>
        <w:t xml:space="preserve"> </w:t>
      </w:r>
      <w:hyperlink r:id="rId203">
        <w:r>
          <w:rPr>
            <w:rStyle w:val="Hyperlink"/>
          </w:rPr>
          <w:t xml:space="preserve">https://doi.org/10.24278/2178-5031.201729104</w:t>
        </w:r>
      </w:hyperlink>
    </w:p>
    <w:bookmarkEnd w:id="204"/>
    <w:bookmarkStart w:id="206" w:name="ref-Vereecken2018"/>
    <w:p>
      <w:pPr>
        <w:pStyle w:val="Bibliography"/>
      </w:pPr>
      <w:r>
        <w:t xml:space="preserve">Vogel H-J, Bartke S, Daedlow K, et al (2018) A systemic approach for modeling soil functions. SOIL 4:83–92.</w:t>
      </w:r>
      <w:r>
        <w:t xml:space="preserve"> </w:t>
      </w:r>
      <w:hyperlink r:id="rId205">
        <w:r>
          <w:rPr>
            <w:rStyle w:val="Hyperlink"/>
          </w:rPr>
          <w:t xml:space="preserve">https://doi.org/10.5194/soil-4-83-2018</w:t>
        </w:r>
      </w:hyperlink>
    </w:p>
    <w:bookmarkEnd w:id="206"/>
    <w:bookmarkStart w:id="208" w:name="ref-Wagai2020"/>
    <w:p>
      <w:pPr>
        <w:pStyle w:val="Bibliography"/>
      </w:pPr>
      <w:r>
        <w:t xml:space="preserve">Wagai R, Kajiura M, Asano M (2020) Iron and aluminum association with microbially processed organic matter via meso-density aggregate formation across soils: Organo-metallic glue hypothesis. SOIL 6:597–614.</w:t>
      </w:r>
      <w:r>
        <w:t xml:space="preserve"> </w:t>
      </w:r>
      <w:hyperlink r:id="rId207">
        <w:r>
          <w:rPr>
            <w:rStyle w:val="Hyperlink"/>
          </w:rPr>
          <w:t xml:space="preserve">https://doi.org/10.5194/soil-6-597-2020</w:t>
        </w:r>
      </w:hyperlink>
    </w:p>
    <w:bookmarkEnd w:id="208"/>
    <w:bookmarkStart w:id="210" w:name="ref-Walker2010"/>
    <w:p>
      <w:pPr>
        <w:pStyle w:val="Bibliography"/>
      </w:pPr>
      <w:r>
        <w:t xml:space="preserve">Walker LR, Wardle DA, Bardgett RD, Clarkson BD (2010) The use of chronosequences in studies of ecological succession and soil development. Journal of Ecology 98:725–736.</w:t>
      </w:r>
      <w:r>
        <w:t xml:space="preserve"> </w:t>
      </w:r>
      <w:hyperlink r:id="rId209">
        <w:r>
          <w:rPr>
            <w:rStyle w:val="Hyperlink"/>
          </w:rPr>
          <w:t xml:space="preserve">https://doi.org/10.1111/j.1365-2745.2010.01664.x</w:t>
        </w:r>
      </w:hyperlink>
    </w:p>
    <w:bookmarkEnd w:id="210"/>
    <w:bookmarkStart w:id="212" w:name="ref-YangPost2011"/>
    <w:p>
      <w:pPr>
        <w:pStyle w:val="Bibliography"/>
      </w:pPr>
      <w:r>
        <w:t xml:space="preserve">Yang X, Post WM (2011) Phosphorus transformations as a function of pedogenesis: A synthesis of soil phosphorus data using the</w:t>
      </w:r>
      <w:r>
        <w:t xml:space="preserve"> </w:t>
      </w:r>
      <w:r>
        <w:t xml:space="preserve">Hedley</w:t>
      </w:r>
      <w:r>
        <w:t xml:space="preserve"> </w:t>
      </w:r>
      <w:r>
        <w:t xml:space="preserve">fractionation method. Biogeosciences 8:2907–2916.</w:t>
      </w:r>
      <w:r>
        <w:t xml:space="preserve"> </w:t>
      </w:r>
      <w:hyperlink r:id="rId211">
        <w:r>
          <w:rPr>
            <w:rStyle w:val="Hyperlink"/>
          </w:rPr>
          <w:t xml:space="preserve">https://doi.org/10.5194/bg-8-2907-2011</w:t>
        </w:r>
      </w:hyperlink>
    </w:p>
    <w:bookmarkEnd w:id="212"/>
    <w:bookmarkStart w:id="214" w:name="ref-Yang2025EMA"/>
    <w:p>
      <w:pPr>
        <w:pStyle w:val="Bibliography"/>
      </w:pPr>
      <w:r>
        <w:t xml:space="preserve">Yang Y, Xu Y, Wang N, Yao W (2025) Impacts of cascade hydropower dam construction on riparian vegetation in the yalong river basin. Environmental Monitoring and Assessment 197:1050.</w:t>
      </w:r>
      <w:r>
        <w:t xml:space="preserve"> </w:t>
      </w:r>
      <w:hyperlink r:id="rId213">
        <w:r>
          <w:rPr>
            <w:rStyle w:val="Hyperlink"/>
          </w:rPr>
          <w:t xml:space="preserve">https://doi.org/10.1007/s10661-025-14512-6</w:t>
        </w:r>
      </w:hyperlink>
    </w:p>
    <w:bookmarkEnd w:id="214"/>
    <w:bookmarkEnd w:id="215"/>
    <w:bookmarkEnd w:id="216"/>
    <w:sectPr>
      <w:footnotePr>
        <w:numRestart w:val="eachSect"/>
      </w:footnote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asciiTheme="Times New Roman" w:cs="Times New Roman" w:cstheme="minorBidi" w:eastAsia="Times New Roman" w:eastAsiaTheme="minorEastAsia" w:hAnsi="Times New Roman" w:hAnsiTheme="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jc w:val="both"/>
    </w:pPr>
    <w:rPr>
      <w:rFonts w:ascii="Times New Roman" w:cs="Times New Roman" w:eastAsia="Times New Roman" w:hAnsi="Times New Roman"/>
      <w:b w:val="0"/>
      <w:i w:val="0"/>
      <w:caps w:val="0"/>
      <w:color w:val="000000"/>
      <w:sz w:val="24"/>
    </w:rPr>
  </w:style>
  <w:style w:styleId="BodyText" w:type="paragraph">
    <w:name w:val="Body Text"/>
    <w:basedOn w:val="Normal"/>
    <w:link w:val="BodyTextChar"/>
    <w:qFormat/>
    <w:pPr>
      <w:spacing w:after="120" w:before="0" w:line="360" w:lineRule="auto"/>
      <w:jc w:val="both"/>
    </w:pPr>
    <w:rPr>
      <w:rFonts w:ascii="Times New Roman" w:cs="Times New Roman" w:eastAsia="Times New Roman" w:hAnsi="Times New Roman"/>
      <w:b w:val="0"/>
      <w:i w:val="0"/>
      <w:caps w:val="0"/>
      <w:color w:val="000000"/>
      <w:sz w:val="24"/>
    </w:rPr>
  </w:style>
  <w:style w:customStyle="1" w:styleId="FirstParagraph" w:type="paragraph">
    <w:name w:val="First Paragraph"/>
    <w:basedOn w:val="BodyText"/>
    <w:next w:val="BodyText"/>
    <w:qFormat/>
    <w:pPr>
      <w:spacing w:after="120" w:before="0" w:line="360" w:lineRule="auto"/>
      <w:jc w:val="both"/>
    </w:pPr>
    <w:rPr>
      <w:rFonts w:ascii="Times New Roman" w:cs="Times New Roman" w:eastAsia="Times New Roman" w:hAnsi="Times New Roman"/>
      <w:b w:val="0"/>
      <w:i w:val="0"/>
      <w:caps w:val="0"/>
      <w:color w:val="000000"/>
      <w:sz w:val="24"/>
    </w:rPr>
  </w:style>
  <w:style w:customStyle="1" w:styleId="Compact" w:type="paragraph">
    <w:name w:val="Compact"/>
    <w:basedOn w:val="BodyText"/>
    <w:qFormat/>
    <w:pPr>
      <w:spacing w:after="0" w:before="0" w:line="240" w:lineRule="auto"/>
    </w:pPr>
    <w:rPr>
      <w:rFonts w:ascii="Times New Roman" w:hAnsi="Times New Roman"/>
      <w:sz w:val="20"/>
    </w:rPr>
  </w:style>
  <w:style w:styleId="Title" w:type="paragraph">
    <w:name w:val="Title"/>
    <w:basedOn w:val="Normal"/>
    <w:next w:val="BodyText"/>
    <w:link w:val="TitleChar"/>
    <w:uiPriority w:val="10"/>
    <w:qFormat/>
    <w:rsid w:val="00A10FD9"/>
    <w:pPr>
      <w:spacing w:after="240" w:before="0" w:line="276" w:lineRule="auto"/>
      <w:contextualSpacing/>
      <w:jc w:val="center"/>
    </w:pPr>
    <w:rPr>
      <w:rFonts w:ascii="Times New Roman" w:asciiTheme="majorHAnsi" w:cs="Times New Roman" w:cstheme="majorBidi" w:eastAsia="Times New Roman" w:eastAsiaTheme="majorEastAsia" w:hAnsi="Times New Roman" w:hAnsiTheme="majorHAnsi"/>
      <w:b/>
      <w:i w:val="0"/>
      <w:caps w:val="0"/>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120" w:before="0" w:line="360" w:lineRule="auto"/>
      <w:jc w:val="both"/>
    </w:pPr>
    <w:rPr>
      <w:rFonts w:ascii="Times New Roman" w:cs="Times New Roman" w:eastAsia="Times New Roman" w:hAnsi="Times New Roman"/>
      <w:b w:val="0"/>
      <w:i w:val="0"/>
      <w:caps w:val="0"/>
      <w:color w:val="000000"/>
      <w:sz w:val="22"/>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60" w:line="360" w:lineRule="auto"/>
      <w:jc w:val="left"/>
      <w:outlineLvl w:val="0"/>
    </w:pPr>
    <w:rPr>
      <w:rFonts w:ascii="Times New Roman" w:asciiTheme="majorHAnsi" w:cs="Times New Roman" w:cstheme="majorBidi" w:eastAsia="Times New Roman" w:eastAsiaTheme="majorEastAsia" w:hAnsi="Times New Roman" w:hAnsiTheme="majorHAnsi"/>
      <w:b/>
      <w:i w:val="0"/>
      <w:caps w:val="0"/>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360" w:lineRule="auto"/>
      <w:jc w:val="left"/>
      <w:outlineLvl w:val="1"/>
    </w:pPr>
    <w:rPr>
      <w:rFonts w:ascii="Times New Roman" w:asciiTheme="majorHAnsi" w:cs="Times New Roman" w:cstheme="majorBidi" w:eastAsia="Times New Roman" w:eastAsiaTheme="majorEastAsia" w:hAnsi="Times New Roman" w:hAnsiTheme="majorHAnsi"/>
      <w:b/>
      <w:i w:val="0"/>
      <w:caps w:val="0"/>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240" w:line="360" w:lineRule="auto"/>
      <w:jc w:val="left"/>
      <w:outlineLvl w:val="2"/>
    </w:pPr>
    <w:rPr>
      <w:rFonts w:ascii="Times New Roman" w:cs="Times New Roman" w:cstheme="majorBidi" w:eastAsia="Times New Roman" w:eastAsiaTheme="majorEastAsia" w:hAnsi="Times New Roman"/>
      <w:b/>
      <w:i/>
      <w:caps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0" w:line="360" w:lineRule="auto"/>
      <w:ind w:firstLine="0" w:left="480" w:right="480"/>
      <w:jc w:val="both"/>
    </w:pPr>
    <w:rPr>
      <w:rFonts w:ascii="Times New Roman" w:cs="Times New Roman" w:eastAsia="Times New Roman" w:hAnsi="Times New Roman"/>
      <w:b w:val="0"/>
      <w:i w:val="0"/>
      <w:caps w:val="0"/>
      <w:color w:val="000000"/>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pPr>
      <w:spacing w:after="0" w:before="0" w:line="240" w:lineRule="auto"/>
    </w:pPr>
    <w:rPr>
      <w:rFonts w:ascii="Times New Roman" w:hAnsi="Times New Roman"/>
      <w:sz w:val="20"/>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120" w:line="276" w:lineRule="auto"/>
      <w:jc w:val="left"/>
    </w:pPr>
    <w:rPr>
      <w:rFonts w:ascii="Times New Roman" w:cs="Times New Roman" w:eastAsia="Times New Roman" w:hAnsi="Times New Roman"/>
      <w:b w:val="0"/>
      <w:i/>
      <w:caps w:val="0"/>
      <w:color w:val="000000"/>
      <w:sz w:val="20"/>
    </w:rPr>
  </w:style>
  <w:style w:customStyle="1" w:styleId="TableCaption" w:type="paragraph">
    <w:name w:val="Table Caption"/>
    <w:basedOn w:val="Caption"/>
    <w:pPr>
      <w:keepNext/>
      <w:spacing w:after="0" w:before="0" w:line="240" w:lineRule="auto"/>
    </w:pPr>
    <w:rPr>
      <w:rFonts w:ascii="Times New Roman" w:hAnsi="Times New Roman"/>
      <w:sz w:val="20"/>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28" Target="media/rId28.png" /><Relationship Type="http://schemas.openxmlformats.org/officeDocument/2006/relationships/image" Id="rId43" Target="media/rId43.png" /><Relationship Type="http://schemas.openxmlformats.org/officeDocument/2006/relationships/image" Id="rId16" Target="media/rId16.jpg" /><Relationship Type="http://schemas.openxmlformats.org/officeDocument/2006/relationships/image" Id="rId11" Target="media/rId11.png" /><Relationship Type="http://schemas.openxmlformats.org/officeDocument/2006/relationships/image" Id="rId32" Target="media/rId32.png" /><Relationship Type="http://schemas.openxmlformats.org/officeDocument/2006/relationships/hyperlink" Id="rId80" Target="https://doi.org/10.1002/9781119480419.ch3" TargetMode="External" /><Relationship Type="http://schemas.openxmlformats.org/officeDocument/2006/relationships/hyperlink" Id="rId121" Target="https://doi.org/10.1002/agj2.20282" TargetMode="External" /><Relationship Type="http://schemas.openxmlformats.org/officeDocument/2006/relationships/hyperlink" Id="rId63" Target="https://doi.org/10.1002/ece3.72100" TargetMode="External" /><Relationship Type="http://schemas.openxmlformats.org/officeDocument/2006/relationships/hyperlink" Id="rId88" Target="https://doi.org/10.1002/ecs2.3439" TargetMode="External" /><Relationship Type="http://schemas.openxmlformats.org/officeDocument/2006/relationships/hyperlink" Id="rId141" Target="https://doi.org/10.1002/jpln.200700049" TargetMode="External" /><Relationship Type="http://schemas.openxmlformats.org/officeDocument/2006/relationships/hyperlink" Id="rId129" Target="https://doi.org/10.1007/978-1-4612-5046-3_8" TargetMode="External" /><Relationship Type="http://schemas.openxmlformats.org/officeDocument/2006/relationships/hyperlink" Id="rId161" Target="https://doi.org/10.1007/978-1-4615-7358-6_5" TargetMode="External" /><Relationship Type="http://schemas.openxmlformats.org/officeDocument/2006/relationships/hyperlink" Id="rId149" Target="https://doi.org/10.1007/s10342-024-01669-x" TargetMode="External" /><Relationship Type="http://schemas.openxmlformats.org/officeDocument/2006/relationships/hyperlink" Id="rId135" Target="https://doi.org/10.1007/s10457-023-00864-w" TargetMode="External" /><Relationship Type="http://schemas.openxmlformats.org/officeDocument/2006/relationships/hyperlink" Id="rId192" Target="https://doi.org/10.1007/s10661-024-13414-3" TargetMode="External" /><Relationship Type="http://schemas.openxmlformats.org/officeDocument/2006/relationships/hyperlink" Id="rId109" Target="https://doi.org/10.1007/s10661-025-14474-9" TargetMode="External" /><Relationship Type="http://schemas.openxmlformats.org/officeDocument/2006/relationships/hyperlink" Id="rId213" Target="https://doi.org/10.1007/s10661-025-14512-6" TargetMode="External" /><Relationship Type="http://schemas.openxmlformats.org/officeDocument/2006/relationships/hyperlink" Id="rId119" Target="https://doi.org/10.1007/s11258-025-01535-9" TargetMode="External" /><Relationship Type="http://schemas.openxmlformats.org/officeDocument/2006/relationships/hyperlink" Id="rId105" Target="https://doi.org/10.1007/s11747-014-0403-8" TargetMode="External" /><Relationship Type="http://schemas.openxmlformats.org/officeDocument/2006/relationships/hyperlink" Id="rId173" Target="https://doi.org/10.1007/s13593-022-00858-5" TargetMode="External" /><Relationship Type="http://schemas.openxmlformats.org/officeDocument/2006/relationships/hyperlink" Id="rId155" Target="https://doi.org/10.1016/S0003-2670(00)88444-5" TargetMode="External" /><Relationship Type="http://schemas.openxmlformats.org/officeDocument/2006/relationships/hyperlink" Id="rId61" Target="https://doi.org/10.1016/S0167-8809(01)00174-8" TargetMode="External" /><Relationship Type="http://schemas.openxmlformats.org/officeDocument/2006/relationships/hyperlink" Id="rId117" Target="https://doi.org/10.1016/bs.agron.2014.10.005" TargetMode="External" /><Relationship Type="http://schemas.openxmlformats.org/officeDocument/2006/relationships/hyperlink" Id="rId82" Target="https://doi.org/10.1016/bs.agron.2021.11.002" TargetMode="External" /><Relationship Type="http://schemas.openxmlformats.org/officeDocument/2006/relationships/hyperlink" Id="rId151" Target="https://doi.org/10.1016/j.compag.2020.105624" TargetMode="External" /><Relationship Type="http://schemas.openxmlformats.org/officeDocument/2006/relationships/hyperlink" Id="rId71" Target="https://doi.org/10.1016/j.ejsobi.2024.103613" TargetMode="External" /><Relationship Type="http://schemas.openxmlformats.org/officeDocument/2006/relationships/hyperlink" Id="rId163" Target="https://doi.org/10.1016/j.foodpol.2010.11.025" TargetMode="External" /><Relationship Type="http://schemas.openxmlformats.org/officeDocument/2006/relationships/hyperlink" Id="rId145" Target="https://doi.org/10.1016/j.foreco.2019.06.027" TargetMode="External" /><Relationship Type="http://schemas.openxmlformats.org/officeDocument/2006/relationships/hyperlink" Id="rId107" Target="https://doi.org/10.1016/j.geoderma.2020.114181" TargetMode="External" /><Relationship Type="http://schemas.openxmlformats.org/officeDocument/2006/relationships/hyperlink" Id="rId74" Target="https://doi.org/10.1016/j.geoderma.2020.114784" TargetMode="External" /><Relationship Type="http://schemas.openxmlformats.org/officeDocument/2006/relationships/hyperlink" Id="rId125" Target="https://doi.org/10.1016/j.geoderma.2023.116745" TargetMode="External" /><Relationship Type="http://schemas.openxmlformats.org/officeDocument/2006/relationships/hyperlink" Id="rId98" Target="https://doi.org/10.1016/j.geodrs.2018.e00193" TargetMode="External" /><Relationship Type="http://schemas.openxmlformats.org/officeDocument/2006/relationships/hyperlink" Id="rId84" Target="https://doi.org/10.1016/j.jclepro.2018.12.238" TargetMode="External" /><Relationship Type="http://schemas.openxmlformats.org/officeDocument/2006/relationships/hyperlink" Id="rId184" Target="https://doi.org/10.1016/j.jenvman.2024.120796" TargetMode="External" /><Relationship Type="http://schemas.openxmlformats.org/officeDocument/2006/relationships/hyperlink" Id="rId175" Target="https://doi.org/10.1016/j.scitotenv.2018.08.259" TargetMode="External" /><Relationship Type="http://schemas.openxmlformats.org/officeDocument/2006/relationships/hyperlink" Id="rId65" Target="https://doi.org/10.1016/j.scitotenv.2018.12.271" TargetMode="External" /><Relationship Type="http://schemas.openxmlformats.org/officeDocument/2006/relationships/hyperlink" Id="rId159" Target="https://doi.org/10.1016/j.soilbio.2016.04.001" TargetMode="External" /><Relationship Type="http://schemas.openxmlformats.org/officeDocument/2006/relationships/hyperlink" Id="rId69" Target="https://doi.org/10.1016/j.soilbio.2018.01.030" TargetMode="External" /><Relationship Type="http://schemas.openxmlformats.org/officeDocument/2006/relationships/hyperlink" Id="rId188" Target="https://doi.org/10.1016/j.soilbio.2024.109428" TargetMode="External" /><Relationship Type="http://schemas.openxmlformats.org/officeDocument/2006/relationships/hyperlink" Id="rId199" Target="https://doi.org/10.1016/j.still.2012.09.004" TargetMode="External" /><Relationship Type="http://schemas.openxmlformats.org/officeDocument/2006/relationships/hyperlink" Id="rId186" Target="https://doi.org/10.1016/j.still.2020.104785" TargetMode="External" /><Relationship Type="http://schemas.openxmlformats.org/officeDocument/2006/relationships/hyperlink" Id="rId78" Target="https://doi.org/10.1016/j.still.2021.104951" TargetMode="External" /><Relationship Type="http://schemas.openxmlformats.org/officeDocument/2006/relationships/hyperlink" Id="rId179" Target="https://doi.org/10.1021/acs.est.2c04516" TargetMode="External" /><Relationship Type="http://schemas.openxmlformats.org/officeDocument/2006/relationships/hyperlink" Id="rId127" Target="https://doi.org/10.1038/nature16069" TargetMode="External" /><Relationship Type="http://schemas.openxmlformats.org/officeDocument/2006/relationships/hyperlink" Id="rId113" Target="https://doi.org/10.1038/ncomms13630" TargetMode="External" /><Relationship Type="http://schemas.openxmlformats.org/officeDocument/2006/relationships/hyperlink" Id="rId177" Target="https://doi.org/10.1038/s41598-022-11099-7" TargetMode="External" /><Relationship Type="http://schemas.openxmlformats.org/officeDocument/2006/relationships/hyperlink" Id="rId94" Target="https://doi.org/10.1038/srep20798" TargetMode="External" /><Relationship Type="http://schemas.openxmlformats.org/officeDocument/2006/relationships/hyperlink" Id="rId165" Target="https://doi.org/10.1080/00380768.2019.1705182" TargetMode="External" /><Relationship Type="http://schemas.openxmlformats.org/officeDocument/2006/relationships/hyperlink" Id="rId182" Target="https://doi.org/10.1097/00010694-199711000-00004" TargetMode="External" /><Relationship Type="http://schemas.openxmlformats.org/officeDocument/2006/relationships/hyperlink" Id="rId195" Target="https://doi.org/10.1098/rsos.221570" TargetMode="External" /><Relationship Type="http://schemas.openxmlformats.org/officeDocument/2006/relationships/hyperlink" Id="rId59" Target="https://doi.org/10.1109/TAC.1974.1100705" TargetMode="External" /><Relationship Type="http://schemas.openxmlformats.org/officeDocument/2006/relationships/hyperlink" Id="rId139" Target="https://doi.org/10.1109/TC.1977.1674779" TargetMode="External" /><Relationship Type="http://schemas.openxmlformats.org/officeDocument/2006/relationships/hyperlink" Id="rId123" Target="https://doi.org/10.1111/gcb.14859" TargetMode="External" /><Relationship Type="http://schemas.openxmlformats.org/officeDocument/2006/relationships/hyperlink" Id="rId209" Target="https://doi.org/10.1111/j.1365-2745.2010.01664.x" TargetMode="External" /><Relationship Type="http://schemas.openxmlformats.org/officeDocument/2006/relationships/hyperlink" Id="rId190" Target="https://doi.org/10.1139/cjss-2021-0129" TargetMode="External" /><Relationship Type="http://schemas.openxmlformats.org/officeDocument/2006/relationships/hyperlink" Id="rId90" Target="https://doi.org/10.1177/002224378101800104" TargetMode="External" /><Relationship Type="http://schemas.openxmlformats.org/officeDocument/2006/relationships/hyperlink" Id="rId143" Target="https://doi.org/10.1201/9780203753736" TargetMode="External" /><Relationship Type="http://schemas.openxmlformats.org/officeDocument/2006/relationships/hyperlink" Id="rId153" Target="https://doi.org/10.1371/journal.pone.0105981" TargetMode="External" /><Relationship Type="http://schemas.openxmlformats.org/officeDocument/2006/relationships/hyperlink" Id="rId167" Target="https://doi.org/10.1371/journal.pone.0218195" TargetMode="External" /><Relationship Type="http://schemas.openxmlformats.org/officeDocument/2006/relationships/hyperlink" Id="rId157" Target="https://doi.org/10.1590/01047760201925022618" TargetMode="External" /><Relationship Type="http://schemas.openxmlformats.org/officeDocument/2006/relationships/hyperlink" Id="rId131" Target="https://doi.org/10.1590/1983-21252023v36n114rc" TargetMode="External" /><Relationship Type="http://schemas.openxmlformats.org/officeDocument/2006/relationships/hyperlink" Id="rId147" Target="https://doi.org/10.18637/jss.v018.i02" TargetMode="External" /><Relationship Type="http://schemas.openxmlformats.org/officeDocument/2006/relationships/hyperlink" Id="rId103" Target="https://doi.org/10.2136/sssaj1982.03615995004600050017x" TargetMode="External" /><Relationship Type="http://schemas.openxmlformats.org/officeDocument/2006/relationships/hyperlink" Id="rId115" Target="https://doi.org/10.2136/sssaj1997.03615995006100010001x" TargetMode="External" /><Relationship Type="http://schemas.openxmlformats.org/officeDocument/2006/relationships/hyperlink" Id="rId92" Target="https://doi.org/10.2136/sssaj2004.2150" TargetMode="External" /><Relationship Type="http://schemas.openxmlformats.org/officeDocument/2006/relationships/hyperlink" Id="rId86" Target="https://doi.org/10.2136/sssaspecpub35.c1" TargetMode="External" /><Relationship Type="http://schemas.openxmlformats.org/officeDocument/2006/relationships/hyperlink" Id="rId203" Target="https://doi.org/10.24278/2178-5031.201729104" TargetMode="External" /><Relationship Type="http://schemas.openxmlformats.org/officeDocument/2006/relationships/hyperlink" Id="rId133" Target="https://doi.org/10.3390/agronomy13010071" TargetMode="External" /><Relationship Type="http://schemas.openxmlformats.org/officeDocument/2006/relationships/hyperlink" Id="rId96" Target="https://doi.org/10.3390/soilsystems6020033" TargetMode="External" /><Relationship Type="http://schemas.openxmlformats.org/officeDocument/2006/relationships/hyperlink" Id="rId67" Target="https://doi.org/10.3390/su141811651" TargetMode="External" /><Relationship Type="http://schemas.openxmlformats.org/officeDocument/2006/relationships/hyperlink" Id="rId76" Target="https://doi.org/10.36783/18069657rbcs20220130" TargetMode="External" /><Relationship Type="http://schemas.openxmlformats.org/officeDocument/2006/relationships/hyperlink" Id="rId211" Target="https://doi.org/10.5194/bg-8-2907-2011" TargetMode="External" /><Relationship Type="http://schemas.openxmlformats.org/officeDocument/2006/relationships/hyperlink" Id="rId100" Target="https://doi.org/10.5194/soil-4-123-2018" TargetMode="External" /><Relationship Type="http://schemas.openxmlformats.org/officeDocument/2006/relationships/hyperlink" Id="rId205" Target="https://doi.org/10.5194/soil-4-83-2018" TargetMode="External" /><Relationship Type="http://schemas.openxmlformats.org/officeDocument/2006/relationships/hyperlink" Id="rId207" Target="https://doi.org/10.5194/soil-6-597-2020" TargetMode="External" /><Relationship Type="http://schemas.openxmlformats.org/officeDocument/2006/relationships/hyperlink" Id="rId55" Target="https://doi.org/10.5281/zenodo.18077256" TargetMode="External" /><Relationship Type="http://schemas.openxmlformats.org/officeDocument/2006/relationships/hyperlink" Id="rId111" Target="https://doi.org/10.5380/rf.v51i3.72868" TargetMode="External" /><Relationship Type="http://schemas.openxmlformats.org/officeDocument/2006/relationships/hyperlink" Id="rId137" Target="https://doi.org/10.54033/cadpedv21n7-128" TargetMode="External" /><Relationship Type="http://schemas.openxmlformats.org/officeDocument/2006/relationships/hyperlink" Id="rId169" Target="https://doi.org/10.5902/1980509826446" TargetMode="External" /><Relationship Type="http://schemas.openxmlformats.org/officeDocument/2006/relationships/hyperlink" Id="rId201" Target="https://doi.org/10.5902/1980509848402" TargetMode="External" /><Relationship Type="http://schemas.openxmlformats.org/officeDocument/2006/relationships/hyperlink" Id="rId171"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80" Target="https://doi.org/10.1002/9781119480419.ch3" TargetMode="External" /><Relationship Type="http://schemas.openxmlformats.org/officeDocument/2006/relationships/hyperlink" Id="rId121" Target="https://doi.org/10.1002/agj2.20282" TargetMode="External" /><Relationship Type="http://schemas.openxmlformats.org/officeDocument/2006/relationships/hyperlink" Id="rId63" Target="https://doi.org/10.1002/ece3.72100" TargetMode="External" /><Relationship Type="http://schemas.openxmlformats.org/officeDocument/2006/relationships/hyperlink" Id="rId88" Target="https://doi.org/10.1002/ecs2.3439" TargetMode="External" /><Relationship Type="http://schemas.openxmlformats.org/officeDocument/2006/relationships/hyperlink" Id="rId141" Target="https://doi.org/10.1002/jpln.200700049" TargetMode="External" /><Relationship Type="http://schemas.openxmlformats.org/officeDocument/2006/relationships/hyperlink" Id="rId129" Target="https://doi.org/10.1007/978-1-4612-5046-3_8" TargetMode="External" /><Relationship Type="http://schemas.openxmlformats.org/officeDocument/2006/relationships/hyperlink" Id="rId161" Target="https://doi.org/10.1007/978-1-4615-7358-6_5" TargetMode="External" /><Relationship Type="http://schemas.openxmlformats.org/officeDocument/2006/relationships/hyperlink" Id="rId149" Target="https://doi.org/10.1007/s10342-024-01669-x" TargetMode="External" /><Relationship Type="http://schemas.openxmlformats.org/officeDocument/2006/relationships/hyperlink" Id="rId135" Target="https://doi.org/10.1007/s10457-023-00864-w" TargetMode="External" /><Relationship Type="http://schemas.openxmlformats.org/officeDocument/2006/relationships/hyperlink" Id="rId192" Target="https://doi.org/10.1007/s10661-024-13414-3" TargetMode="External" /><Relationship Type="http://schemas.openxmlformats.org/officeDocument/2006/relationships/hyperlink" Id="rId109" Target="https://doi.org/10.1007/s10661-025-14474-9" TargetMode="External" /><Relationship Type="http://schemas.openxmlformats.org/officeDocument/2006/relationships/hyperlink" Id="rId213" Target="https://doi.org/10.1007/s10661-025-14512-6" TargetMode="External" /><Relationship Type="http://schemas.openxmlformats.org/officeDocument/2006/relationships/hyperlink" Id="rId119" Target="https://doi.org/10.1007/s11258-025-01535-9" TargetMode="External" /><Relationship Type="http://schemas.openxmlformats.org/officeDocument/2006/relationships/hyperlink" Id="rId105" Target="https://doi.org/10.1007/s11747-014-0403-8" TargetMode="External" /><Relationship Type="http://schemas.openxmlformats.org/officeDocument/2006/relationships/hyperlink" Id="rId173" Target="https://doi.org/10.1007/s13593-022-00858-5" TargetMode="External" /><Relationship Type="http://schemas.openxmlformats.org/officeDocument/2006/relationships/hyperlink" Id="rId155" Target="https://doi.org/10.1016/S0003-2670(00)88444-5" TargetMode="External" /><Relationship Type="http://schemas.openxmlformats.org/officeDocument/2006/relationships/hyperlink" Id="rId61" Target="https://doi.org/10.1016/S0167-8809(01)00174-8" TargetMode="External" /><Relationship Type="http://schemas.openxmlformats.org/officeDocument/2006/relationships/hyperlink" Id="rId117" Target="https://doi.org/10.1016/bs.agron.2014.10.005" TargetMode="External" /><Relationship Type="http://schemas.openxmlformats.org/officeDocument/2006/relationships/hyperlink" Id="rId82" Target="https://doi.org/10.1016/bs.agron.2021.11.002" TargetMode="External" /><Relationship Type="http://schemas.openxmlformats.org/officeDocument/2006/relationships/hyperlink" Id="rId151" Target="https://doi.org/10.1016/j.compag.2020.105624" TargetMode="External" /><Relationship Type="http://schemas.openxmlformats.org/officeDocument/2006/relationships/hyperlink" Id="rId71" Target="https://doi.org/10.1016/j.ejsobi.2024.103613" TargetMode="External" /><Relationship Type="http://schemas.openxmlformats.org/officeDocument/2006/relationships/hyperlink" Id="rId163" Target="https://doi.org/10.1016/j.foodpol.2010.11.025" TargetMode="External" /><Relationship Type="http://schemas.openxmlformats.org/officeDocument/2006/relationships/hyperlink" Id="rId145" Target="https://doi.org/10.1016/j.foreco.2019.06.027" TargetMode="External" /><Relationship Type="http://schemas.openxmlformats.org/officeDocument/2006/relationships/hyperlink" Id="rId107" Target="https://doi.org/10.1016/j.geoderma.2020.114181" TargetMode="External" /><Relationship Type="http://schemas.openxmlformats.org/officeDocument/2006/relationships/hyperlink" Id="rId74" Target="https://doi.org/10.1016/j.geoderma.2020.114784" TargetMode="External" /><Relationship Type="http://schemas.openxmlformats.org/officeDocument/2006/relationships/hyperlink" Id="rId125" Target="https://doi.org/10.1016/j.geoderma.2023.116745" TargetMode="External" /><Relationship Type="http://schemas.openxmlformats.org/officeDocument/2006/relationships/hyperlink" Id="rId98" Target="https://doi.org/10.1016/j.geodrs.2018.e00193" TargetMode="External" /><Relationship Type="http://schemas.openxmlformats.org/officeDocument/2006/relationships/hyperlink" Id="rId84" Target="https://doi.org/10.1016/j.jclepro.2018.12.238" TargetMode="External" /><Relationship Type="http://schemas.openxmlformats.org/officeDocument/2006/relationships/hyperlink" Id="rId184" Target="https://doi.org/10.1016/j.jenvman.2024.120796" TargetMode="External" /><Relationship Type="http://schemas.openxmlformats.org/officeDocument/2006/relationships/hyperlink" Id="rId175" Target="https://doi.org/10.1016/j.scitotenv.2018.08.259" TargetMode="External" /><Relationship Type="http://schemas.openxmlformats.org/officeDocument/2006/relationships/hyperlink" Id="rId65" Target="https://doi.org/10.1016/j.scitotenv.2018.12.271" TargetMode="External" /><Relationship Type="http://schemas.openxmlformats.org/officeDocument/2006/relationships/hyperlink" Id="rId159" Target="https://doi.org/10.1016/j.soilbio.2016.04.001" TargetMode="External" /><Relationship Type="http://schemas.openxmlformats.org/officeDocument/2006/relationships/hyperlink" Id="rId69" Target="https://doi.org/10.1016/j.soilbio.2018.01.030" TargetMode="External" /><Relationship Type="http://schemas.openxmlformats.org/officeDocument/2006/relationships/hyperlink" Id="rId188" Target="https://doi.org/10.1016/j.soilbio.2024.109428" TargetMode="External" /><Relationship Type="http://schemas.openxmlformats.org/officeDocument/2006/relationships/hyperlink" Id="rId199" Target="https://doi.org/10.1016/j.still.2012.09.004" TargetMode="External" /><Relationship Type="http://schemas.openxmlformats.org/officeDocument/2006/relationships/hyperlink" Id="rId186" Target="https://doi.org/10.1016/j.still.2020.104785" TargetMode="External" /><Relationship Type="http://schemas.openxmlformats.org/officeDocument/2006/relationships/hyperlink" Id="rId78" Target="https://doi.org/10.1016/j.still.2021.104951" TargetMode="External" /><Relationship Type="http://schemas.openxmlformats.org/officeDocument/2006/relationships/hyperlink" Id="rId179" Target="https://doi.org/10.1021/acs.est.2c04516" TargetMode="External" /><Relationship Type="http://schemas.openxmlformats.org/officeDocument/2006/relationships/hyperlink" Id="rId127" Target="https://doi.org/10.1038/nature16069" TargetMode="External" /><Relationship Type="http://schemas.openxmlformats.org/officeDocument/2006/relationships/hyperlink" Id="rId113" Target="https://doi.org/10.1038/ncomms13630" TargetMode="External" /><Relationship Type="http://schemas.openxmlformats.org/officeDocument/2006/relationships/hyperlink" Id="rId177" Target="https://doi.org/10.1038/s41598-022-11099-7" TargetMode="External" /><Relationship Type="http://schemas.openxmlformats.org/officeDocument/2006/relationships/hyperlink" Id="rId94" Target="https://doi.org/10.1038/srep20798" TargetMode="External" /><Relationship Type="http://schemas.openxmlformats.org/officeDocument/2006/relationships/hyperlink" Id="rId165" Target="https://doi.org/10.1080/00380768.2019.1705182" TargetMode="External" /><Relationship Type="http://schemas.openxmlformats.org/officeDocument/2006/relationships/hyperlink" Id="rId182" Target="https://doi.org/10.1097/00010694-199711000-00004" TargetMode="External" /><Relationship Type="http://schemas.openxmlformats.org/officeDocument/2006/relationships/hyperlink" Id="rId195" Target="https://doi.org/10.1098/rsos.221570" TargetMode="External" /><Relationship Type="http://schemas.openxmlformats.org/officeDocument/2006/relationships/hyperlink" Id="rId59" Target="https://doi.org/10.1109/TAC.1974.1100705" TargetMode="External" /><Relationship Type="http://schemas.openxmlformats.org/officeDocument/2006/relationships/hyperlink" Id="rId139" Target="https://doi.org/10.1109/TC.1977.1674779" TargetMode="External" /><Relationship Type="http://schemas.openxmlformats.org/officeDocument/2006/relationships/hyperlink" Id="rId123" Target="https://doi.org/10.1111/gcb.14859" TargetMode="External" /><Relationship Type="http://schemas.openxmlformats.org/officeDocument/2006/relationships/hyperlink" Id="rId209" Target="https://doi.org/10.1111/j.1365-2745.2010.01664.x" TargetMode="External" /><Relationship Type="http://schemas.openxmlformats.org/officeDocument/2006/relationships/hyperlink" Id="rId190" Target="https://doi.org/10.1139/cjss-2021-0129" TargetMode="External" /><Relationship Type="http://schemas.openxmlformats.org/officeDocument/2006/relationships/hyperlink" Id="rId90" Target="https://doi.org/10.1177/002224378101800104" TargetMode="External" /><Relationship Type="http://schemas.openxmlformats.org/officeDocument/2006/relationships/hyperlink" Id="rId143" Target="https://doi.org/10.1201/9780203753736" TargetMode="External" /><Relationship Type="http://schemas.openxmlformats.org/officeDocument/2006/relationships/hyperlink" Id="rId153" Target="https://doi.org/10.1371/journal.pone.0105981" TargetMode="External" /><Relationship Type="http://schemas.openxmlformats.org/officeDocument/2006/relationships/hyperlink" Id="rId167" Target="https://doi.org/10.1371/journal.pone.0218195" TargetMode="External" /><Relationship Type="http://schemas.openxmlformats.org/officeDocument/2006/relationships/hyperlink" Id="rId157" Target="https://doi.org/10.1590/01047760201925022618" TargetMode="External" /><Relationship Type="http://schemas.openxmlformats.org/officeDocument/2006/relationships/hyperlink" Id="rId131" Target="https://doi.org/10.1590/1983-21252023v36n114rc" TargetMode="External" /><Relationship Type="http://schemas.openxmlformats.org/officeDocument/2006/relationships/hyperlink" Id="rId147" Target="https://doi.org/10.18637/jss.v018.i02" TargetMode="External" /><Relationship Type="http://schemas.openxmlformats.org/officeDocument/2006/relationships/hyperlink" Id="rId103" Target="https://doi.org/10.2136/sssaj1982.03615995004600050017x" TargetMode="External" /><Relationship Type="http://schemas.openxmlformats.org/officeDocument/2006/relationships/hyperlink" Id="rId115" Target="https://doi.org/10.2136/sssaj1997.03615995006100010001x" TargetMode="External" /><Relationship Type="http://schemas.openxmlformats.org/officeDocument/2006/relationships/hyperlink" Id="rId92" Target="https://doi.org/10.2136/sssaj2004.2150" TargetMode="External" /><Relationship Type="http://schemas.openxmlformats.org/officeDocument/2006/relationships/hyperlink" Id="rId86" Target="https://doi.org/10.2136/sssaspecpub35.c1" TargetMode="External" /><Relationship Type="http://schemas.openxmlformats.org/officeDocument/2006/relationships/hyperlink" Id="rId203" Target="https://doi.org/10.24278/2178-5031.201729104" TargetMode="External" /><Relationship Type="http://schemas.openxmlformats.org/officeDocument/2006/relationships/hyperlink" Id="rId133" Target="https://doi.org/10.3390/agronomy13010071" TargetMode="External" /><Relationship Type="http://schemas.openxmlformats.org/officeDocument/2006/relationships/hyperlink" Id="rId96" Target="https://doi.org/10.3390/soilsystems6020033" TargetMode="External" /><Relationship Type="http://schemas.openxmlformats.org/officeDocument/2006/relationships/hyperlink" Id="rId67" Target="https://doi.org/10.3390/su141811651" TargetMode="External" /><Relationship Type="http://schemas.openxmlformats.org/officeDocument/2006/relationships/hyperlink" Id="rId76" Target="https://doi.org/10.36783/18069657rbcs20220130" TargetMode="External" /><Relationship Type="http://schemas.openxmlformats.org/officeDocument/2006/relationships/hyperlink" Id="rId211" Target="https://doi.org/10.5194/bg-8-2907-2011" TargetMode="External" /><Relationship Type="http://schemas.openxmlformats.org/officeDocument/2006/relationships/hyperlink" Id="rId100" Target="https://doi.org/10.5194/soil-4-123-2018" TargetMode="External" /><Relationship Type="http://schemas.openxmlformats.org/officeDocument/2006/relationships/hyperlink" Id="rId205" Target="https://doi.org/10.5194/soil-4-83-2018" TargetMode="External" /><Relationship Type="http://schemas.openxmlformats.org/officeDocument/2006/relationships/hyperlink" Id="rId207" Target="https://doi.org/10.5194/soil-6-597-2020" TargetMode="External" /><Relationship Type="http://schemas.openxmlformats.org/officeDocument/2006/relationships/hyperlink" Id="rId55" Target="https://doi.org/10.5281/zenodo.18077256" TargetMode="External" /><Relationship Type="http://schemas.openxmlformats.org/officeDocument/2006/relationships/hyperlink" Id="rId111" Target="https://doi.org/10.5380/rf.v51i3.72868" TargetMode="External" /><Relationship Type="http://schemas.openxmlformats.org/officeDocument/2006/relationships/hyperlink" Id="rId137" Target="https://doi.org/10.54033/cadpedv21n7-128" TargetMode="External" /><Relationship Type="http://schemas.openxmlformats.org/officeDocument/2006/relationships/hyperlink" Id="rId169" Target="https://doi.org/10.5902/1980509826446" TargetMode="External" /><Relationship Type="http://schemas.openxmlformats.org/officeDocument/2006/relationships/hyperlink" Id="rId201" Target="https://doi.org/10.5902/1980509848402" TargetMode="External" /><Relationship Type="http://schemas.openxmlformats.org/officeDocument/2006/relationships/hyperlink" Id="rId171"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of Land-Use Change on Soil Nitrogen Stocks and Humic Fractions in Brazilian Cerrado Oxisols</dc:title>
  <dc:creator>Luiz Diego Vidal Santos</dc:creator>
  <dc:language>en-US</dc:language>
  <cp:keywords/>
  <dcterms:created xsi:type="dcterms:W3CDTF">2026-04-26T12:03:20Z</dcterms:created>
  <dcterms:modified xsi:type="dcterms:W3CDTF">2026-04-26T12:03:20Z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springer-basic-author-date.csl</vt:lpwstr>
  </property>
  <property fmtid="{D5CDD505-2E9C-101B-9397-08002B2CF9AE}" pid="4" name="date">
    <vt:lpwstr>April 26, 2026</vt:lpwstr>
  </property>
</Properties>
</file>