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80AFE" w14:textId="40B57F06" w:rsidR="00C51AC7" w:rsidRDefault="00F86F72" w:rsidP="00F86F7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Toc189268108"/>
      <w:r w:rsidRPr="00F86F72">
        <w:rPr>
          <w:rFonts w:ascii="Times New Roman" w:hAnsi="Times New Roman" w:cs="Times New Roman"/>
          <w:b/>
          <w:sz w:val="24"/>
          <w:szCs w:val="24"/>
        </w:rPr>
        <w:t>DINÂMICA DO FÓSFORO E NITROGÊNIO NO SOLO E NAS SUBSTANCIAS HUMICAS EM DIFERENTES USOS DO SOLO AVALIADA POR MODELAGEM PLS-SEM E INFERÊNCIA FUZZY NO SUL DO</w:t>
      </w:r>
      <w:r>
        <w:rPr>
          <w:rFonts w:ascii="Times New Roman" w:hAnsi="Times New Roman" w:cs="Times New Roman"/>
          <w:b/>
          <w:sz w:val="24"/>
          <w:szCs w:val="24"/>
        </w:rPr>
        <w:t xml:space="preserve"> TOCANTIS</w:t>
      </w:r>
    </w:p>
    <w:p w14:paraId="77B6D59F" w14:textId="77777777" w:rsidR="00F86F72" w:rsidRPr="00F86F72" w:rsidRDefault="00F86F72" w:rsidP="00F86F7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263508" w14:textId="224E10F7" w:rsidR="00A65BAE" w:rsidRPr="009A7148" w:rsidRDefault="009A7148" w:rsidP="006937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7148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A65BAE" w:rsidRPr="009A7148">
        <w:rPr>
          <w:rFonts w:ascii="Times New Roman" w:hAnsi="Times New Roman" w:cs="Times New Roman"/>
          <w:b/>
          <w:sz w:val="24"/>
          <w:szCs w:val="24"/>
        </w:rPr>
        <w:t xml:space="preserve">INTRODUÇÃO </w:t>
      </w:r>
    </w:p>
    <w:p w14:paraId="6AC5AC6F" w14:textId="39AAFCE9" w:rsidR="00A65BAE" w:rsidRPr="00A65BAE" w:rsidRDefault="00A65BAE" w:rsidP="00A65B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A65BAE">
        <w:rPr>
          <w:rFonts w:ascii="Times New Roman" w:hAnsi="Times New Roman" w:cs="Times New Roman"/>
          <w:bCs/>
        </w:rPr>
        <w:t>Os solos tropicais constituem sistemas biogeoquímicos altamente dinâmicos e complexos, nos quais a matéria orgânica desempenha papel central na regulação dos ciclos de carbono (C), nitrogênio (N) e fósforo (P), além de sustentar a fertilidade e a estabilidade estrutural dos ecossistemas (</w:t>
      </w:r>
      <w:proofErr w:type="spellStart"/>
      <w:r w:rsidRPr="00A65BAE">
        <w:rPr>
          <w:rFonts w:ascii="Times New Roman" w:hAnsi="Times New Roman" w:cs="Times New Roman"/>
          <w:bCs/>
        </w:rPr>
        <w:t>Lal</w:t>
      </w:r>
      <w:proofErr w:type="spellEnd"/>
      <w:r w:rsidRPr="00A65BAE">
        <w:rPr>
          <w:rFonts w:ascii="Times New Roman" w:hAnsi="Times New Roman" w:cs="Times New Roman"/>
          <w:bCs/>
        </w:rPr>
        <w:t>, 2020; Cotrufo et al., 2019). No entanto, o avanço das atividades agropecuárias e silviculturais em substituição à vegetação nativa tem modificado de forma profunda o equilíbrio desses processos, resultando em alterações nos estoques e nas formas químicas dos nutrientes do solo (</w:t>
      </w:r>
      <w:proofErr w:type="spellStart"/>
      <w:r w:rsidRPr="00A65BAE">
        <w:rPr>
          <w:rFonts w:ascii="Times New Roman" w:hAnsi="Times New Roman" w:cs="Times New Roman"/>
          <w:bCs/>
        </w:rPr>
        <w:t>Tivet</w:t>
      </w:r>
      <w:proofErr w:type="spellEnd"/>
      <w:r w:rsidRPr="00A65BAE">
        <w:rPr>
          <w:rFonts w:ascii="Times New Roman" w:hAnsi="Times New Roman" w:cs="Times New Roman"/>
          <w:bCs/>
        </w:rPr>
        <w:t xml:space="preserve"> et al., 2013; Wang et al., 2023). Tais mudanças são particularmente evidentes no bioma Cerrado, onde a expansão agrícola e a intensificação do uso da terra promovem a degradação da matéria orgânica do solo (MOS), a redução das frações húmicas estáveis e o comprometimento da funcionalidade edáfica (</w:t>
      </w:r>
      <w:proofErr w:type="spellStart"/>
      <w:r w:rsidRPr="00A65BAE">
        <w:rPr>
          <w:rFonts w:ascii="Times New Roman" w:hAnsi="Times New Roman" w:cs="Times New Roman"/>
          <w:bCs/>
        </w:rPr>
        <w:t>Strassburg</w:t>
      </w:r>
      <w:proofErr w:type="spellEnd"/>
      <w:r w:rsidRPr="00A65BAE">
        <w:rPr>
          <w:rFonts w:ascii="Times New Roman" w:hAnsi="Times New Roman" w:cs="Times New Roman"/>
          <w:bCs/>
        </w:rPr>
        <w:t xml:space="preserve"> et al., 2017; Sousa et al., 2021).</w:t>
      </w:r>
    </w:p>
    <w:p w14:paraId="74129382" w14:textId="39C5CD8D" w:rsidR="00A65BAE" w:rsidRPr="00A65BAE" w:rsidRDefault="00A65BAE" w:rsidP="00A65B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A65BAE">
        <w:rPr>
          <w:rFonts w:ascii="Times New Roman" w:hAnsi="Times New Roman" w:cs="Times New Roman"/>
          <w:bCs/>
        </w:rPr>
        <w:t xml:space="preserve">O Cerrado brasileiro, reconhecido como um dos principais </w:t>
      </w:r>
      <w:proofErr w:type="spellStart"/>
      <w:r w:rsidRPr="00A65BAE">
        <w:rPr>
          <w:rFonts w:ascii="Times New Roman" w:hAnsi="Times New Roman" w:cs="Times New Roman"/>
          <w:bCs/>
        </w:rPr>
        <w:t>hotspots</w:t>
      </w:r>
      <w:proofErr w:type="spellEnd"/>
      <w:r w:rsidRPr="00A65BAE">
        <w:rPr>
          <w:rFonts w:ascii="Times New Roman" w:hAnsi="Times New Roman" w:cs="Times New Roman"/>
          <w:bCs/>
        </w:rPr>
        <w:t xml:space="preserve"> de biodiversidade do planeta, abriga solos altamente intemperizados, naturalmente ácidos e pobres em fósforo</w:t>
      </w:r>
      <w:r w:rsidR="009B11BC">
        <w:rPr>
          <w:rFonts w:ascii="Times New Roman" w:hAnsi="Times New Roman" w:cs="Times New Roman"/>
          <w:bCs/>
        </w:rPr>
        <w:t xml:space="preserve"> e nitrogênio</w:t>
      </w:r>
      <w:r w:rsidRPr="00A65BAE">
        <w:rPr>
          <w:rFonts w:ascii="Times New Roman" w:hAnsi="Times New Roman" w:cs="Times New Roman"/>
          <w:bCs/>
        </w:rPr>
        <w:t xml:space="preserve"> disponível (Sano et al., 2020). Nessas condições, a sustentabilidade do sistema depende fortemente da manutenção das frações húmicas da MOS, que atuam como reservatórios de nutrientes e contribuem para a formação de agregados estáveis e a retenção de água (Paul, 2016; </w:t>
      </w:r>
      <w:proofErr w:type="spellStart"/>
      <w:r w:rsidRPr="00A65BAE">
        <w:rPr>
          <w:rFonts w:ascii="Times New Roman" w:hAnsi="Times New Roman" w:cs="Times New Roman"/>
          <w:bCs/>
        </w:rPr>
        <w:t>Lehmann</w:t>
      </w:r>
      <w:proofErr w:type="spellEnd"/>
      <w:r w:rsidRPr="00A65BAE">
        <w:rPr>
          <w:rFonts w:ascii="Times New Roman" w:hAnsi="Times New Roman" w:cs="Times New Roman"/>
          <w:bCs/>
        </w:rPr>
        <w:t xml:space="preserve"> &amp; Kleber, 2015). As substâncias húmicas compostas por ácidos húmicos (AH), ácidos fúlvicos (AF) e </w:t>
      </w:r>
      <w:proofErr w:type="spellStart"/>
      <w:r w:rsidRPr="00A65BAE">
        <w:rPr>
          <w:rFonts w:ascii="Times New Roman" w:hAnsi="Times New Roman" w:cs="Times New Roman"/>
          <w:bCs/>
        </w:rPr>
        <w:t>humina</w:t>
      </w:r>
      <w:proofErr w:type="spellEnd"/>
      <w:r w:rsidRPr="00A65BAE">
        <w:rPr>
          <w:rFonts w:ascii="Times New Roman" w:hAnsi="Times New Roman" w:cs="Times New Roman"/>
          <w:bCs/>
        </w:rPr>
        <w:t xml:space="preserve"> (Hum) exercem papel essencial na estabilização de N e P, seja por adsorção, complexação ou imobilização biogênica, promovendo a persistência desses elementos no solo (Stevenson, 1994; </w:t>
      </w:r>
      <w:proofErr w:type="spellStart"/>
      <w:r w:rsidRPr="00A65BAE">
        <w:rPr>
          <w:rFonts w:ascii="Times New Roman" w:hAnsi="Times New Roman" w:cs="Times New Roman"/>
          <w:bCs/>
        </w:rPr>
        <w:t>Helfenstein</w:t>
      </w:r>
      <w:proofErr w:type="spellEnd"/>
      <w:r w:rsidRPr="00A65BAE">
        <w:rPr>
          <w:rFonts w:ascii="Times New Roman" w:hAnsi="Times New Roman" w:cs="Times New Roman"/>
          <w:bCs/>
        </w:rPr>
        <w:t xml:space="preserve"> et al., 2020).</w:t>
      </w:r>
    </w:p>
    <w:p w14:paraId="4DA48F27" w14:textId="191CDF63" w:rsidR="00A65BAE" w:rsidRPr="00A65BAE" w:rsidRDefault="00A65BAE" w:rsidP="00A65B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A65BAE">
        <w:rPr>
          <w:rFonts w:ascii="Times New Roman" w:hAnsi="Times New Roman" w:cs="Times New Roman"/>
          <w:bCs/>
        </w:rPr>
        <w:t xml:space="preserve">A conversão de áreas nativas em sistemas agrícolas e pastagens altera o aporte e a qualidade dos resíduos orgânicos, acelerando a decomposição e reduzindo a formação de compostos húmicos recalcitrantes. Consequentemente, há diminuição dos estoques totais de N e P e do potencial de acúmulo nas frações húmicas (Silva et al., 2022). Essa perda funcional compromete a resiliência do solo, aumentando a vulnerabilidade à erosão, à compactação e à degradação química, com reflexos diretos na produtividade agrícola e na ciclagem de nutrientes em longo prazo (Six et al., 2002; </w:t>
      </w:r>
      <w:proofErr w:type="spellStart"/>
      <w:r w:rsidRPr="00A65BAE">
        <w:rPr>
          <w:rFonts w:ascii="Times New Roman" w:hAnsi="Times New Roman" w:cs="Times New Roman"/>
          <w:bCs/>
        </w:rPr>
        <w:t>Lal</w:t>
      </w:r>
      <w:proofErr w:type="spellEnd"/>
      <w:r w:rsidRPr="00A65BAE">
        <w:rPr>
          <w:rFonts w:ascii="Times New Roman" w:hAnsi="Times New Roman" w:cs="Times New Roman"/>
          <w:bCs/>
        </w:rPr>
        <w:t>, 2020).</w:t>
      </w:r>
    </w:p>
    <w:p w14:paraId="5EC58FF8" w14:textId="5664FD1C" w:rsidR="00A65BAE" w:rsidRPr="00A65BAE" w:rsidRDefault="00A65BAE" w:rsidP="00A65B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A65BAE">
        <w:rPr>
          <w:rFonts w:ascii="Times New Roman" w:hAnsi="Times New Roman" w:cs="Times New Roman"/>
          <w:bCs/>
        </w:rPr>
        <w:t xml:space="preserve">Nos últimos anos, tem-se intensificado o interesse científico em compreender o acoplamento biogeoquímico entre N e </w:t>
      </w:r>
      <w:proofErr w:type="gramStart"/>
      <w:r w:rsidRPr="00A65BAE">
        <w:rPr>
          <w:rFonts w:ascii="Times New Roman" w:hAnsi="Times New Roman" w:cs="Times New Roman"/>
          <w:bCs/>
        </w:rPr>
        <w:t>P</w:t>
      </w:r>
      <w:proofErr w:type="gramEnd"/>
      <w:r w:rsidRPr="00A65BAE">
        <w:rPr>
          <w:rFonts w:ascii="Times New Roman" w:hAnsi="Times New Roman" w:cs="Times New Roman"/>
          <w:bCs/>
        </w:rPr>
        <w:t xml:space="preserve"> isto é, como suas formas lábeis e húmicas interagem e se co-estabilizam na MOS. Evidências crescentes indicam que esses nutrientes não atuam isoladamente, mas são co-regulados por processos de decomposição, humificação e proteção físico-química em complexos </w:t>
      </w:r>
      <w:proofErr w:type="spellStart"/>
      <w:r w:rsidRPr="00A65BAE">
        <w:rPr>
          <w:rFonts w:ascii="Times New Roman" w:hAnsi="Times New Roman" w:cs="Times New Roman"/>
          <w:bCs/>
        </w:rPr>
        <w:t>organo</w:t>
      </w:r>
      <w:proofErr w:type="spellEnd"/>
      <w:r w:rsidRPr="00A65BAE">
        <w:rPr>
          <w:rFonts w:ascii="Times New Roman" w:hAnsi="Times New Roman" w:cs="Times New Roman"/>
          <w:bCs/>
        </w:rPr>
        <w:t>-minerais (</w:t>
      </w:r>
      <w:proofErr w:type="spellStart"/>
      <w:r w:rsidRPr="00A65BAE">
        <w:rPr>
          <w:rFonts w:ascii="Times New Roman" w:hAnsi="Times New Roman" w:cs="Times New Roman"/>
          <w:bCs/>
        </w:rPr>
        <w:t>Helfenstein</w:t>
      </w:r>
      <w:proofErr w:type="spellEnd"/>
      <w:r w:rsidRPr="00A65BAE">
        <w:rPr>
          <w:rFonts w:ascii="Times New Roman" w:hAnsi="Times New Roman" w:cs="Times New Roman"/>
          <w:bCs/>
        </w:rPr>
        <w:t xml:space="preserve"> et al., 2020; Chen et al., 2018). </w:t>
      </w:r>
      <w:r w:rsidRPr="00A65BAE">
        <w:rPr>
          <w:rFonts w:ascii="Times New Roman" w:hAnsi="Times New Roman" w:cs="Times New Roman"/>
          <w:bCs/>
        </w:rPr>
        <w:lastRenderedPageBreak/>
        <w:t>Apesar disso, a maioria dos estudos ainda analisa N e P de forma independente, negligenciando as relações estruturais entre seus compartimentos e as implicações para a sustentabilidade edáfica. Essa lacuna é especialmente relevante em ecossistemas tropicais, onde a variabilidade textural e climática amplia a complexidade das interações entre nutrientes e frações do solo (Wang et al., 2023).</w:t>
      </w:r>
    </w:p>
    <w:p w14:paraId="629425E9" w14:textId="74D6904E" w:rsidR="00A65BAE" w:rsidRPr="00A65BAE" w:rsidRDefault="00A65BAE" w:rsidP="00A65B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A65BAE">
        <w:rPr>
          <w:rFonts w:ascii="Times New Roman" w:hAnsi="Times New Roman" w:cs="Times New Roman"/>
          <w:bCs/>
        </w:rPr>
        <w:t>Modelos analíticos avançados, como a modelagem por equações estruturais baseada em mínimos quadrados parciais (PLS-SEM), oferecem novas oportunidades para desvendar as relações causais entre compartimentos edáficos. Essa abordagem permite avaliar o peso relativo das frações húmicas e lábeis na explicação dos estoques totais de N e P, considerando interdependências não lineares e variáveis latentes (</w:t>
      </w:r>
      <w:proofErr w:type="spellStart"/>
      <w:r w:rsidRPr="00A65BAE">
        <w:rPr>
          <w:rFonts w:ascii="Times New Roman" w:hAnsi="Times New Roman" w:cs="Times New Roman"/>
          <w:bCs/>
        </w:rPr>
        <w:t>Hair</w:t>
      </w:r>
      <w:proofErr w:type="spellEnd"/>
      <w:r w:rsidRPr="00A65BAE">
        <w:rPr>
          <w:rFonts w:ascii="Times New Roman" w:hAnsi="Times New Roman" w:cs="Times New Roman"/>
          <w:bCs/>
        </w:rPr>
        <w:t xml:space="preserve"> et al., 2021). Em paralelo, métodos de inteligência computacional, como os sistemas de inferência fuzzy, possibilitam sintetizar múltiplos indicadores químicos e físicos do solo em um único índice de desempenho funcional, integrando informações quantitativas e qualitativas em escalas contínuas (Mamdani, 1977; Lima et al., 2023).</w:t>
      </w:r>
    </w:p>
    <w:p w14:paraId="7513B21E" w14:textId="7FB49449" w:rsidR="00A65BAE" w:rsidRPr="00A65BAE" w:rsidRDefault="00A65BAE" w:rsidP="00A65B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A65BAE">
        <w:rPr>
          <w:rFonts w:ascii="Times New Roman" w:hAnsi="Times New Roman" w:cs="Times New Roman"/>
          <w:bCs/>
        </w:rPr>
        <w:t>Nesse sentido, a combinação dessas duas abordagens modelagem estrutural e inferência fuzzy representa uma fronteira promissora para o diagnóstico e o monitoramento da qualidade do solo. Enquanto a modelagem PLS-SEM explicita os mecanismos de contribuição das frações húmicas e lábeis para os estoques de nutrientes, o sistema fuzzy permite traduzir os resultados em um Índice Fuzzy de Sustentabilidade Edáfica (FESI), incorporando atributos físicos como a densidade aparente, que expressa a integridade estrutural e a limitação à atividade biológica do solo (Mendonça et al., 2024). Essa integração metodológica fornece uma visão abrangente da funcionalidade edáfica, considerando simultaneamente a disponibilidade química de nutrientes e as restrições físicas impostas pelo uso e manejo da terra.</w:t>
      </w:r>
    </w:p>
    <w:p w14:paraId="4E6E78E2" w14:textId="018B1874" w:rsidR="00A65BAE" w:rsidRPr="00A65BAE" w:rsidRDefault="00A65BAE" w:rsidP="00A65B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A65BAE">
        <w:rPr>
          <w:rFonts w:ascii="Times New Roman" w:hAnsi="Times New Roman" w:cs="Times New Roman"/>
          <w:bCs/>
        </w:rPr>
        <w:t>A compreensão integrada da dinâmica funcional de N e P em diferentes usos da terra é, portanto, fundamental para orientar estratégias de manejo conservacionista e restauração ecológica em ambientes tropicais. A estabilidade da MOS, mais do que a simples quantidade de matéria orgânica acumulada, depende da proporção entre frações lábeis de rápida renovação e húmicas de longa persistência, as quais determinam o equilíbrio entre disponibilidade imediata e armazenamento de longo prazo de nutrientes (Cotrufo et al., 2019). Assim, avaliar como as pressões antrópicas alteram essa relação é essencial para estimar a capacidade do solo de sustentar funções ecológicas críticas e resistir à degradação.</w:t>
      </w:r>
    </w:p>
    <w:p w14:paraId="17652E2E" w14:textId="568E113F" w:rsidR="00A65BAE" w:rsidRPr="00A65BAE" w:rsidRDefault="00A65BAE" w:rsidP="00A65B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A65BAE">
        <w:rPr>
          <w:rFonts w:ascii="Times New Roman" w:hAnsi="Times New Roman" w:cs="Times New Roman"/>
          <w:bCs/>
        </w:rPr>
        <w:t xml:space="preserve">Com base nesse contexto, formula-se a hipótese de que as frações húmicas e lábeis de nitrogênio e fósforo exercem contribuições distintas, porém complementares, para os estoques totais desses nutrientes no solo, e que a degradação física, expressa pela densidade aparente, atua como fator limitante da funcionalidade edáfica. Espera-se que sistemas sob vegetação nativa apresentem maior </w:t>
      </w:r>
      <w:proofErr w:type="spellStart"/>
      <w:r w:rsidRPr="00A65BAE">
        <w:rPr>
          <w:rFonts w:ascii="Times New Roman" w:hAnsi="Times New Roman" w:cs="Times New Roman"/>
          <w:bCs/>
        </w:rPr>
        <w:t>co-estabilização</w:t>
      </w:r>
      <w:proofErr w:type="spellEnd"/>
      <w:r w:rsidRPr="00A65BAE">
        <w:rPr>
          <w:rFonts w:ascii="Times New Roman" w:hAnsi="Times New Roman" w:cs="Times New Roman"/>
          <w:bCs/>
        </w:rPr>
        <w:t xml:space="preserve"> de N e P em frações húmicas estáveis, enquanto usos agrícolas </w:t>
      </w:r>
      <w:r w:rsidRPr="00A65BAE">
        <w:rPr>
          <w:rFonts w:ascii="Times New Roman" w:hAnsi="Times New Roman" w:cs="Times New Roman"/>
          <w:bCs/>
        </w:rPr>
        <w:lastRenderedPageBreak/>
        <w:t>e pastoris revelem predominância de formas lábeis e menor sinergia entre os ciclos biogeoquímicos desses elementos.</w:t>
      </w:r>
    </w:p>
    <w:p w14:paraId="0379F266" w14:textId="466A1091" w:rsidR="009B11BC" w:rsidRDefault="00A65BAE" w:rsidP="009B11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A65BAE">
        <w:rPr>
          <w:rFonts w:ascii="Times New Roman" w:hAnsi="Times New Roman" w:cs="Times New Roman"/>
          <w:bCs/>
        </w:rPr>
        <w:t>Diante dessas premissas, o objetivo deste estudo foi avaliar a dinâmica funcional de nitrogênio e fósforo nas frações húmicas e lábeis do solo sob diferentes usos da terra, integrando suas relações com a densidade aparente por meio de modelagem estrutural (PLS-SEM) e de um Índice Fuzzy de Sustentabilidade Edáfica (FESI).</w:t>
      </w:r>
    </w:p>
    <w:p w14:paraId="6E0A565A" w14:textId="77777777" w:rsidR="009A7148" w:rsidRPr="009B11BC" w:rsidRDefault="009A7148" w:rsidP="009B11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4827EE50" w14:textId="3FB1ABD1" w:rsidR="00A65BAE" w:rsidRPr="009A7148" w:rsidRDefault="009A7148" w:rsidP="009A71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7148">
        <w:rPr>
          <w:rFonts w:ascii="Times New Roman" w:hAnsi="Times New Roman" w:cs="Times New Roman"/>
          <w:b/>
          <w:bCs/>
          <w:sz w:val="24"/>
          <w:szCs w:val="24"/>
        </w:rPr>
        <w:t>2. MATERIAL E METODOS</w:t>
      </w:r>
    </w:p>
    <w:p w14:paraId="19D03F0B" w14:textId="763C7F63" w:rsidR="006937DF" w:rsidRPr="009A7148" w:rsidRDefault="00880623" w:rsidP="006937D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2.1 </w:t>
      </w:r>
      <w:r w:rsidR="006937DF" w:rsidRPr="009A7148">
        <w:rPr>
          <w:rFonts w:ascii="Times New Roman" w:hAnsi="Times New Roman" w:cs="Times New Roman"/>
          <w:b/>
          <w:sz w:val="24"/>
          <w:szCs w:val="24"/>
        </w:rPr>
        <w:t>Área de estudo</w:t>
      </w:r>
      <w:bookmarkEnd w:id="0"/>
    </w:p>
    <w:p w14:paraId="650F3CC5" w14:textId="77777777" w:rsidR="006937DF" w:rsidRPr="009A7148" w:rsidRDefault="006937DF" w:rsidP="009A71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148">
        <w:rPr>
          <w:rFonts w:ascii="Times New Roman" w:hAnsi="Times New Roman" w:cs="Times New Roman"/>
          <w:sz w:val="24"/>
          <w:szCs w:val="24"/>
        </w:rPr>
        <w:t>A área de estudo está localizada na fazenda experimental da Universidade Federal do Tocantins, município de Gurupi – TO, nas coordenadas geográficas centrais 11º 46’ 25” S e 49º 02’ 54” W (Figura 1).</w:t>
      </w:r>
    </w:p>
    <w:p w14:paraId="6788D49F" w14:textId="77777777" w:rsidR="009A7148" w:rsidRDefault="009A7148" w:rsidP="006937D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" w:name="_Toc189267993"/>
    </w:p>
    <w:p w14:paraId="149B3F1D" w14:textId="3C1AB46F" w:rsidR="006937DF" w:rsidRPr="009A7148" w:rsidRDefault="006937DF" w:rsidP="006937D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7148">
        <w:rPr>
          <w:rFonts w:ascii="Times New Roman" w:hAnsi="Times New Roman" w:cs="Times New Roman"/>
          <w:bCs/>
          <w:sz w:val="24"/>
          <w:szCs w:val="24"/>
        </w:rPr>
        <w:t xml:space="preserve">Figura </w:t>
      </w:r>
      <w:r w:rsidRPr="009A7148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Pr="009A7148">
        <w:rPr>
          <w:rFonts w:ascii="Times New Roman" w:hAnsi="Times New Roman" w:cs="Times New Roman"/>
          <w:bCs/>
          <w:sz w:val="24"/>
          <w:szCs w:val="24"/>
        </w:rPr>
        <w:instrText xml:space="preserve"> SEQ Figura \* ARABIC </w:instrText>
      </w:r>
      <w:r w:rsidRPr="009A7148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Pr="009A7148">
        <w:rPr>
          <w:rFonts w:ascii="Times New Roman" w:hAnsi="Times New Roman" w:cs="Times New Roman"/>
          <w:bCs/>
          <w:sz w:val="24"/>
          <w:szCs w:val="24"/>
        </w:rPr>
        <w:t>1</w:t>
      </w:r>
      <w:r w:rsidRPr="009A7148">
        <w:rPr>
          <w:rFonts w:ascii="Times New Roman" w:hAnsi="Times New Roman" w:cs="Times New Roman"/>
          <w:sz w:val="24"/>
          <w:szCs w:val="24"/>
        </w:rPr>
        <w:fldChar w:fldCharType="end"/>
      </w:r>
      <w:r w:rsidRPr="009A7148">
        <w:rPr>
          <w:rFonts w:ascii="Times New Roman" w:hAnsi="Times New Roman" w:cs="Times New Roman"/>
          <w:bCs/>
          <w:sz w:val="24"/>
          <w:szCs w:val="24"/>
        </w:rPr>
        <w:t xml:space="preserve"> – Localização das áreas experimentais</w:t>
      </w:r>
      <w:bookmarkEnd w:id="1"/>
    </w:p>
    <w:p w14:paraId="22D10471" w14:textId="77777777" w:rsidR="006937DF" w:rsidRPr="006937DF" w:rsidRDefault="006937DF" w:rsidP="006937DF">
      <w:pPr>
        <w:jc w:val="center"/>
      </w:pPr>
      <w:r w:rsidRPr="006937DF">
        <w:rPr>
          <w:noProof/>
        </w:rPr>
        <w:drawing>
          <wp:inline distT="0" distB="0" distL="0" distR="0" wp14:anchorId="00A71634" wp14:editId="0A386F48">
            <wp:extent cx="4550984" cy="3149600"/>
            <wp:effectExtent l="0" t="0" r="2540" b="0"/>
            <wp:docPr id="2" name="Imagem 2" descr="Diagrama, 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, 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166" cy="315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432C6" w14:textId="77777777" w:rsidR="006937DF" w:rsidRPr="009A7148" w:rsidRDefault="006937DF" w:rsidP="006937DF">
      <w:pPr>
        <w:jc w:val="center"/>
        <w:rPr>
          <w:rFonts w:ascii="Times New Roman" w:hAnsi="Times New Roman" w:cs="Times New Roman"/>
        </w:rPr>
      </w:pPr>
      <w:r w:rsidRPr="009A7148">
        <w:rPr>
          <w:rFonts w:ascii="Times New Roman" w:hAnsi="Times New Roman" w:cs="Times New Roman"/>
        </w:rPr>
        <w:t>Fonte: Marinho Júnior (2021)</w:t>
      </w:r>
    </w:p>
    <w:p w14:paraId="534A2D04" w14:textId="77777777" w:rsidR="009026BA" w:rsidRPr="009A7148" w:rsidRDefault="009026BA" w:rsidP="009A7148">
      <w:pPr>
        <w:tabs>
          <w:tab w:val="num" w:pos="434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189268109"/>
      <w:r w:rsidRPr="009A7148">
        <w:rPr>
          <w:rFonts w:ascii="Times New Roman" w:hAnsi="Times New Roman" w:cs="Times New Roman"/>
          <w:sz w:val="24"/>
          <w:szCs w:val="24"/>
        </w:rPr>
        <w:t xml:space="preserve">Conforme a classificação climática proposta por </w:t>
      </w:r>
      <w:proofErr w:type="spellStart"/>
      <w:r w:rsidRPr="009A7148">
        <w:rPr>
          <w:rFonts w:ascii="Times New Roman" w:hAnsi="Times New Roman" w:cs="Times New Roman"/>
          <w:sz w:val="24"/>
          <w:szCs w:val="24"/>
        </w:rPr>
        <w:t>Thornthwaite</w:t>
      </w:r>
      <w:proofErr w:type="spellEnd"/>
      <w:r w:rsidRPr="009A714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A7148">
        <w:rPr>
          <w:rFonts w:ascii="Times New Roman" w:hAnsi="Times New Roman" w:cs="Times New Roman"/>
          <w:sz w:val="24"/>
          <w:szCs w:val="24"/>
        </w:rPr>
        <w:t>Mather</w:t>
      </w:r>
      <w:proofErr w:type="spellEnd"/>
      <w:r w:rsidRPr="009A7148">
        <w:rPr>
          <w:rFonts w:ascii="Times New Roman" w:hAnsi="Times New Roman" w:cs="Times New Roman"/>
          <w:sz w:val="24"/>
          <w:szCs w:val="24"/>
        </w:rPr>
        <w:t>, a região de estudo enquadra-se na categoria úmido subúmido (C2wA'a'), caracterizada por um déficit hídrico moderado no período invernal. Dados meteorológicos disponibilizados pela SEPLAN (2017) indicam temperaturas médias anuais variando entre 25 °C e 29 °C, com precipitação média anual em torno de 1580 mm.</w:t>
      </w:r>
    </w:p>
    <w:p w14:paraId="5FADD236" w14:textId="7DDC3886" w:rsidR="009026BA" w:rsidRDefault="009026BA" w:rsidP="009A7148">
      <w:pPr>
        <w:tabs>
          <w:tab w:val="num" w:pos="434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148">
        <w:rPr>
          <w:rFonts w:ascii="Times New Roman" w:hAnsi="Times New Roman" w:cs="Times New Roman"/>
          <w:sz w:val="24"/>
          <w:szCs w:val="24"/>
        </w:rPr>
        <w:lastRenderedPageBreak/>
        <w:t xml:space="preserve">O solo predominante na área foi classificado como </w:t>
      </w:r>
      <w:proofErr w:type="spellStart"/>
      <w:r w:rsidRPr="009A7148">
        <w:rPr>
          <w:rFonts w:ascii="Times New Roman" w:hAnsi="Times New Roman" w:cs="Times New Roman"/>
          <w:sz w:val="24"/>
          <w:szCs w:val="24"/>
        </w:rPr>
        <w:t>Plintossolo</w:t>
      </w:r>
      <w:proofErr w:type="spellEnd"/>
      <w:r w:rsidRPr="009A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148">
        <w:rPr>
          <w:rFonts w:ascii="Times New Roman" w:hAnsi="Times New Roman" w:cs="Times New Roman"/>
          <w:sz w:val="24"/>
          <w:szCs w:val="24"/>
        </w:rPr>
        <w:t>Pétrico</w:t>
      </w:r>
      <w:proofErr w:type="spellEnd"/>
      <w:r w:rsidRPr="009A7148">
        <w:rPr>
          <w:rFonts w:ascii="Times New Roman" w:hAnsi="Times New Roman" w:cs="Times New Roman"/>
          <w:sz w:val="24"/>
          <w:szCs w:val="24"/>
        </w:rPr>
        <w:t xml:space="preserve">, o qual apresenta, como horizonte diagnóstico, um horizonte B </w:t>
      </w:r>
      <w:proofErr w:type="spellStart"/>
      <w:r w:rsidRPr="009A7148">
        <w:rPr>
          <w:rFonts w:ascii="Times New Roman" w:hAnsi="Times New Roman" w:cs="Times New Roman"/>
          <w:sz w:val="24"/>
          <w:szCs w:val="24"/>
        </w:rPr>
        <w:t>plíntico</w:t>
      </w:r>
      <w:proofErr w:type="spellEnd"/>
      <w:r w:rsidRPr="009A7148">
        <w:rPr>
          <w:rFonts w:ascii="Times New Roman" w:hAnsi="Times New Roman" w:cs="Times New Roman"/>
          <w:sz w:val="24"/>
          <w:szCs w:val="24"/>
        </w:rPr>
        <w:t xml:space="preserve">. Esse tipo pedológico é comum em ambientes com lençol freático superficial ou em locais sujeitos a restrições de drenagem. A combinação entre altas temperaturas, regime hídrico favorável, relevo plano a suavemente ondulado e a presença de </w:t>
      </w:r>
      <w:proofErr w:type="spellStart"/>
      <w:r w:rsidRPr="009A7148">
        <w:rPr>
          <w:rFonts w:ascii="Times New Roman" w:hAnsi="Times New Roman" w:cs="Times New Roman"/>
          <w:sz w:val="24"/>
          <w:szCs w:val="24"/>
        </w:rPr>
        <w:t>microdepressões</w:t>
      </w:r>
      <w:proofErr w:type="spellEnd"/>
      <w:r w:rsidRPr="009A7148">
        <w:rPr>
          <w:rFonts w:ascii="Times New Roman" w:hAnsi="Times New Roman" w:cs="Times New Roman"/>
          <w:sz w:val="24"/>
          <w:szCs w:val="24"/>
        </w:rPr>
        <w:t xml:space="preserve"> naturais favorece a saturação hídrica periódica do solo, condição essencial para a gênese e expressão do horizonte </w:t>
      </w:r>
      <w:proofErr w:type="spellStart"/>
      <w:r w:rsidRPr="009A7148">
        <w:rPr>
          <w:rFonts w:ascii="Times New Roman" w:hAnsi="Times New Roman" w:cs="Times New Roman"/>
          <w:sz w:val="24"/>
          <w:szCs w:val="24"/>
        </w:rPr>
        <w:t>plíntico</w:t>
      </w:r>
      <w:proofErr w:type="spellEnd"/>
      <w:r w:rsidRPr="009A7148">
        <w:rPr>
          <w:rFonts w:ascii="Times New Roman" w:hAnsi="Times New Roman" w:cs="Times New Roman"/>
          <w:sz w:val="24"/>
          <w:szCs w:val="24"/>
        </w:rPr>
        <w:t xml:space="preserve"> (Santos et al., 2018).</w:t>
      </w:r>
      <w:r w:rsidR="00422C36">
        <w:rPr>
          <w:rFonts w:ascii="Times New Roman" w:hAnsi="Times New Roman" w:cs="Times New Roman"/>
          <w:sz w:val="24"/>
          <w:szCs w:val="24"/>
        </w:rPr>
        <w:t xml:space="preserve"> </w:t>
      </w:r>
      <w:r w:rsidR="00422C36" w:rsidRPr="00422C36">
        <w:rPr>
          <w:rFonts w:ascii="Times New Roman" w:hAnsi="Times New Roman" w:cs="Times New Roman"/>
          <w:sz w:val="24"/>
          <w:szCs w:val="24"/>
        </w:rPr>
        <w:t xml:space="preserve">Foram avaliadas quatro áreas com diferentes usos do solo: Cerrado </w:t>
      </w:r>
      <w:r w:rsidR="00422C36" w:rsidRPr="00422C36">
        <w:rPr>
          <w:rFonts w:ascii="Times New Roman" w:hAnsi="Times New Roman" w:cs="Times New Roman"/>
          <w:i/>
          <w:iCs/>
          <w:sz w:val="24"/>
          <w:szCs w:val="24"/>
        </w:rPr>
        <w:t>sensu stricto</w:t>
      </w:r>
      <w:r w:rsidR="00422C36" w:rsidRPr="00422C36">
        <w:rPr>
          <w:rFonts w:ascii="Times New Roman" w:hAnsi="Times New Roman" w:cs="Times New Roman"/>
          <w:sz w:val="24"/>
          <w:szCs w:val="24"/>
        </w:rPr>
        <w:t xml:space="preserve">, </w:t>
      </w:r>
      <w:r w:rsidR="00422C36" w:rsidRPr="00422C36">
        <w:rPr>
          <w:rFonts w:ascii="Times New Roman" w:hAnsi="Times New Roman" w:cs="Times New Roman"/>
          <w:i/>
          <w:iCs/>
          <w:sz w:val="24"/>
          <w:szCs w:val="24"/>
        </w:rPr>
        <w:t>Eucalyptus spp</w:t>
      </w:r>
      <w:r w:rsidR="00422C36" w:rsidRPr="00422C36">
        <w:rPr>
          <w:rFonts w:ascii="Times New Roman" w:hAnsi="Times New Roman" w:cs="Times New Roman"/>
          <w:sz w:val="24"/>
          <w:szCs w:val="24"/>
        </w:rPr>
        <w:t>., pastagem e agricultura.</w:t>
      </w:r>
    </w:p>
    <w:p w14:paraId="6763FFED" w14:textId="77777777" w:rsidR="009C09F4" w:rsidRPr="009A7148" w:rsidRDefault="009C09F4" w:rsidP="009A7148">
      <w:pPr>
        <w:tabs>
          <w:tab w:val="num" w:pos="434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983987" w14:textId="5228E42D" w:rsidR="006937DF" w:rsidRPr="009A7148" w:rsidRDefault="00880623" w:rsidP="009C09F4">
      <w:pPr>
        <w:tabs>
          <w:tab w:val="num" w:pos="4341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="006937DF" w:rsidRPr="009A7148">
        <w:rPr>
          <w:rFonts w:ascii="Times New Roman" w:hAnsi="Times New Roman" w:cs="Times New Roman"/>
          <w:b/>
          <w:bCs/>
          <w:sz w:val="24"/>
          <w:szCs w:val="24"/>
        </w:rPr>
        <w:t xml:space="preserve">Características da área de vegetação nativa (Cerrado </w:t>
      </w:r>
      <w:r w:rsidR="006937DF" w:rsidRPr="009A7148">
        <w:rPr>
          <w:rFonts w:ascii="Times New Roman" w:hAnsi="Times New Roman" w:cs="Times New Roman"/>
          <w:b/>
          <w:bCs/>
          <w:i/>
          <w:sz w:val="24"/>
          <w:szCs w:val="24"/>
        </w:rPr>
        <w:t>sensu stricto</w:t>
      </w:r>
      <w:r w:rsidR="006937DF" w:rsidRPr="009A7148"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2"/>
    </w:p>
    <w:p w14:paraId="4CE13223" w14:textId="1DD04410" w:rsidR="001B64EB" w:rsidRPr="009C09F4" w:rsidRDefault="001B64EB" w:rsidP="009C0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189267994"/>
      <w:r w:rsidRPr="009A7148">
        <w:rPr>
          <w:rFonts w:ascii="Times New Roman" w:hAnsi="Times New Roman" w:cs="Times New Roman"/>
          <w:sz w:val="24"/>
          <w:szCs w:val="24"/>
        </w:rPr>
        <w:t>A área de vegetação nativa corresponde a um fragmento típico de Cerrado sensu stricto, com extensão aproximada de 22,82 hectares. De acordo com Marinho Júnior (2021), trata-se de uma formação com mais de cinco décadas de regeneração natural. Sua localização centraliza-se nas coordenadas geográficas 11º46’13” S e 49º03’25” W (ver Figura 2).</w:t>
      </w:r>
    </w:p>
    <w:p w14:paraId="0E1BA675" w14:textId="77777777" w:rsidR="001B64EB" w:rsidRDefault="001B64EB" w:rsidP="006937DF">
      <w:pPr>
        <w:jc w:val="both"/>
        <w:rPr>
          <w:bCs/>
        </w:rPr>
      </w:pPr>
    </w:p>
    <w:p w14:paraId="261163E1" w14:textId="764D49F8" w:rsidR="006937DF" w:rsidRPr="009C09F4" w:rsidRDefault="006937DF" w:rsidP="006937D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C09F4">
        <w:rPr>
          <w:rFonts w:ascii="Times New Roman" w:hAnsi="Times New Roman" w:cs="Times New Roman"/>
          <w:bCs/>
          <w:sz w:val="24"/>
          <w:szCs w:val="24"/>
        </w:rPr>
        <w:t xml:space="preserve">Figura </w:t>
      </w:r>
      <w:r w:rsidRPr="009C09F4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Pr="009C09F4">
        <w:rPr>
          <w:rFonts w:ascii="Times New Roman" w:hAnsi="Times New Roman" w:cs="Times New Roman"/>
          <w:bCs/>
          <w:sz w:val="24"/>
          <w:szCs w:val="24"/>
        </w:rPr>
        <w:instrText xml:space="preserve"> SEQ Figura \* ARABIC </w:instrText>
      </w:r>
      <w:r w:rsidRPr="009C09F4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Pr="009C09F4">
        <w:rPr>
          <w:rFonts w:ascii="Times New Roman" w:hAnsi="Times New Roman" w:cs="Times New Roman"/>
          <w:bCs/>
          <w:sz w:val="24"/>
          <w:szCs w:val="24"/>
        </w:rPr>
        <w:t>2</w:t>
      </w:r>
      <w:r w:rsidRPr="009C09F4">
        <w:rPr>
          <w:rFonts w:ascii="Times New Roman" w:hAnsi="Times New Roman" w:cs="Times New Roman"/>
          <w:sz w:val="24"/>
          <w:szCs w:val="24"/>
        </w:rPr>
        <w:fldChar w:fldCharType="end"/>
      </w:r>
      <w:r w:rsidRPr="009C09F4">
        <w:rPr>
          <w:rFonts w:ascii="Times New Roman" w:hAnsi="Times New Roman" w:cs="Times New Roman"/>
          <w:bCs/>
          <w:sz w:val="24"/>
          <w:szCs w:val="24"/>
        </w:rPr>
        <w:t xml:space="preserve"> – Área ocupada com Cerrado </w:t>
      </w:r>
      <w:r w:rsidRPr="009C09F4">
        <w:rPr>
          <w:rFonts w:ascii="Times New Roman" w:hAnsi="Times New Roman" w:cs="Times New Roman"/>
          <w:bCs/>
          <w:i/>
          <w:sz w:val="24"/>
          <w:szCs w:val="24"/>
        </w:rPr>
        <w:t>sensu stricto</w:t>
      </w:r>
      <w:bookmarkEnd w:id="3"/>
    </w:p>
    <w:p w14:paraId="04316E95" w14:textId="1C88F021" w:rsidR="006937DF" w:rsidRDefault="006937DF" w:rsidP="00C920F2">
      <w:pPr>
        <w:jc w:val="center"/>
      </w:pPr>
      <w:r w:rsidRPr="006937DF">
        <w:rPr>
          <w:noProof/>
        </w:rPr>
        <w:drawing>
          <wp:inline distT="0" distB="0" distL="0" distR="0" wp14:anchorId="44B1D3B1" wp14:editId="7FD8BCB8">
            <wp:extent cx="4191000" cy="2357437"/>
            <wp:effectExtent l="0" t="0" r="0" b="5080"/>
            <wp:docPr id="3" name="Imagem 3" descr="Planta e árvore na flores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Planta e árvore na flores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066" cy="2359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55093" w14:textId="63272ACD" w:rsidR="009C09F4" w:rsidRPr="009C09F4" w:rsidRDefault="009C09F4" w:rsidP="009C09F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09F4">
        <w:rPr>
          <w:rFonts w:ascii="Times New Roman" w:hAnsi="Times New Roman" w:cs="Times New Roman"/>
          <w:sz w:val="24"/>
          <w:szCs w:val="24"/>
        </w:rPr>
        <w:t xml:space="preserve">Fonte: </w:t>
      </w:r>
      <w:r w:rsidRPr="009C09F4">
        <w:rPr>
          <w:rFonts w:ascii="Times New Roman" w:hAnsi="Times New Roman" w:cs="Times New Roman"/>
          <w:sz w:val="24"/>
          <w:szCs w:val="24"/>
        </w:rPr>
        <w:t>(2024)</w:t>
      </w:r>
    </w:p>
    <w:p w14:paraId="03888505" w14:textId="77777777" w:rsidR="006937DF" w:rsidRPr="006937DF" w:rsidRDefault="006937DF" w:rsidP="006937DF">
      <w:pPr>
        <w:jc w:val="both"/>
      </w:pPr>
      <w:r w:rsidRPr="009C09F4">
        <w:rPr>
          <w:rFonts w:ascii="Times New Roman" w:hAnsi="Times New Roman" w:cs="Times New Roman"/>
          <w:sz w:val="24"/>
          <w:szCs w:val="24"/>
        </w:rPr>
        <w:t xml:space="preserve">A Tabela 1 apresenta as espécies florestais existentes na área e seus respectivos parâmetros de dominância absoluta (Bendito </w:t>
      </w:r>
      <w:r w:rsidRPr="009C09F4">
        <w:rPr>
          <w:rFonts w:ascii="Times New Roman" w:hAnsi="Times New Roman" w:cs="Times New Roman"/>
          <w:i/>
          <w:sz w:val="24"/>
          <w:szCs w:val="24"/>
        </w:rPr>
        <w:t>et al</w:t>
      </w:r>
      <w:r w:rsidRPr="009C09F4">
        <w:rPr>
          <w:rFonts w:ascii="Times New Roman" w:hAnsi="Times New Roman" w:cs="Times New Roman"/>
          <w:sz w:val="24"/>
          <w:szCs w:val="24"/>
        </w:rPr>
        <w:t>., 2018).</w:t>
      </w:r>
      <w:r w:rsidRPr="006937DF">
        <w:t xml:space="preserve"> </w:t>
      </w:r>
      <w:r w:rsidRPr="006937DF">
        <w:br w:type="page"/>
      </w:r>
    </w:p>
    <w:p w14:paraId="2763D048" w14:textId="77777777" w:rsidR="006937DF" w:rsidRPr="006937DF" w:rsidRDefault="006937DF" w:rsidP="006937DF">
      <w:pPr>
        <w:jc w:val="both"/>
      </w:pPr>
    </w:p>
    <w:p w14:paraId="3B3A2E3A" w14:textId="77777777" w:rsidR="006937DF" w:rsidRPr="009C09F4" w:rsidRDefault="006937DF" w:rsidP="009C09F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4" w:name="_Toc189268037"/>
      <w:r w:rsidRPr="009C09F4">
        <w:rPr>
          <w:rFonts w:ascii="Times New Roman" w:hAnsi="Times New Roman" w:cs="Times New Roman"/>
          <w:bCs/>
          <w:sz w:val="24"/>
          <w:szCs w:val="24"/>
        </w:rPr>
        <w:t xml:space="preserve">Tabela </w:t>
      </w:r>
      <w:r w:rsidRPr="009C09F4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Pr="009C09F4">
        <w:rPr>
          <w:rFonts w:ascii="Times New Roman" w:hAnsi="Times New Roman" w:cs="Times New Roman"/>
          <w:bCs/>
          <w:sz w:val="24"/>
          <w:szCs w:val="24"/>
        </w:rPr>
        <w:instrText xml:space="preserve"> SEQ Tabela \* ARABIC </w:instrText>
      </w:r>
      <w:r w:rsidRPr="009C09F4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Pr="009C09F4">
        <w:rPr>
          <w:rFonts w:ascii="Times New Roman" w:hAnsi="Times New Roman" w:cs="Times New Roman"/>
          <w:bCs/>
          <w:sz w:val="24"/>
          <w:szCs w:val="24"/>
        </w:rPr>
        <w:t>1</w:t>
      </w:r>
      <w:r w:rsidRPr="009C09F4">
        <w:rPr>
          <w:rFonts w:ascii="Times New Roman" w:hAnsi="Times New Roman" w:cs="Times New Roman"/>
          <w:sz w:val="24"/>
          <w:szCs w:val="24"/>
        </w:rPr>
        <w:fldChar w:fldCharType="end"/>
      </w:r>
      <w:r w:rsidRPr="009C09F4">
        <w:rPr>
          <w:rFonts w:ascii="Times New Roman" w:hAnsi="Times New Roman" w:cs="Times New Roman"/>
          <w:bCs/>
          <w:sz w:val="24"/>
          <w:szCs w:val="24"/>
        </w:rPr>
        <w:t xml:space="preserve"> – Principais espécies florestais existentes na área de Cerrado </w:t>
      </w:r>
      <w:r w:rsidRPr="009C09F4">
        <w:rPr>
          <w:rFonts w:ascii="Times New Roman" w:hAnsi="Times New Roman" w:cs="Times New Roman"/>
          <w:bCs/>
          <w:i/>
          <w:sz w:val="24"/>
          <w:szCs w:val="24"/>
        </w:rPr>
        <w:t>sensu stricto</w:t>
      </w:r>
      <w:r w:rsidRPr="009C09F4">
        <w:rPr>
          <w:rFonts w:ascii="Times New Roman" w:hAnsi="Times New Roman" w:cs="Times New Roman"/>
          <w:bCs/>
          <w:sz w:val="24"/>
          <w:szCs w:val="24"/>
        </w:rPr>
        <w:t>, localizado na fazenda experimental da UFT, Campus de Gurupi (TO) e respectivas densidades relativas (DR%)</w:t>
      </w:r>
      <w:bookmarkEnd w:id="4"/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0"/>
        <w:gridCol w:w="4551"/>
        <w:gridCol w:w="1083"/>
      </w:tblGrid>
      <w:tr w:rsidR="006937DF" w:rsidRPr="006937DF" w14:paraId="4EC39378" w14:textId="77777777" w:rsidTr="00881283">
        <w:trPr>
          <w:trHeight w:hRule="exact" w:val="448"/>
          <w:jc w:val="center"/>
        </w:trPr>
        <w:tc>
          <w:tcPr>
            <w:tcW w:w="16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C3944" w14:textId="77777777" w:rsidR="006937DF" w:rsidRPr="006937DF" w:rsidRDefault="006937DF" w:rsidP="006937DF">
            <w:pPr>
              <w:spacing w:after="160" w:line="259" w:lineRule="auto"/>
              <w:jc w:val="both"/>
              <w:rPr>
                <w:b/>
                <w:bCs/>
                <w:lang w:val="en-US"/>
              </w:rPr>
            </w:pPr>
            <w:r w:rsidRPr="006937DF">
              <w:rPr>
                <w:b/>
                <w:bCs/>
                <w:lang w:val="en-US"/>
              </w:rPr>
              <w:t>Nome popular</w:t>
            </w:r>
          </w:p>
        </w:tc>
        <w:tc>
          <w:tcPr>
            <w:tcW w:w="267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DC981" w14:textId="77777777" w:rsidR="006937DF" w:rsidRPr="006937DF" w:rsidRDefault="006937DF" w:rsidP="006937DF">
            <w:pPr>
              <w:spacing w:after="160" w:line="259" w:lineRule="auto"/>
              <w:jc w:val="both"/>
              <w:rPr>
                <w:b/>
                <w:bCs/>
              </w:rPr>
            </w:pPr>
            <w:proofErr w:type="spellStart"/>
            <w:r w:rsidRPr="006937DF">
              <w:rPr>
                <w:b/>
                <w:bCs/>
                <w:lang w:val="en-US"/>
              </w:rPr>
              <w:t>Espéci</w:t>
            </w:r>
            <w:proofErr w:type="spellEnd"/>
            <w:r w:rsidRPr="006937DF">
              <w:rPr>
                <w:b/>
                <w:bCs/>
              </w:rPr>
              <w:t>e</w:t>
            </w:r>
          </w:p>
        </w:tc>
        <w:tc>
          <w:tcPr>
            <w:tcW w:w="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2857F8" w14:textId="77777777" w:rsidR="006937DF" w:rsidRPr="006937DF" w:rsidRDefault="006937DF" w:rsidP="006937DF">
            <w:pPr>
              <w:spacing w:after="160" w:line="259" w:lineRule="auto"/>
              <w:jc w:val="both"/>
              <w:rPr>
                <w:b/>
                <w:bCs/>
              </w:rPr>
            </w:pPr>
            <w:r w:rsidRPr="006937DF">
              <w:rPr>
                <w:b/>
                <w:bCs/>
              </w:rPr>
              <w:t>DR (%)</w:t>
            </w:r>
          </w:p>
        </w:tc>
      </w:tr>
      <w:tr w:rsidR="006937DF" w:rsidRPr="006937DF" w14:paraId="6A3A816F" w14:textId="77777777" w:rsidTr="00881283">
        <w:trPr>
          <w:trHeight w:hRule="exact" w:val="255"/>
          <w:jc w:val="center"/>
        </w:trPr>
        <w:tc>
          <w:tcPr>
            <w:tcW w:w="1687" w:type="pct"/>
            <w:tcBorders>
              <w:top w:val="single" w:sz="4" w:space="0" w:color="auto"/>
            </w:tcBorders>
            <w:vAlign w:val="center"/>
          </w:tcPr>
          <w:p w14:paraId="3FFD3C49" w14:textId="77777777" w:rsidR="006937DF" w:rsidRPr="006937DF" w:rsidRDefault="006937DF" w:rsidP="006937DF">
            <w:pPr>
              <w:spacing w:after="160" w:line="259" w:lineRule="auto"/>
              <w:jc w:val="both"/>
            </w:pPr>
            <w:proofErr w:type="spellStart"/>
            <w:r w:rsidRPr="006937DF">
              <w:t>Guaramim</w:t>
            </w:r>
            <w:proofErr w:type="spellEnd"/>
          </w:p>
        </w:tc>
        <w:tc>
          <w:tcPr>
            <w:tcW w:w="2676" w:type="pct"/>
            <w:tcBorders>
              <w:top w:val="single" w:sz="4" w:space="0" w:color="auto"/>
            </w:tcBorders>
            <w:vAlign w:val="center"/>
          </w:tcPr>
          <w:p w14:paraId="70FE8041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Myrcia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splendens</w:t>
            </w:r>
            <w:proofErr w:type="spellEnd"/>
            <w:r w:rsidRPr="006937DF">
              <w:rPr>
                <w:i/>
              </w:rPr>
              <w:t xml:space="preserve"> (</w:t>
            </w:r>
            <w:proofErr w:type="spellStart"/>
            <w:r w:rsidRPr="006937DF">
              <w:rPr>
                <w:i/>
              </w:rPr>
              <w:t>Sw</w:t>
            </w:r>
            <w:proofErr w:type="spellEnd"/>
            <w:r w:rsidRPr="006937DF">
              <w:rPr>
                <w:i/>
              </w:rPr>
              <w:t>.) DC.</w:t>
            </w:r>
          </w:p>
        </w:tc>
        <w:tc>
          <w:tcPr>
            <w:tcW w:w="637" w:type="pct"/>
            <w:tcBorders>
              <w:top w:val="single" w:sz="4" w:space="0" w:color="auto"/>
            </w:tcBorders>
            <w:vAlign w:val="center"/>
          </w:tcPr>
          <w:p w14:paraId="6E8B1F3E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13,04</w:t>
            </w:r>
          </w:p>
        </w:tc>
      </w:tr>
      <w:tr w:rsidR="006937DF" w:rsidRPr="006937DF" w14:paraId="31AA313D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61847F86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Pau-terrinha</w:t>
            </w:r>
          </w:p>
        </w:tc>
        <w:tc>
          <w:tcPr>
            <w:tcW w:w="2676" w:type="pct"/>
            <w:vAlign w:val="center"/>
          </w:tcPr>
          <w:p w14:paraId="331D2FB7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Qualea</w:t>
            </w:r>
            <w:proofErr w:type="spellEnd"/>
            <w:r w:rsidRPr="006937DF">
              <w:rPr>
                <w:i/>
              </w:rPr>
              <w:t xml:space="preserve"> multiflora Mart.</w:t>
            </w:r>
          </w:p>
        </w:tc>
        <w:tc>
          <w:tcPr>
            <w:tcW w:w="637" w:type="pct"/>
            <w:vAlign w:val="center"/>
          </w:tcPr>
          <w:p w14:paraId="01BC58E0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9,87</w:t>
            </w:r>
          </w:p>
        </w:tc>
      </w:tr>
      <w:tr w:rsidR="006937DF" w:rsidRPr="006937DF" w14:paraId="5E1A48EA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692FBCEA" w14:textId="77777777" w:rsidR="006937DF" w:rsidRPr="006937DF" w:rsidRDefault="006937DF" w:rsidP="006937DF">
            <w:pPr>
              <w:spacing w:after="160" w:line="259" w:lineRule="auto"/>
              <w:jc w:val="both"/>
            </w:pPr>
            <w:proofErr w:type="spellStart"/>
            <w:r w:rsidRPr="006937DF">
              <w:t>Amescla</w:t>
            </w:r>
            <w:proofErr w:type="spellEnd"/>
          </w:p>
        </w:tc>
        <w:tc>
          <w:tcPr>
            <w:tcW w:w="2676" w:type="pct"/>
            <w:vAlign w:val="center"/>
          </w:tcPr>
          <w:p w14:paraId="676F3FFC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Protium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heptaphyllum</w:t>
            </w:r>
            <w:proofErr w:type="spellEnd"/>
            <w:r w:rsidRPr="006937DF">
              <w:rPr>
                <w:i/>
              </w:rPr>
              <w:t xml:space="preserve"> (</w:t>
            </w:r>
            <w:proofErr w:type="spellStart"/>
            <w:r w:rsidRPr="006937DF">
              <w:rPr>
                <w:i/>
              </w:rPr>
              <w:t>Aubl</w:t>
            </w:r>
            <w:proofErr w:type="spellEnd"/>
            <w:r w:rsidRPr="006937DF">
              <w:rPr>
                <w:i/>
              </w:rPr>
              <w:t>.) Marchand</w:t>
            </w:r>
          </w:p>
        </w:tc>
        <w:tc>
          <w:tcPr>
            <w:tcW w:w="637" w:type="pct"/>
            <w:vAlign w:val="center"/>
          </w:tcPr>
          <w:p w14:paraId="31F6A4BA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7,53</w:t>
            </w:r>
          </w:p>
        </w:tc>
      </w:tr>
      <w:tr w:rsidR="006937DF" w:rsidRPr="006937DF" w14:paraId="34E04648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316C0E94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Tingui, Timbó</w:t>
            </w:r>
          </w:p>
        </w:tc>
        <w:tc>
          <w:tcPr>
            <w:tcW w:w="2676" w:type="pct"/>
            <w:vAlign w:val="center"/>
          </w:tcPr>
          <w:p w14:paraId="197807E1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Magonia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pubescens</w:t>
            </w:r>
            <w:proofErr w:type="spellEnd"/>
            <w:r w:rsidRPr="006937DF">
              <w:rPr>
                <w:i/>
              </w:rPr>
              <w:t xml:space="preserve"> A.</w:t>
            </w:r>
            <w:proofErr w:type="spellStart"/>
            <w:r w:rsidRPr="006937DF">
              <w:rPr>
                <w:i/>
              </w:rPr>
              <w:t>St</w:t>
            </w:r>
            <w:proofErr w:type="spellEnd"/>
            <w:r w:rsidRPr="006937DF">
              <w:rPr>
                <w:i/>
              </w:rPr>
              <w:t>.-</w:t>
            </w:r>
            <w:proofErr w:type="spellStart"/>
            <w:r w:rsidRPr="006937DF">
              <w:rPr>
                <w:i/>
              </w:rPr>
              <w:t>Hil</w:t>
            </w:r>
            <w:proofErr w:type="spellEnd"/>
            <w:r w:rsidRPr="006937DF">
              <w:rPr>
                <w:i/>
              </w:rPr>
              <w:t>.</w:t>
            </w:r>
          </w:p>
        </w:tc>
        <w:tc>
          <w:tcPr>
            <w:tcW w:w="637" w:type="pct"/>
            <w:vAlign w:val="center"/>
          </w:tcPr>
          <w:p w14:paraId="2CD2FA7D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5,35</w:t>
            </w:r>
          </w:p>
        </w:tc>
      </w:tr>
      <w:tr w:rsidR="006937DF" w:rsidRPr="006937DF" w14:paraId="38A12F97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1AF50CD4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Pau-terra-da-folha-grande</w:t>
            </w:r>
          </w:p>
        </w:tc>
        <w:tc>
          <w:tcPr>
            <w:tcW w:w="2676" w:type="pct"/>
            <w:vAlign w:val="center"/>
          </w:tcPr>
          <w:p w14:paraId="45F9DE3B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Qualea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grandiflora</w:t>
            </w:r>
            <w:proofErr w:type="spellEnd"/>
            <w:r w:rsidRPr="006937DF">
              <w:rPr>
                <w:i/>
              </w:rPr>
              <w:t xml:space="preserve"> Mart.</w:t>
            </w:r>
          </w:p>
        </w:tc>
        <w:tc>
          <w:tcPr>
            <w:tcW w:w="637" w:type="pct"/>
            <w:vAlign w:val="center"/>
          </w:tcPr>
          <w:p w14:paraId="1DCF66A3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5,02</w:t>
            </w:r>
          </w:p>
        </w:tc>
      </w:tr>
      <w:tr w:rsidR="006937DF" w:rsidRPr="006937DF" w14:paraId="4BDEBCA1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1AAB8C6C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Pau-terra-de-flor-roxa</w:t>
            </w:r>
          </w:p>
        </w:tc>
        <w:tc>
          <w:tcPr>
            <w:tcW w:w="2676" w:type="pct"/>
            <w:vAlign w:val="center"/>
          </w:tcPr>
          <w:p w14:paraId="4236D989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Qualea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parviflora</w:t>
            </w:r>
            <w:proofErr w:type="spellEnd"/>
            <w:r w:rsidRPr="006937DF">
              <w:rPr>
                <w:i/>
              </w:rPr>
              <w:t xml:space="preserve"> Mart.</w:t>
            </w:r>
          </w:p>
        </w:tc>
        <w:tc>
          <w:tcPr>
            <w:tcW w:w="637" w:type="pct"/>
            <w:vAlign w:val="center"/>
          </w:tcPr>
          <w:p w14:paraId="4D442F7D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4,35</w:t>
            </w:r>
          </w:p>
        </w:tc>
      </w:tr>
      <w:tr w:rsidR="006937DF" w:rsidRPr="006937DF" w14:paraId="59B23F50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3AF74DBF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Murici</w:t>
            </w:r>
          </w:p>
        </w:tc>
        <w:tc>
          <w:tcPr>
            <w:tcW w:w="2676" w:type="pct"/>
            <w:vAlign w:val="center"/>
          </w:tcPr>
          <w:p w14:paraId="3C6E6962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Byrsonima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pachyphylla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A.Juss</w:t>
            </w:r>
            <w:proofErr w:type="spellEnd"/>
            <w:r w:rsidRPr="006937DF">
              <w:rPr>
                <w:i/>
              </w:rPr>
              <w:t>.</w:t>
            </w:r>
          </w:p>
        </w:tc>
        <w:tc>
          <w:tcPr>
            <w:tcW w:w="637" w:type="pct"/>
            <w:vAlign w:val="center"/>
          </w:tcPr>
          <w:p w14:paraId="72CDBC00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3,01</w:t>
            </w:r>
          </w:p>
        </w:tc>
      </w:tr>
      <w:tr w:rsidR="006937DF" w:rsidRPr="006937DF" w14:paraId="27490DE3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2633CEE2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Pau-pombo</w:t>
            </w:r>
          </w:p>
        </w:tc>
        <w:tc>
          <w:tcPr>
            <w:tcW w:w="2676" w:type="pct"/>
            <w:vAlign w:val="center"/>
          </w:tcPr>
          <w:p w14:paraId="2C948061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Tapirira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guianensis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Aubl</w:t>
            </w:r>
            <w:proofErr w:type="spellEnd"/>
            <w:r w:rsidRPr="006937DF">
              <w:rPr>
                <w:i/>
              </w:rPr>
              <w:t>.</w:t>
            </w:r>
          </w:p>
        </w:tc>
        <w:tc>
          <w:tcPr>
            <w:tcW w:w="637" w:type="pct"/>
            <w:vAlign w:val="center"/>
          </w:tcPr>
          <w:p w14:paraId="580DDFA1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2,84</w:t>
            </w:r>
          </w:p>
        </w:tc>
      </w:tr>
      <w:tr w:rsidR="006937DF" w:rsidRPr="006937DF" w14:paraId="7E31D8D2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38A6949B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Quina</w:t>
            </w:r>
          </w:p>
        </w:tc>
        <w:tc>
          <w:tcPr>
            <w:tcW w:w="2676" w:type="pct"/>
            <w:vAlign w:val="center"/>
          </w:tcPr>
          <w:p w14:paraId="699FE1A9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Antonia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ovata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Pohl</w:t>
            </w:r>
            <w:proofErr w:type="spellEnd"/>
          </w:p>
        </w:tc>
        <w:tc>
          <w:tcPr>
            <w:tcW w:w="637" w:type="pct"/>
            <w:vAlign w:val="center"/>
          </w:tcPr>
          <w:p w14:paraId="35A10B0E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2,51</w:t>
            </w:r>
          </w:p>
        </w:tc>
      </w:tr>
      <w:tr w:rsidR="006937DF" w:rsidRPr="006937DF" w14:paraId="6D5DC176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5957EE18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Acoita-cavalo-</w:t>
            </w:r>
            <w:proofErr w:type="spellStart"/>
            <w:r w:rsidRPr="006937DF">
              <w:t>grauda</w:t>
            </w:r>
            <w:proofErr w:type="spellEnd"/>
          </w:p>
        </w:tc>
        <w:tc>
          <w:tcPr>
            <w:tcW w:w="2676" w:type="pct"/>
            <w:vAlign w:val="center"/>
          </w:tcPr>
          <w:p w14:paraId="1D55E7A9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Luehea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grandiflora</w:t>
            </w:r>
            <w:proofErr w:type="spellEnd"/>
            <w:r w:rsidRPr="006937DF">
              <w:rPr>
                <w:i/>
              </w:rPr>
              <w:t xml:space="preserve"> Mart. &amp; </w:t>
            </w:r>
            <w:proofErr w:type="spellStart"/>
            <w:r w:rsidRPr="006937DF">
              <w:rPr>
                <w:i/>
              </w:rPr>
              <w:t>Zucc</w:t>
            </w:r>
            <w:proofErr w:type="spellEnd"/>
            <w:r w:rsidRPr="006937DF">
              <w:rPr>
                <w:i/>
              </w:rPr>
              <w:t>.</w:t>
            </w:r>
          </w:p>
        </w:tc>
        <w:tc>
          <w:tcPr>
            <w:tcW w:w="637" w:type="pct"/>
            <w:vAlign w:val="center"/>
          </w:tcPr>
          <w:p w14:paraId="03A5092D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2,51</w:t>
            </w:r>
          </w:p>
        </w:tc>
      </w:tr>
      <w:tr w:rsidR="006937DF" w:rsidRPr="006937DF" w14:paraId="577CEC5B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40D3BBF6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Murici</w:t>
            </w:r>
          </w:p>
        </w:tc>
        <w:tc>
          <w:tcPr>
            <w:tcW w:w="2676" w:type="pct"/>
            <w:vAlign w:val="center"/>
          </w:tcPr>
          <w:p w14:paraId="15DE9C05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Byrsonima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stipulacea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A.Juss</w:t>
            </w:r>
            <w:proofErr w:type="spellEnd"/>
            <w:r w:rsidRPr="006937DF">
              <w:rPr>
                <w:i/>
              </w:rPr>
              <w:t>.</w:t>
            </w:r>
          </w:p>
        </w:tc>
        <w:tc>
          <w:tcPr>
            <w:tcW w:w="637" w:type="pct"/>
            <w:vAlign w:val="center"/>
          </w:tcPr>
          <w:p w14:paraId="18142284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2,51</w:t>
            </w:r>
          </w:p>
        </w:tc>
      </w:tr>
      <w:tr w:rsidR="006937DF" w:rsidRPr="006937DF" w14:paraId="68221E49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6E84470E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Capitão-do-campo</w:t>
            </w:r>
          </w:p>
        </w:tc>
        <w:tc>
          <w:tcPr>
            <w:tcW w:w="2676" w:type="pct"/>
            <w:vAlign w:val="center"/>
          </w:tcPr>
          <w:p w14:paraId="63A6E8C8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Terminalia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argentea</w:t>
            </w:r>
            <w:proofErr w:type="spellEnd"/>
            <w:r w:rsidRPr="006937DF">
              <w:rPr>
                <w:i/>
              </w:rPr>
              <w:t xml:space="preserve"> Mart.</w:t>
            </w:r>
          </w:p>
        </w:tc>
        <w:tc>
          <w:tcPr>
            <w:tcW w:w="637" w:type="pct"/>
            <w:vAlign w:val="center"/>
          </w:tcPr>
          <w:p w14:paraId="153D34DF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2,17</w:t>
            </w:r>
          </w:p>
        </w:tc>
      </w:tr>
      <w:tr w:rsidR="006937DF" w:rsidRPr="006937DF" w14:paraId="3450BFA6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7FF0B719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Angelim do cerrado</w:t>
            </w:r>
          </w:p>
        </w:tc>
        <w:tc>
          <w:tcPr>
            <w:tcW w:w="2676" w:type="pct"/>
            <w:vAlign w:val="center"/>
          </w:tcPr>
          <w:p w14:paraId="50AD3F74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Vatairea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macrocarpa</w:t>
            </w:r>
            <w:proofErr w:type="spellEnd"/>
            <w:r w:rsidRPr="006937DF">
              <w:rPr>
                <w:i/>
              </w:rPr>
              <w:t xml:space="preserve"> (</w:t>
            </w:r>
            <w:proofErr w:type="spellStart"/>
            <w:r w:rsidRPr="006937DF">
              <w:rPr>
                <w:i/>
              </w:rPr>
              <w:t>Benth</w:t>
            </w:r>
            <w:proofErr w:type="spellEnd"/>
            <w:r w:rsidRPr="006937DF">
              <w:rPr>
                <w:i/>
              </w:rPr>
              <w:t xml:space="preserve">.) </w:t>
            </w:r>
            <w:proofErr w:type="spellStart"/>
            <w:r w:rsidRPr="006937DF">
              <w:rPr>
                <w:i/>
              </w:rPr>
              <w:t>Ducke</w:t>
            </w:r>
            <w:proofErr w:type="spellEnd"/>
          </w:p>
        </w:tc>
        <w:tc>
          <w:tcPr>
            <w:tcW w:w="637" w:type="pct"/>
            <w:vAlign w:val="center"/>
          </w:tcPr>
          <w:p w14:paraId="21682B45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1,84</w:t>
            </w:r>
          </w:p>
        </w:tc>
      </w:tr>
      <w:tr w:rsidR="006937DF" w:rsidRPr="006937DF" w14:paraId="6C9DD408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18D50505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Folha-de-bolo</w:t>
            </w:r>
          </w:p>
        </w:tc>
        <w:tc>
          <w:tcPr>
            <w:tcW w:w="2676" w:type="pct"/>
            <w:vAlign w:val="center"/>
          </w:tcPr>
          <w:p w14:paraId="3F2E4FC2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Coccoloba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mollis</w:t>
            </w:r>
            <w:proofErr w:type="spellEnd"/>
            <w:r w:rsidRPr="006937DF">
              <w:rPr>
                <w:i/>
              </w:rPr>
              <w:t xml:space="preserve"> Casar.</w:t>
            </w:r>
          </w:p>
        </w:tc>
        <w:tc>
          <w:tcPr>
            <w:tcW w:w="637" w:type="pct"/>
            <w:vAlign w:val="center"/>
          </w:tcPr>
          <w:p w14:paraId="6EB68F21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1,67</w:t>
            </w:r>
          </w:p>
        </w:tc>
      </w:tr>
      <w:tr w:rsidR="006937DF" w:rsidRPr="006937DF" w14:paraId="32146572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7DDC183C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Pimenta-de-macaco</w:t>
            </w:r>
          </w:p>
        </w:tc>
        <w:tc>
          <w:tcPr>
            <w:tcW w:w="2676" w:type="pct"/>
            <w:vAlign w:val="center"/>
          </w:tcPr>
          <w:p w14:paraId="7F9AB433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Xylopia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aromatica</w:t>
            </w:r>
            <w:proofErr w:type="spellEnd"/>
            <w:r w:rsidRPr="006937DF">
              <w:rPr>
                <w:i/>
              </w:rPr>
              <w:t xml:space="preserve"> (</w:t>
            </w:r>
            <w:proofErr w:type="spellStart"/>
            <w:r w:rsidRPr="006937DF">
              <w:rPr>
                <w:i/>
              </w:rPr>
              <w:t>Lam</w:t>
            </w:r>
            <w:proofErr w:type="spellEnd"/>
            <w:r w:rsidRPr="006937DF">
              <w:rPr>
                <w:i/>
              </w:rPr>
              <w:t>.) Mart.</w:t>
            </w:r>
          </w:p>
        </w:tc>
        <w:tc>
          <w:tcPr>
            <w:tcW w:w="637" w:type="pct"/>
            <w:vAlign w:val="center"/>
          </w:tcPr>
          <w:p w14:paraId="6CFFF2D9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1,67</w:t>
            </w:r>
          </w:p>
        </w:tc>
      </w:tr>
      <w:tr w:rsidR="006937DF" w:rsidRPr="006937DF" w14:paraId="2C303505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53848E92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Canjica</w:t>
            </w:r>
          </w:p>
        </w:tc>
        <w:tc>
          <w:tcPr>
            <w:tcW w:w="2676" w:type="pct"/>
            <w:vAlign w:val="center"/>
          </w:tcPr>
          <w:p w14:paraId="1F5E4DCF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Roupala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montana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Aubl</w:t>
            </w:r>
            <w:proofErr w:type="spellEnd"/>
            <w:r w:rsidRPr="006937DF">
              <w:rPr>
                <w:i/>
              </w:rPr>
              <w:t>.</w:t>
            </w:r>
          </w:p>
        </w:tc>
        <w:tc>
          <w:tcPr>
            <w:tcW w:w="637" w:type="pct"/>
            <w:vAlign w:val="center"/>
          </w:tcPr>
          <w:p w14:paraId="7FDBBEB5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1,67</w:t>
            </w:r>
          </w:p>
        </w:tc>
      </w:tr>
      <w:tr w:rsidR="006937DF" w:rsidRPr="006937DF" w14:paraId="7851F7E2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506EBFAE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Copaíba</w:t>
            </w:r>
          </w:p>
        </w:tc>
        <w:tc>
          <w:tcPr>
            <w:tcW w:w="2676" w:type="pct"/>
            <w:vAlign w:val="center"/>
          </w:tcPr>
          <w:p w14:paraId="43BC5F43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Copaifera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langsdorffii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Desf</w:t>
            </w:r>
            <w:proofErr w:type="spellEnd"/>
            <w:r w:rsidRPr="006937DF">
              <w:rPr>
                <w:i/>
              </w:rPr>
              <w:t>.</w:t>
            </w:r>
          </w:p>
        </w:tc>
        <w:tc>
          <w:tcPr>
            <w:tcW w:w="637" w:type="pct"/>
            <w:vAlign w:val="center"/>
          </w:tcPr>
          <w:p w14:paraId="2C9F5A25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1,51</w:t>
            </w:r>
          </w:p>
        </w:tc>
      </w:tr>
      <w:tr w:rsidR="006937DF" w:rsidRPr="006937DF" w14:paraId="44C012A2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7B9F8D03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Aroeira-do-campo</w:t>
            </w:r>
          </w:p>
        </w:tc>
        <w:tc>
          <w:tcPr>
            <w:tcW w:w="2676" w:type="pct"/>
            <w:vAlign w:val="center"/>
          </w:tcPr>
          <w:p w14:paraId="32F1AC4B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Astronium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fraxinifolium</w:t>
            </w:r>
            <w:proofErr w:type="spellEnd"/>
            <w:r w:rsidRPr="006937DF">
              <w:rPr>
                <w:i/>
              </w:rPr>
              <w:t xml:space="preserve"> Schott</w:t>
            </w:r>
          </w:p>
        </w:tc>
        <w:tc>
          <w:tcPr>
            <w:tcW w:w="637" w:type="pct"/>
            <w:vAlign w:val="center"/>
          </w:tcPr>
          <w:p w14:paraId="7C6B8AFD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1,34</w:t>
            </w:r>
          </w:p>
        </w:tc>
      </w:tr>
      <w:tr w:rsidR="006937DF" w:rsidRPr="006937DF" w14:paraId="175FAEE2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17979B1C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Guamirim</w:t>
            </w:r>
          </w:p>
        </w:tc>
        <w:tc>
          <w:tcPr>
            <w:tcW w:w="2676" w:type="pct"/>
            <w:vAlign w:val="center"/>
          </w:tcPr>
          <w:p w14:paraId="2E2634E0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Calyptranthes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clusiifolia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O.Berg</w:t>
            </w:r>
            <w:proofErr w:type="spellEnd"/>
          </w:p>
        </w:tc>
        <w:tc>
          <w:tcPr>
            <w:tcW w:w="637" w:type="pct"/>
            <w:vAlign w:val="center"/>
          </w:tcPr>
          <w:p w14:paraId="0AC73598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1,34</w:t>
            </w:r>
          </w:p>
        </w:tc>
      </w:tr>
      <w:tr w:rsidR="006937DF" w:rsidRPr="006937DF" w14:paraId="4BD14CEB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4CC4E373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Lixeira</w:t>
            </w:r>
          </w:p>
        </w:tc>
        <w:tc>
          <w:tcPr>
            <w:tcW w:w="2676" w:type="pct"/>
            <w:vAlign w:val="center"/>
          </w:tcPr>
          <w:p w14:paraId="38569A54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Curatella</w:t>
            </w:r>
            <w:proofErr w:type="spellEnd"/>
            <w:r w:rsidRPr="006937DF">
              <w:rPr>
                <w:i/>
              </w:rPr>
              <w:t xml:space="preserve"> americana L.</w:t>
            </w:r>
          </w:p>
        </w:tc>
        <w:tc>
          <w:tcPr>
            <w:tcW w:w="637" w:type="pct"/>
            <w:vAlign w:val="center"/>
          </w:tcPr>
          <w:p w14:paraId="6D6B6367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1,17</w:t>
            </w:r>
          </w:p>
        </w:tc>
      </w:tr>
      <w:tr w:rsidR="006937DF" w:rsidRPr="006937DF" w14:paraId="70727FF0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3780BFCB" w14:textId="77777777" w:rsidR="006937DF" w:rsidRPr="006937DF" w:rsidRDefault="006937DF" w:rsidP="006937DF">
            <w:pPr>
              <w:spacing w:after="160" w:line="259" w:lineRule="auto"/>
              <w:jc w:val="both"/>
            </w:pPr>
            <w:proofErr w:type="spellStart"/>
            <w:r w:rsidRPr="006937DF">
              <w:t>Binguinha</w:t>
            </w:r>
            <w:proofErr w:type="spellEnd"/>
          </w:p>
        </w:tc>
        <w:tc>
          <w:tcPr>
            <w:tcW w:w="2676" w:type="pct"/>
            <w:vAlign w:val="center"/>
          </w:tcPr>
          <w:p w14:paraId="614AA237" w14:textId="77777777" w:rsidR="006937DF" w:rsidRPr="006937DF" w:rsidRDefault="006937DF" w:rsidP="006937DF">
            <w:pPr>
              <w:spacing w:after="160" w:line="259" w:lineRule="auto"/>
              <w:jc w:val="both"/>
              <w:rPr>
                <w:i/>
              </w:rPr>
            </w:pPr>
            <w:proofErr w:type="spellStart"/>
            <w:r w:rsidRPr="006937DF">
              <w:rPr>
                <w:i/>
              </w:rPr>
              <w:t>Eriotheca</w:t>
            </w:r>
            <w:proofErr w:type="spellEnd"/>
            <w:r w:rsidRPr="006937DF">
              <w:rPr>
                <w:i/>
              </w:rPr>
              <w:t xml:space="preserve"> </w:t>
            </w:r>
            <w:proofErr w:type="spellStart"/>
            <w:r w:rsidRPr="006937DF">
              <w:rPr>
                <w:i/>
              </w:rPr>
              <w:t>gracilipes</w:t>
            </w:r>
            <w:proofErr w:type="spellEnd"/>
            <w:r w:rsidRPr="006937DF">
              <w:rPr>
                <w:i/>
              </w:rPr>
              <w:t xml:space="preserve"> (</w:t>
            </w:r>
            <w:proofErr w:type="spellStart"/>
            <w:r w:rsidRPr="006937DF">
              <w:rPr>
                <w:i/>
              </w:rPr>
              <w:t>K.Schum</w:t>
            </w:r>
            <w:proofErr w:type="spellEnd"/>
            <w:r w:rsidRPr="006937DF">
              <w:rPr>
                <w:i/>
              </w:rPr>
              <w:t xml:space="preserve">.) </w:t>
            </w:r>
            <w:proofErr w:type="spellStart"/>
            <w:r w:rsidRPr="006937DF">
              <w:rPr>
                <w:i/>
              </w:rPr>
              <w:t>A.Robyns</w:t>
            </w:r>
            <w:proofErr w:type="spellEnd"/>
          </w:p>
        </w:tc>
        <w:tc>
          <w:tcPr>
            <w:tcW w:w="637" w:type="pct"/>
            <w:vAlign w:val="center"/>
          </w:tcPr>
          <w:p w14:paraId="073DFF29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0,5</w:t>
            </w:r>
          </w:p>
        </w:tc>
      </w:tr>
      <w:tr w:rsidR="006937DF" w:rsidRPr="006937DF" w14:paraId="036ADB88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73A3154B" w14:textId="77777777" w:rsidR="006937DF" w:rsidRPr="006937DF" w:rsidRDefault="006937DF" w:rsidP="006937DF">
            <w:pPr>
              <w:spacing w:after="160" w:line="259" w:lineRule="auto"/>
              <w:jc w:val="both"/>
            </w:pPr>
          </w:p>
        </w:tc>
        <w:tc>
          <w:tcPr>
            <w:tcW w:w="2676" w:type="pct"/>
            <w:vAlign w:val="center"/>
          </w:tcPr>
          <w:p w14:paraId="5274C8DE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Espécies não identificadas</w:t>
            </w:r>
          </w:p>
        </w:tc>
        <w:tc>
          <w:tcPr>
            <w:tcW w:w="637" w:type="pct"/>
            <w:vAlign w:val="center"/>
          </w:tcPr>
          <w:p w14:paraId="654AD8C5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21,82</w:t>
            </w:r>
          </w:p>
        </w:tc>
      </w:tr>
      <w:tr w:rsidR="006937DF" w:rsidRPr="006937DF" w14:paraId="34C747E6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35749B57" w14:textId="77777777" w:rsidR="006937DF" w:rsidRPr="006937DF" w:rsidRDefault="006937DF" w:rsidP="006937DF">
            <w:pPr>
              <w:spacing w:after="160" w:line="259" w:lineRule="auto"/>
              <w:jc w:val="both"/>
            </w:pPr>
          </w:p>
        </w:tc>
        <w:tc>
          <w:tcPr>
            <w:tcW w:w="2676" w:type="pct"/>
            <w:vAlign w:val="center"/>
          </w:tcPr>
          <w:p w14:paraId="55783584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Árvores mortas</w:t>
            </w:r>
          </w:p>
        </w:tc>
        <w:tc>
          <w:tcPr>
            <w:tcW w:w="637" w:type="pct"/>
            <w:vAlign w:val="center"/>
          </w:tcPr>
          <w:p w14:paraId="7FA9EBC8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4,85</w:t>
            </w:r>
          </w:p>
        </w:tc>
      </w:tr>
      <w:tr w:rsidR="006937DF" w:rsidRPr="006937DF" w14:paraId="77B1FC1D" w14:textId="77777777" w:rsidTr="00881283">
        <w:trPr>
          <w:trHeight w:hRule="exact" w:val="255"/>
          <w:jc w:val="center"/>
        </w:trPr>
        <w:tc>
          <w:tcPr>
            <w:tcW w:w="1687" w:type="pct"/>
            <w:vAlign w:val="center"/>
          </w:tcPr>
          <w:p w14:paraId="5C1E204A" w14:textId="77777777" w:rsidR="006937DF" w:rsidRPr="006937DF" w:rsidRDefault="006937DF" w:rsidP="006937DF">
            <w:pPr>
              <w:spacing w:after="160" w:line="259" w:lineRule="auto"/>
              <w:jc w:val="both"/>
            </w:pPr>
          </w:p>
        </w:tc>
        <w:tc>
          <w:tcPr>
            <w:tcW w:w="2676" w:type="pct"/>
            <w:vAlign w:val="center"/>
          </w:tcPr>
          <w:p w14:paraId="0AC999A4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Total</w:t>
            </w:r>
          </w:p>
        </w:tc>
        <w:tc>
          <w:tcPr>
            <w:tcW w:w="637" w:type="pct"/>
            <w:vAlign w:val="center"/>
          </w:tcPr>
          <w:p w14:paraId="7317EB7C" w14:textId="77777777" w:rsidR="006937DF" w:rsidRPr="006937DF" w:rsidRDefault="006937DF" w:rsidP="006937DF">
            <w:pPr>
              <w:spacing w:after="160" w:line="259" w:lineRule="auto"/>
              <w:jc w:val="both"/>
            </w:pPr>
            <w:r w:rsidRPr="006937DF">
              <w:t>100</w:t>
            </w:r>
          </w:p>
        </w:tc>
      </w:tr>
    </w:tbl>
    <w:p w14:paraId="0221DF59" w14:textId="7C6D48C8" w:rsidR="006937DF" w:rsidRDefault="006937DF" w:rsidP="006937DF">
      <w:pPr>
        <w:jc w:val="both"/>
        <w:rPr>
          <w:rFonts w:ascii="Times New Roman" w:hAnsi="Times New Roman" w:cs="Times New Roman"/>
          <w:sz w:val="24"/>
          <w:szCs w:val="24"/>
        </w:rPr>
      </w:pPr>
      <w:r w:rsidRPr="00D8172E">
        <w:rPr>
          <w:rFonts w:ascii="Times New Roman" w:hAnsi="Times New Roman" w:cs="Times New Roman"/>
          <w:sz w:val="24"/>
          <w:szCs w:val="24"/>
        </w:rPr>
        <w:t xml:space="preserve">Fonte: Adaptado de Bendito </w:t>
      </w:r>
      <w:r w:rsidRPr="00D8172E">
        <w:rPr>
          <w:rFonts w:ascii="Times New Roman" w:hAnsi="Times New Roman" w:cs="Times New Roman"/>
          <w:i/>
          <w:sz w:val="24"/>
          <w:szCs w:val="24"/>
        </w:rPr>
        <w:t>et al</w:t>
      </w:r>
      <w:r w:rsidRPr="00D8172E">
        <w:rPr>
          <w:rFonts w:ascii="Times New Roman" w:hAnsi="Times New Roman" w:cs="Times New Roman"/>
          <w:sz w:val="24"/>
          <w:szCs w:val="24"/>
        </w:rPr>
        <w:t>. (2018)</w:t>
      </w:r>
    </w:p>
    <w:p w14:paraId="078E0B0F" w14:textId="77777777" w:rsidR="00D8172E" w:rsidRPr="00D8172E" w:rsidRDefault="00D8172E" w:rsidP="006937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8201B7" w14:textId="6B70E800" w:rsidR="006937DF" w:rsidRPr="00D8172E" w:rsidRDefault="00880623" w:rsidP="00D8172E">
      <w:pPr>
        <w:tabs>
          <w:tab w:val="num" w:pos="4341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189268110"/>
      <w:r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="006937DF" w:rsidRPr="00D8172E">
        <w:rPr>
          <w:rFonts w:ascii="Times New Roman" w:hAnsi="Times New Roman" w:cs="Times New Roman"/>
          <w:b/>
          <w:bCs/>
          <w:sz w:val="24"/>
          <w:szCs w:val="24"/>
        </w:rPr>
        <w:t>Características da área de silvicultura Eucalipto</w:t>
      </w:r>
      <w:bookmarkEnd w:id="5"/>
      <w:r w:rsidR="00D8172E" w:rsidRPr="00D8172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8172E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D8172E" w:rsidRPr="00D817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Eucalyptus</w:t>
      </w:r>
      <w:r w:rsidR="00D8172E" w:rsidRPr="00D8172E">
        <w:rPr>
          <w:rFonts w:ascii="Times New Roman" w:hAnsi="Times New Roman" w:cs="Times New Roman"/>
          <w:b/>
          <w:bCs/>
          <w:sz w:val="24"/>
          <w:szCs w:val="24"/>
        </w:rPr>
        <w:t xml:space="preserve"> spp.</w:t>
      </w:r>
      <w:r w:rsidR="00D8172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D668859" w14:textId="77777777" w:rsidR="00F3199D" w:rsidRPr="00D8172E" w:rsidRDefault="00F3199D" w:rsidP="00D8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189267995"/>
      <w:r w:rsidRPr="00D8172E">
        <w:rPr>
          <w:rFonts w:ascii="Times New Roman" w:hAnsi="Times New Roman" w:cs="Times New Roman"/>
          <w:sz w:val="24"/>
          <w:szCs w:val="24"/>
        </w:rPr>
        <w:t xml:space="preserve">O plantio de indivíduos de </w:t>
      </w:r>
      <w:r w:rsidRPr="00D8172E">
        <w:rPr>
          <w:rFonts w:ascii="Times New Roman" w:hAnsi="Times New Roman" w:cs="Times New Roman"/>
          <w:i/>
          <w:iCs/>
          <w:sz w:val="24"/>
          <w:szCs w:val="24"/>
        </w:rPr>
        <w:t>Eucalyptus</w:t>
      </w:r>
      <w:r w:rsidRPr="00D8172E">
        <w:rPr>
          <w:rFonts w:ascii="Times New Roman" w:hAnsi="Times New Roman" w:cs="Times New Roman"/>
          <w:sz w:val="24"/>
          <w:szCs w:val="24"/>
        </w:rPr>
        <w:t xml:space="preserve"> spp. foi estabelecido há 11 anos em uma área de 0,65 hectares, situada nas coordenadas geográficas 11°46’28” S e 49°03’08” W (Figura 3). A implantação do povoamento foi precedida pela remoção da vegetação nativa, utilizando-se trator de esteiras com lâmina frontal, seguida por operações mecanizadas de preparo convencional, incluindo aração e gradagem.</w:t>
      </w:r>
    </w:p>
    <w:p w14:paraId="51897CF9" w14:textId="77777777" w:rsidR="00F3199D" w:rsidRPr="00D8172E" w:rsidRDefault="00F3199D" w:rsidP="00D8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172E">
        <w:rPr>
          <w:rFonts w:ascii="Times New Roman" w:hAnsi="Times New Roman" w:cs="Times New Roman"/>
          <w:sz w:val="24"/>
          <w:szCs w:val="24"/>
        </w:rPr>
        <w:t xml:space="preserve">As mudas de </w:t>
      </w:r>
      <w:r w:rsidRPr="00D8172E">
        <w:rPr>
          <w:rFonts w:ascii="Times New Roman" w:hAnsi="Times New Roman" w:cs="Times New Roman"/>
          <w:i/>
          <w:iCs/>
          <w:sz w:val="24"/>
          <w:szCs w:val="24"/>
        </w:rPr>
        <w:t>Eucalyptus</w:t>
      </w:r>
      <w:r w:rsidRPr="00D8172E">
        <w:rPr>
          <w:rFonts w:ascii="Times New Roman" w:hAnsi="Times New Roman" w:cs="Times New Roman"/>
          <w:sz w:val="24"/>
          <w:szCs w:val="24"/>
        </w:rPr>
        <w:t xml:space="preserve"> spp., com aproximadamente 25 cm de altura no momento do plantio, foram oriundas do viveiro AM Florestal, localizado em Brasilândia (SP). O plantio foi realizado manualmente em covas com dimensões de 40 × 40 × 40 cm, abertas com cavadeiras manuais, e espaçadas em um arranjo de 3,0 × 2,0 m (entre linhas × entre plantas).</w:t>
      </w:r>
    </w:p>
    <w:p w14:paraId="1FF55A15" w14:textId="3EA073C1" w:rsidR="00C920F2" w:rsidRPr="00D8172E" w:rsidRDefault="00F3199D" w:rsidP="00D8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172E">
        <w:rPr>
          <w:rFonts w:ascii="Times New Roman" w:hAnsi="Times New Roman" w:cs="Times New Roman"/>
          <w:sz w:val="24"/>
          <w:szCs w:val="24"/>
        </w:rPr>
        <w:lastRenderedPageBreak/>
        <w:t>A adubação de plantio foi realizada com a aplicação de 100 g de superfosfato simples em profundidade de 35 a 40 cm, além de 150 g da formulação NPK 5-25-15, incorporados a 25 cm de profundidade, conforme descrito por Barros (2017).</w:t>
      </w:r>
    </w:p>
    <w:p w14:paraId="300C43B5" w14:textId="77777777" w:rsidR="00C920F2" w:rsidRDefault="00C920F2" w:rsidP="006937DF">
      <w:pPr>
        <w:jc w:val="both"/>
        <w:rPr>
          <w:bCs/>
        </w:rPr>
      </w:pPr>
    </w:p>
    <w:p w14:paraId="58AA4DEE" w14:textId="228DAC00" w:rsidR="006937DF" w:rsidRPr="00422C36" w:rsidRDefault="006937DF" w:rsidP="006937D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22C36">
        <w:rPr>
          <w:rFonts w:ascii="Times New Roman" w:hAnsi="Times New Roman" w:cs="Times New Roman"/>
          <w:bCs/>
          <w:sz w:val="24"/>
          <w:szCs w:val="24"/>
        </w:rPr>
        <w:t xml:space="preserve">Figura </w:t>
      </w:r>
      <w:r w:rsidRPr="00422C36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Pr="00422C36">
        <w:rPr>
          <w:rFonts w:ascii="Times New Roman" w:hAnsi="Times New Roman" w:cs="Times New Roman"/>
          <w:bCs/>
          <w:sz w:val="24"/>
          <w:szCs w:val="24"/>
        </w:rPr>
        <w:instrText xml:space="preserve"> SEQ Figura \* ARABIC </w:instrText>
      </w:r>
      <w:r w:rsidRPr="00422C36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Pr="00422C36">
        <w:rPr>
          <w:rFonts w:ascii="Times New Roman" w:hAnsi="Times New Roman" w:cs="Times New Roman"/>
          <w:bCs/>
          <w:sz w:val="24"/>
          <w:szCs w:val="24"/>
        </w:rPr>
        <w:t>3</w:t>
      </w:r>
      <w:r w:rsidRPr="00422C36">
        <w:rPr>
          <w:rFonts w:ascii="Times New Roman" w:hAnsi="Times New Roman" w:cs="Times New Roman"/>
          <w:sz w:val="24"/>
          <w:szCs w:val="24"/>
        </w:rPr>
        <w:fldChar w:fldCharType="end"/>
      </w:r>
      <w:r w:rsidRPr="00422C36">
        <w:rPr>
          <w:rFonts w:ascii="Times New Roman" w:hAnsi="Times New Roman" w:cs="Times New Roman"/>
          <w:bCs/>
          <w:sz w:val="24"/>
          <w:szCs w:val="24"/>
        </w:rPr>
        <w:t xml:space="preserve"> – Área ocupada com plantio de </w:t>
      </w:r>
      <w:r w:rsidRPr="00422C36">
        <w:rPr>
          <w:rFonts w:ascii="Times New Roman" w:hAnsi="Times New Roman" w:cs="Times New Roman"/>
          <w:bCs/>
          <w:i/>
          <w:sz w:val="24"/>
          <w:szCs w:val="24"/>
        </w:rPr>
        <w:t>Eucalyptus</w:t>
      </w:r>
      <w:r w:rsidRPr="00422C36">
        <w:rPr>
          <w:rFonts w:ascii="Times New Roman" w:hAnsi="Times New Roman" w:cs="Times New Roman"/>
          <w:bCs/>
          <w:sz w:val="24"/>
          <w:szCs w:val="24"/>
        </w:rPr>
        <w:t xml:space="preserve"> sp.</w:t>
      </w:r>
      <w:bookmarkEnd w:id="6"/>
    </w:p>
    <w:p w14:paraId="187C8685" w14:textId="77777777" w:rsidR="006937DF" w:rsidRPr="006937DF" w:rsidRDefault="006937DF" w:rsidP="00C920F2">
      <w:pPr>
        <w:jc w:val="center"/>
      </w:pPr>
      <w:r w:rsidRPr="006937DF">
        <w:rPr>
          <w:noProof/>
        </w:rPr>
        <w:drawing>
          <wp:inline distT="0" distB="0" distL="0" distR="0" wp14:anchorId="770FA5BF" wp14:editId="12704878">
            <wp:extent cx="3895514" cy="2686050"/>
            <wp:effectExtent l="0" t="0" r="0" b="0"/>
            <wp:docPr id="5" name="Imagem 5" descr="Planta e árvore na flores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Planta e árvore na flores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64" cy="2692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3BAB0" w14:textId="77777777" w:rsidR="00D8172E" w:rsidRPr="00D8172E" w:rsidRDefault="00D8172E" w:rsidP="00D8172E">
      <w:pPr>
        <w:jc w:val="center"/>
        <w:rPr>
          <w:rFonts w:ascii="Times New Roman" w:hAnsi="Times New Roman" w:cs="Times New Roman"/>
          <w:sz w:val="24"/>
          <w:szCs w:val="24"/>
        </w:rPr>
      </w:pPr>
      <w:r w:rsidRPr="00D8172E">
        <w:rPr>
          <w:rFonts w:ascii="Times New Roman" w:hAnsi="Times New Roman" w:cs="Times New Roman"/>
          <w:sz w:val="24"/>
          <w:szCs w:val="24"/>
        </w:rPr>
        <w:t>Fonte: (2024)</w:t>
      </w:r>
    </w:p>
    <w:p w14:paraId="3797DACE" w14:textId="77777777" w:rsidR="00D8172E" w:rsidRDefault="00D8172E" w:rsidP="006937DF">
      <w:pPr>
        <w:tabs>
          <w:tab w:val="num" w:pos="4341"/>
        </w:tabs>
        <w:jc w:val="both"/>
      </w:pPr>
      <w:bookmarkStart w:id="7" w:name="_Toc189268111"/>
    </w:p>
    <w:p w14:paraId="715CA7E1" w14:textId="1CC44A47" w:rsidR="006937DF" w:rsidRPr="00D8172E" w:rsidRDefault="00880623" w:rsidP="006937DF">
      <w:pPr>
        <w:tabs>
          <w:tab w:val="num" w:pos="434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r w:rsidR="006937DF" w:rsidRPr="00D8172E">
        <w:rPr>
          <w:rFonts w:ascii="Times New Roman" w:hAnsi="Times New Roman" w:cs="Times New Roman"/>
          <w:b/>
          <w:bCs/>
          <w:sz w:val="24"/>
          <w:szCs w:val="24"/>
        </w:rPr>
        <w:t>Características da área de pastagem</w:t>
      </w:r>
      <w:bookmarkEnd w:id="7"/>
    </w:p>
    <w:p w14:paraId="5943F0DA" w14:textId="38CCEE8F" w:rsidR="00D8172E" w:rsidRPr="00422C36" w:rsidRDefault="006937DF" w:rsidP="00422C36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172E">
        <w:rPr>
          <w:rFonts w:ascii="Times New Roman" w:hAnsi="Times New Roman" w:cs="Times New Roman"/>
          <w:sz w:val="24"/>
          <w:szCs w:val="24"/>
        </w:rPr>
        <w:t>A área de pastagem ocupa 11,25 hectares tem aproximadamente 40 anos de idade (Marinho Júnior, 2021) e está situada nas coordenadas 11º46’19” S e 49º03’12” W</w:t>
      </w:r>
      <w:r w:rsidR="00422C36">
        <w:rPr>
          <w:rFonts w:ascii="Times New Roman" w:hAnsi="Times New Roman" w:cs="Times New Roman"/>
          <w:sz w:val="24"/>
          <w:szCs w:val="24"/>
        </w:rPr>
        <w:t xml:space="preserve"> </w:t>
      </w:r>
      <w:r w:rsidR="00422C36" w:rsidRPr="00422C36">
        <w:rPr>
          <w:rFonts w:ascii="Times New Roman" w:hAnsi="Times New Roman" w:cs="Times New Roman"/>
          <w:sz w:val="24"/>
          <w:szCs w:val="24"/>
        </w:rPr>
        <w:t>(Figura 4)</w:t>
      </w:r>
      <w:r w:rsidRPr="00D8172E">
        <w:rPr>
          <w:rFonts w:ascii="Times New Roman" w:hAnsi="Times New Roman" w:cs="Times New Roman"/>
          <w:sz w:val="24"/>
          <w:szCs w:val="24"/>
        </w:rPr>
        <w:t xml:space="preserve">. </w:t>
      </w:r>
      <w:bookmarkStart w:id="8" w:name="_Toc189267996"/>
    </w:p>
    <w:p w14:paraId="751B86A6" w14:textId="0A0E14E3" w:rsidR="006937DF" w:rsidRPr="00D8172E" w:rsidRDefault="006937DF" w:rsidP="006937DF">
      <w:pPr>
        <w:jc w:val="both"/>
        <w:rPr>
          <w:bCs/>
        </w:rPr>
      </w:pPr>
      <w:r w:rsidRPr="00D8172E">
        <w:rPr>
          <w:rFonts w:ascii="Times New Roman" w:hAnsi="Times New Roman" w:cs="Times New Roman"/>
          <w:bCs/>
          <w:sz w:val="24"/>
          <w:szCs w:val="24"/>
        </w:rPr>
        <w:t xml:space="preserve">Figura </w:t>
      </w:r>
      <w:r w:rsidRPr="00D8172E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Pr="00D8172E">
        <w:rPr>
          <w:rFonts w:ascii="Times New Roman" w:hAnsi="Times New Roman" w:cs="Times New Roman"/>
          <w:bCs/>
          <w:sz w:val="24"/>
          <w:szCs w:val="24"/>
        </w:rPr>
        <w:instrText xml:space="preserve"> SEQ Figura \* ARABIC </w:instrText>
      </w:r>
      <w:r w:rsidRPr="00D8172E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Pr="00D8172E">
        <w:rPr>
          <w:rFonts w:ascii="Times New Roman" w:hAnsi="Times New Roman" w:cs="Times New Roman"/>
          <w:bCs/>
          <w:sz w:val="24"/>
          <w:szCs w:val="24"/>
        </w:rPr>
        <w:t>4</w:t>
      </w:r>
      <w:r w:rsidRPr="00D8172E">
        <w:rPr>
          <w:rFonts w:ascii="Times New Roman" w:hAnsi="Times New Roman" w:cs="Times New Roman"/>
          <w:sz w:val="24"/>
          <w:szCs w:val="24"/>
        </w:rPr>
        <w:fldChar w:fldCharType="end"/>
      </w:r>
      <w:r w:rsidRPr="00D8172E">
        <w:rPr>
          <w:rFonts w:ascii="Times New Roman" w:hAnsi="Times New Roman" w:cs="Times New Roman"/>
          <w:bCs/>
          <w:sz w:val="24"/>
          <w:szCs w:val="24"/>
        </w:rPr>
        <w:t xml:space="preserve"> – Área de pastagem</w:t>
      </w:r>
      <w:bookmarkEnd w:id="8"/>
    </w:p>
    <w:p w14:paraId="3C0991CE" w14:textId="4D793A62" w:rsidR="006937DF" w:rsidRPr="006937DF" w:rsidRDefault="00D8172E" w:rsidP="00D8172E">
      <w:pPr>
        <w:jc w:val="center"/>
      </w:pPr>
      <w:r>
        <w:rPr>
          <w:noProof/>
        </w:rPr>
        <w:drawing>
          <wp:inline distT="0" distB="0" distL="0" distR="0" wp14:anchorId="652950F9" wp14:editId="7F7A79F6">
            <wp:extent cx="4227932" cy="2371725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755" cy="242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B5D48" w14:textId="5AF815FC" w:rsidR="006937DF" w:rsidRDefault="00D8172E" w:rsidP="00D8172E">
      <w:pPr>
        <w:jc w:val="center"/>
        <w:rPr>
          <w:rFonts w:ascii="Times New Roman" w:hAnsi="Times New Roman" w:cs="Times New Roman"/>
          <w:sz w:val="24"/>
          <w:szCs w:val="24"/>
        </w:rPr>
      </w:pPr>
      <w:r w:rsidRPr="00D8172E">
        <w:rPr>
          <w:rFonts w:ascii="Times New Roman" w:hAnsi="Times New Roman" w:cs="Times New Roman"/>
          <w:sz w:val="24"/>
          <w:szCs w:val="24"/>
        </w:rPr>
        <w:t xml:space="preserve">Fonte: </w:t>
      </w:r>
      <w:r w:rsidR="006937DF" w:rsidRPr="00D8172E">
        <w:rPr>
          <w:rFonts w:ascii="Times New Roman" w:hAnsi="Times New Roman" w:cs="Times New Roman"/>
          <w:sz w:val="24"/>
          <w:szCs w:val="24"/>
        </w:rPr>
        <w:t>(2024)</w:t>
      </w:r>
    </w:p>
    <w:p w14:paraId="7A704DAB" w14:textId="658FD110" w:rsidR="00D8172E" w:rsidRDefault="00D8172E" w:rsidP="00D8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172E">
        <w:rPr>
          <w:rFonts w:ascii="Times New Roman" w:hAnsi="Times New Roman" w:cs="Times New Roman"/>
          <w:sz w:val="24"/>
          <w:szCs w:val="24"/>
        </w:rPr>
        <w:lastRenderedPageBreak/>
        <w:t xml:space="preserve">Apresentando uma cobertura predominante do capim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Andropogon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 sp., além de diversas outras espécies, como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Spalum</w:t>
      </w:r>
      <w:proofErr w:type="spellEnd"/>
      <w:r w:rsidRPr="00D8172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notatum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Eragrostis</w:t>
      </w:r>
      <w:proofErr w:type="spellEnd"/>
      <w:r w:rsidRPr="00D8172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bahiensis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Axonopus</w:t>
      </w:r>
      <w:proofErr w:type="spellEnd"/>
      <w:r w:rsidRPr="00D8172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affinis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Bothriochloa</w:t>
      </w:r>
      <w:proofErr w:type="spellEnd"/>
      <w:r w:rsidRPr="00D8172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laguroides</w:t>
      </w:r>
      <w:proofErr w:type="spellEnd"/>
      <w:r w:rsidRPr="00D8172E">
        <w:rPr>
          <w:rFonts w:ascii="Times New Roman" w:hAnsi="Times New Roman" w:cs="Times New Roman"/>
          <w:i/>
          <w:sz w:val="24"/>
          <w:szCs w:val="24"/>
        </w:rPr>
        <w:t>,</w:t>
      </w:r>
      <w:r w:rsidRPr="00D8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Schizachyrium</w:t>
      </w:r>
      <w:proofErr w:type="spellEnd"/>
      <w:r w:rsidRPr="00D8172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microstachyum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Paspalum</w:t>
      </w:r>
      <w:proofErr w:type="spellEnd"/>
      <w:r w:rsidRPr="00D8172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dilatatum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Sporobolus</w:t>
      </w:r>
      <w:proofErr w:type="spellEnd"/>
      <w:r w:rsidRPr="00D8172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indicus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Rhynchospora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 sp.,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Andropogon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ternatus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Paspalum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plicatulum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Eleocharis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 sp.,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Coelorhachis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selloana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Panicum</w:t>
      </w:r>
      <w:proofErr w:type="spellEnd"/>
      <w:r w:rsidRPr="00D817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72E">
        <w:rPr>
          <w:rFonts w:ascii="Times New Roman" w:hAnsi="Times New Roman" w:cs="Times New Roman"/>
          <w:i/>
          <w:sz w:val="24"/>
          <w:szCs w:val="24"/>
        </w:rPr>
        <w:t>hians</w:t>
      </w:r>
      <w:proofErr w:type="spellEnd"/>
      <w:r w:rsidR="00422C36">
        <w:rPr>
          <w:rFonts w:ascii="Times New Roman" w:hAnsi="Times New Roman" w:cs="Times New Roman"/>
          <w:sz w:val="24"/>
          <w:szCs w:val="24"/>
        </w:rPr>
        <w:t>.</w:t>
      </w:r>
    </w:p>
    <w:p w14:paraId="162F4160" w14:textId="77777777" w:rsidR="00D8172E" w:rsidRPr="00D8172E" w:rsidRDefault="00D8172E" w:rsidP="00D817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A67E01" w14:textId="0CB3B299" w:rsidR="006937DF" w:rsidRPr="00422C36" w:rsidRDefault="00880623" w:rsidP="006937DF">
      <w:pPr>
        <w:tabs>
          <w:tab w:val="num" w:pos="434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189268112"/>
      <w:r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r w:rsidR="006937DF" w:rsidRPr="00422C36">
        <w:rPr>
          <w:rFonts w:ascii="Times New Roman" w:hAnsi="Times New Roman" w:cs="Times New Roman"/>
          <w:b/>
          <w:bCs/>
          <w:sz w:val="24"/>
          <w:szCs w:val="24"/>
        </w:rPr>
        <w:t>Características da área de agricultura</w:t>
      </w:r>
      <w:bookmarkEnd w:id="9"/>
    </w:p>
    <w:p w14:paraId="063CC6F5" w14:textId="77777777" w:rsidR="006937DF" w:rsidRPr="00422C36" w:rsidRDefault="006937DF" w:rsidP="00422C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2C36">
        <w:rPr>
          <w:rFonts w:ascii="Times New Roman" w:hAnsi="Times New Roman" w:cs="Times New Roman"/>
          <w:sz w:val="24"/>
          <w:szCs w:val="24"/>
        </w:rPr>
        <w:t>A área destinada à agricultura abrange 0,95 hectares e está localizada nas coordenadas 11º44’53” S e 49º03’11” W (Figura 5). Para preparar o solo, foram utilizados uma grade niveladora e um arado de discos. O controle de plantas daninhas foi feito por meio de capinas manuais, além da aplicação de herbicidas totais como o glifosato, quando necessário.</w:t>
      </w:r>
    </w:p>
    <w:p w14:paraId="5E0CDCA4" w14:textId="77777777" w:rsidR="006937DF" w:rsidRPr="00422C36" w:rsidRDefault="006937DF" w:rsidP="00422C3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0" w:name="_Toc189267997"/>
      <w:r w:rsidRPr="00422C36">
        <w:rPr>
          <w:rFonts w:ascii="Times New Roman" w:hAnsi="Times New Roman" w:cs="Times New Roman"/>
          <w:bCs/>
          <w:sz w:val="24"/>
          <w:szCs w:val="24"/>
        </w:rPr>
        <w:t xml:space="preserve">Figura </w:t>
      </w:r>
      <w:r w:rsidRPr="00422C36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Pr="00422C36">
        <w:rPr>
          <w:rFonts w:ascii="Times New Roman" w:hAnsi="Times New Roman" w:cs="Times New Roman"/>
          <w:bCs/>
          <w:sz w:val="24"/>
          <w:szCs w:val="24"/>
        </w:rPr>
        <w:instrText xml:space="preserve"> SEQ Figura \* ARABIC </w:instrText>
      </w:r>
      <w:r w:rsidRPr="00422C36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Pr="00422C36">
        <w:rPr>
          <w:rFonts w:ascii="Times New Roman" w:hAnsi="Times New Roman" w:cs="Times New Roman"/>
          <w:bCs/>
          <w:sz w:val="24"/>
          <w:szCs w:val="24"/>
        </w:rPr>
        <w:t>5</w:t>
      </w:r>
      <w:r w:rsidRPr="00422C36">
        <w:rPr>
          <w:rFonts w:ascii="Times New Roman" w:hAnsi="Times New Roman" w:cs="Times New Roman"/>
          <w:sz w:val="24"/>
          <w:szCs w:val="24"/>
        </w:rPr>
        <w:fldChar w:fldCharType="end"/>
      </w:r>
      <w:r w:rsidRPr="00422C36">
        <w:rPr>
          <w:rFonts w:ascii="Times New Roman" w:hAnsi="Times New Roman" w:cs="Times New Roman"/>
          <w:bCs/>
          <w:sz w:val="24"/>
          <w:szCs w:val="24"/>
        </w:rPr>
        <w:t xml:space="preserve"> – Área de agricultura (plantio de milho)</w:t>
      </w:r>
      <w:bookmarkEnd w:id="10"/>
    </w:p>
    <w:p w14:paraId="2E7974D8" w14:textId="40D7E1E2" w:rsidR="006937DF" w:rsidRPr="006937DF" w:rsidRDefault="00422C36" w:rsidP="00422C36">
      <w:pPr>
        <w:jc w:val="center"/>
      </w:pPr>
      <w:r>
        <w:rPr>
          <w:noProof/>
        </w:rPr>
        <w:drawing>
          <wp:inline distT="0" distB="0" distL="0" distR="0" wp14:anchorId="32903355" wp14:editId="6D81C5FD">
            <wp:extent cx="3495675" cy="2432685"/>
            <wp:effectExtent l="0" t="0" r="9525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4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78502D" w14:textId="299C8F5A" w:rsidR="00C920F2" w:rsidRPr="00422C36" w:rsidRDefault="00422C36" w:rsidP="00422C36">
      <w:pPr>
        <w:jc w:val="center"/>
        <w:rPr>
          <w:rFonts w:ascii="Times New Roman" w:hAnsi="Times New Roman" w:cs="Times New Roman"/>
          <w:sz w:val="24"/>
          <w:szCs w:val="24"/>
        </w:rPr>
      </w:pPr>
      <w:r w:rsidRPr="00422C36">
        <w:rPr>
          <w:rFonts w:ascii="Times New Roman" w:hAnsi="Times New Roman" w:cs="Times New Roman"/>
          <w:sz w:val="24"/>
          <w:szCs w:val="24"/>
        </w:rPr>
        <w:t xml:space="preserve">Fonte: </w:t>
      </w:r>
      <w:r w:rsidR="006937DF" w:rsidRPr="00422C36">
        <w:rPr>
          <w:rFonts w:ascii="Times New Roman" w:hAnsi="Times New Roman" w:cs="Times New Roman"/>
          <w:sz w:val="24"/>
          <w:szCs w:val="24"/>
        </w:rPr>
        <w:t>(2024)</w:t>
      </w:r>
      <w:bookmarkStart w:id="11" w:name="_Toc189268113"/>
    </w:p>
    <w:p w14:paraId="7A905EBF" w14:textId="77777777" w:rsidR="00422C36" w:rsidRPr="00422C36" w:rsidRDefault="00422C36" w:rsidP="00422C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2C36">
        <w:rPr>
          <w:rFonts w:ascii="Times New Roman" w:hAnsi="Times New Roman" w:cs="Times New Roman"/>
          <w:sz w:val="24"/>
          <w:szCs w:val="24"/>
        </w:rPr>
        <w:t xml:space="preserve">Essa área foi cultivada por pelo menos seis anos com milho, visando à produção de espigas de milho verde e forragem (Melo </w:t>
      </w:r>
      <w:r w:rsidRPr="00422C36">
        <w:rPr>
          <w:rFonts w:ascii="Times New Roman" w:hAnsi="Times New Roman" w:cs="Times New Roman"/>
          <w:i/>
          <w:sz w:val="24"/>
          <w:szCs w:val="24"/>
        </w:rPr>
        <w:t>et al</w:t>
      </w:r>
      <w:r w:rsidRPr="00422C36">
        <w:rPr>
          <w:rFonts w:ascii="Times New Roman" w:hAnsi="Times New Roman" w:cs="Times New Roman"/>
          <w:sz w:val="24"/>
          <w:szCs w:val="24"/>
        </w:rPr>
        <w:t xml:space="preserve">., 2017). Os plantios aconteciam anualmente entre fevereiro e março, com um espaçamento médio de 0,20 x 0,80 m (Simon </w:t>
      </w:r>
      <w:r w:rsidRPr="00422C36">
        <w:rPr>
          <w:rFonts w:ascii="Times New Roman" w:hAnsi="Times New Roman" w:cs="Times New Roman"/>
          <w:i/>
          <w:sz w:val="24"/>
          <w:szCs w:val="24"/>
        </w:rPr>
        <w:t>et al</w:t>
      </w:r>
      <w:r w:rsidRPr="00422C36">
        <w:rPr>
          <w:rFonts w:ascii="Times New Roman" w:hAnsi="Times New Roman" w:cs="Times New Roman"/>
          <w:sz w:val="24"/>
          <w:szCs w:val="24"/>
        </w:rPr>
        <w:t>., 2016). Para a semeadura, foi utilizada uma plantadeira-</w:t>
      </w:r>
      <w:proofErr w:type="spellStart"/>
      <w:r w:rsidRPr="00422C36">
        <w:rPr>
          <w:rFonts w:ascii="Times New Roman" w:hAnsi="Times New Roman" w:cs="Times New Roman"/>
          <w:sz w:val="24"/>
          <w:szCs w:val="24"/>
        </w:rPr>
        <w:t>adubadeira</w:t>
      </w:r>
      <w:proofErr w:type="spellEnd"/>
      <w:r w:rsidRPr="00422C36">
        <w:rPr>
          <w:rFonts w:ascii="Times New Roman" w:hAnsi="Times New Roman" w:cs="Times New Roman"/>
          <w:sz w:val="24"/>
          <w:szCs w:val="24"/>
        </w:rPr>
        <w:t xml:space="preserve"> manual, que permitia a aplicação de adubo de base.</w:t>
      </w:r>
    </w:p>
    <w:p w14:paraId="0F8FB81B" w14:textId="77777777" w:rsidR="00422C36" w:rsidRPr="00422C36" w:rsidRDefault="00422C36" w:rsidP="00422C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2C36">
        <w:rPr>
          <w:rFonts w:ascii="Times New Roman" w:hAnsi="Times New Roman" w:cs="Times New Roman"/>
          <w:sz w:val="24"/>
          <w:szCs w:val="24"/>
        </w:rPr>
        <w:t xml:space="preserve">Na época da semeadura, os nutrientes aplicados incluíram nitrogênio na forma de sulfato de amônio (45% de N), P na forma de superfosfato triplo (42% de P2O5) e potássio na forma de cloreto de potássio (58% de K2O), correspondendo a 120 kg de N, 170 kg de P e 140 kg de K por hectare. O nitrogênio foi aplicado em duas etapas: 50% aos 25 dias e 50% aos 45 dias após a semeadura (Melo </w:t>
      </w:r>
      <w:r w:rsidRPr="00422C36">
        <w:rPr>
          <w:rFonts w:ascii="Times New Roman" w:hAnsi="Times New Roman" w:cs="Times New Roman"/>
          <w:i/>
          <w:sz w:val="24"/>
          <w:szCs w:val="24"/>
        </w:rPr>
        <w:t>et al</w:t>
      </w:r>
      <w:r w:rsidRPr="00422C36">
        <w:rPr>
          <w:rFonts w:ascii="Times New Roman" w:hAnsi="Times New Roman" w:cs="Times New Roman"/>
          <w:sz w:val="24"/>
          <w:szCs w:val="24"/>
        </w:rPr>
        <w:t>., 2017).</w:t>
      </w:r>
    </w:p>
    <w:p w14:paraId="0350000E" w14:textId="77777777" w:rsidR="00422C36" w:rsidRPr="00422C36" w:rsidRDefault="00422C36" w:rsidP="006937DF">
      <w:pPr>
        <w:jc w:val="both"/>
      </w:pPr>
    </w:p>
    <w:p w14:paraId="60A024DE" w14:textId="1B06EBB0" w:rsidR="006937DF" w:rsidRPr="00422C36" w:rsidRDefault="00880623" w:rsidP="006937D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2.6 </w:t>
      </w:r>
      <w:r w:rsidR="006937DF" w:rsidRPr="00422C36">
        <w:rPr>
          <w:rFonts w:ascii="Times New Roman" w:hAnsi="Times New Roman" w:cs="Times New Roman"/>
          <w:b/>
          <w:sz w:val="24"/>
          <w:szCs w:val="24"/>
        </w:rPr>
        <w:t>Amostragem de solo</w:t>
      </w:r>
      <w:bookmarkEnd w:id="11"/>
    </w:p>
    <w:p w14:paraId="7AB33CE6" w14:textId="0C09A46B" w:rsidR="006937DF" w:rsidRDefault="006937DF" w:rsidP="00422C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2C36">
        <w:rPr>
          <w:rFonts w:ascii="Times New Roman" w:hAnsi="Times New Roman" w:cs="Times New Roman"/>
          <w:sz w:val="24"/>
          <w:szCs w:val="24"/>
        </w:rPr>
        <w:t xml:space="preserve">Para coletar amostras de solo foram selecionadas aleatoriamente nas diferentes áreas: Cerrado </w:t>
      </w:r>
      <w:r w:rsidRPr="00422C36">
        <w:rPr>
          <w:rFonts w:ascii="Times New Roman" w:hAnsi="Times New Roman" w:cs="Times New Roman"/>
          <w:i/>
          <w:sz w:val="24"/>
          <w:szCs w:val="24"/>
        </w:rPr>
        <w:t>sensu stricto</w:t>
      </w:r>
      <w:r w:rsidRPr="00422C36">
        <w:rPr>
          <w:rFonts w:ascii="Times New Roman" w:hAnsi="Times New Roman" w:cs="Times New Roman"/>
          <w:sz w:val="24"/>
          <w:szCs w:val="24"/>
        </w:rPr>
        <w:t xml:space="preserve">, povoamento de </w:t>
      </w:r>
      <w:r w:rsidRPr="00422C36">
        <w:rPr>
          <w:rFonts w:ascii="Times New Roman" w:hAnsi="Times New Roman" w:cs="Times New Roman"/>
          <w:i/>
          <w:sz w:val="24"/>
          <w:szCs w:val="24"/>
        </w:rPr>
        <w:t>Eucalyptus</w:t>
      </w:r>
      <w:r w:rsidRPr="00422C36">
        <w:rPr>
          <w:rFonts w:ascii="Times New Roman" w:hAnsi="Times New Roman" w:cs="Times New Roman"/>
          <w:sz w:val="24"/>
          <w:szCs w:val="24"/>
        </w:rPr>
        <w:t xml:space="preserve"> sp., pastagem natural e área agrícola. Seis trincheiras foram abertas com um gabarito de 70 x 70 cm e 50 cm de profundidade, conforme a </w:t>
      </w:r>
      <w:r w:rsidR="00880623">
        <w:rPr>
          <w:rFonts w:ascii="Times New Roman" w:hAnsi="Times New Roman" w:cs="Times New Roman"/>
          <w:sz w:val="24"/>
          <w:szCs w:val="24"/>
        </w:rPr>
        <w:t>(</w:t>
      </w:r>
      <w:r w:rsidRPr="00422C36">
        <w:rPr>
          <w:rFonts w:ascii="Times New Roman" w:hAnsi="Times New Roman" w:cs="Times New Roman"/>
          <w:sz w:val="24"/>
          <w:szCs w:val="24"/>
        </w:rPr>
        <w:t>Figura 6</w:t>
      </w:r>
      <w:r w:rsidR="00880623">
        <w:rPr>
          <w:rFonts w:ascii="Times New Roman" w:hAnsi="Times New Roman" w:cs="Times New Roman"/>
          <w:sz w:val="24"/>
          <w:szCs w:val="24"/>
        </w:rPr>
        <w:t>)</w:t>
      </w:r>
      <w:r w:rsidRPr="00422C36">
        <w:rPr>
          <w:rFonts w:ascii="Times New Roman" w:hAnsi="Times New Roman" w:cs="Times New Roman"/>
          <w:sz w:val="24"/>
          <w:szCs w:val="24"/>
        </w:rPr>
        <w:t>.</w:t>
      </w:r>
    </w:p>
    <w:p w14:paraId="4C810B86" w14:textId="77777777" w:rsidR="00880623" w:rsidRPr="00422C36" w:rsidRDefault="00880623" w:rsidP="00422C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4BF8E4" w14:textId="21BDF5F8" w:rsidR="006937DF" w:rsidRPr="00880623" w:rsidRDefault="006937DF" w:rsidP="006937D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2" w:name="_Toc189267998"/>
      <w:r w:rsidRPr="00880623">
        <w:rPr>
          <w:rFonts w:ascii="Times New Roman" w:hAnsi="Times New Roman" w:cs="Times New Roman"/>
          <w:bCs/>
          <w:sz w:val="24"/>
          <w:szCs w:val="24"/>
        </w:rPr>
        <w:t xml:space="preserve">Figura </w:t>
      </w:r>
      <w:r w:rsidRPr="00880623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Pr="00880623">
        <w:rPr>
          <w:rFonts w:ascii="Times New Roman" w:hAnsi="Times New Roman" w:cs="Times New Roman"/>
          <w:bCs/>
          <w:sz w:val="24"/>
          <w:szCs w:val="24"/>
        </w:rPr>
        <w:instrText xml:space="preserve"> SEQ Figura \* ARABIC </w:instrText>
      </w:r>
      <w:r w:rsidRPr="00880623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Pr="00880623">
        <w:rPr>
          <w:rFonts w:ascii="Times New Roman" w:hAnsi="Times New Roman" w:cs="Times New Roman"/>
          <w:bCs/>
          <w:sz w:val="24"/>
          <w:szCs w:val="24"/>
        </w:rPr>
        <w:t>6</w:t>
      </w:r>
      <w:r w:rsidRPr="00880623">
        <w:rPr>
          <w:rFonts w:ascii="Times New Roman" w:hAnsi="Times New Roman" w:cs="Times New Roman"/>
          <w:sz w:val="24"/>
          <w:szCs w:val="24"/>
        </w:rPr>
        <w:fldChar w:fldCharType="end"/>
      </w:r>
      <w:r w:rsidRPr="00880623">
        <w:rPr>
          <w:rFonts w:ascii="Times New Roman" w:hAnsi="Times New Roman" w:cs="Times New Roman"/>
          <w:bCs/>
          <w:sz w:val="24"/>
          <w:szCs w:val="24"/>
        </w:rPr>
        <w:t xml:space="preserve"> – Coleta de solo em área de </w:t>
      </w:r>
      <w:bookmarkEnd w:id="12"/>
      <w:r w:rsidRPr="00880623">
        <w:rPr>
          <w:rFonts w:ascii="Times New Roman" w:hAnsi="Times New Roman" w:cs="Times New Roman"/>
          <w:bCs/>
          <w:sz w:val="24"/>
          <w:szCs w:val="24"/>
        </w:rPr>
        <w:t xml:space="preserve">vegetação nativa (Cerrado </w:t>
      </w:r>
      <w:r w:rsidRPr="00880623">
        <w:rPr>
          <w:rFonts w:ascii="Times New Roman" w:hAnsi="Times New Roman" w:cs="Times New Roman"/>
          <w:bCs/>
          <w:i/>
          <w:sz w:val="24"/>
          <w:szCs w:val="24"/>
        </w:rPr>
        <w:t>sensu stricto)</w:t>
      </w:r>
    </w:p>
    <w:p w14:paraId="7E984C18" w14:textId="77777777" w:rsidR="006937DF" w:rsidRPr="006937DF" w:rsidRDefault="006937DF" w:rsidP="00880623">
      <w:pPr>
        <w:jc w:val="center"/>
      </w:pPr>
      <w:r w:rsidRPr="006937DF">
        <w:rPr>
          <w:noProof/>
        </w:rPr>
        <w:drawing>
          <wp:inline distT="0" distB="0" distL="0" distR="0" wp14:anchorId="51F45209" wp14:editId="08247362">
            <wp:extent cx="3790981" cy="2847975"/>
            <wp:effectExtent l="0" t="0" r="0" b="0"/>
            <wp:docPr id="8" name="Imagem 8" descr="Rocha em cima de pedr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Rocha em cima de pedr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801" cy="285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AC2BEE" w14:textId="1954F9A8" w:rsidR="006937DF" w:rsidRPr="00880623" w:rsidRDefault="00880623" w:rsidP="00880623">
      <w:pPr>
        <w:jc w:val="center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 xml:space="preserve">Fonte: </w:t>
      </w:r>
      <w:r w:rsidR="006937DF" w:rsidRPr="00880623">
        <w:rPr>
          <w:rFonts w:ascii="Times New Roman" w:hAnsi="Times New Roman" w:cs="Times New Roman"/>
          <w:sz w:val="24"/>
          <w:szCs w:val="24"/>
        </w:rPr>
        <w:t>(2024)</w:t>
      </w:r>
    </w:p>
    <w:p w14:paraId="6F1E22FF" w14:textId="5A3206EB" w:rsidR="006937DF" w:rsidRDefault="006937DF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>As amostras foram coletadas durante o período seco, nas profundidades: 0-10, 10-20, 20-30, 30-40 e 40-50 cm, sendo a última considerada a camada de impedimento. As amostras deformadas foram secas ao ar em temperatura ambiente e, em seguida, passadas por uma peneira de 2 mm para as análises físicas e químicas. Já as amostras não deformadas foram coletadas separadamente para a determinação da densidade do solo.</w:t>
      </w:r>
    </w:p>
    <w:p w14:paraId="4C404295" w14:textId="77777777" w:rsidR="00880623" w:rsidRPr="00880623" w:rsidRDefault="00880623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319329" w14:textId="50FBA824" w:rsidR="006937DF" w:rsidRPr="00880623" w:rsidRDefault="00880623" w:rsidP="00880623">
      <w:pPr>
        <w:tabs>
          <w:tab w:val="num" w:pos="43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Toc189268114"/>
      <w:r>
        <w:rPr>
          <w:rFonts w:ascii="Times New Roman" w:hAnsi="Times New Roman" w:cs="Times New Roman"/>
          <w:sz w:val="24"/>
          <w:szCs w:val="24"/>
        </w:rPr>
        <w:t xml:space="preserve">2.6.1 </w:t>
      </w:r>
      <w:r w:rsidR="006937DF" w:rsidRPr="00880623">
        <w:rPr>
          <w:rFonts w:ascii="Times New Roman" w:hAnsi="Times New Roman" w:cs="Times New Roman"/>
          <w:sz w:val="24"/>
          <w:szCs w:val="24"/>
        </w:rPr>
        <w:t>Análises físicas</w:t>
      </w:r>
      <w:bookmarkEnd w:id="13"/>
    </w:p>
    <w:p w14:paraId="72E775EA" w14:textId="77777777" w:rsidR="006937DF" w:rsidRPr="00880623" w:rsidRDefault="006937DF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 xml:space="preserve">A distribuição dos tamanhos das partículas do solo nas profundidades de 0-50 cm, foi realizada em amostras deformadas por meio do método da pipeta (Teixeira </w:t>
      </w:r>
      <w:r w:rsidRPr="00880623">
        <w:rPr>
          <w:rFonts w:ascii="Times New Roman" w:hAnsi="Times New Roman" w:cs="Times New Roman"/>
          <w:i/>
          <w:sz w:val="24"/>
          <w:szCs w:val="24"/>
        </w:rPr>
        <w:t>et al</w:t>
      </w:r>
      <w:r w:rsidRPr="00880623">
        <w:rPr>
          <w:rFonts w:ascii="Times New Roman" w:hAnsi="Times New Roman" w:cs="Times New Roman"/>
          <w:sz w:val="24"/>
          <w:szCs w:val="24"/>
        </w:rPr>
        <w:t>., 2017), e apresentaram as seguintes médias para cada área: Eucalipto (areia 631,50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, silte 83,80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 xml:space="preserve"> e argila 284,70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); Agricultura (areia 659,50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, silte 65,60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, argila 274,90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); Pastagem (areia 672,90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, silte 71,00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, argila 256,10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); Cerrado (areia 639,70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, silte 84,70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, argila 275,60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4A3931C" w14:textId="1BD7B390" w:rsidR="006937DF" w:rsidRDefault="006937DF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lastRenderedPageBreak/>
        <w:t xml:space="preserve">Amostras não deformadas foram coletadas e submetidas à análise de densidade do solo (Teixeira </w:t>
      </w:r>
      <w:r w:rsidRPr="00880623">
        <w:rPr>
          <w:rFonts w:ascii="Times New Roman" w:hAnsi="Times New Roman" w:cs="Times New Roman"/>
          <w:i/>
          <w:sz w:val="24"/>
          <w:szCs w:val="24"/>
        </w:rPr>
        <w:t>et al</w:t>
      </w:r>
      <w:r w:rsidRPr="00880623">
        <w:rPr>
          <w:rFonts w:ascii="Times New Roman" w:hAnsi="Times New Roman" w:cs="Times New Roman"/>
          <w:sz w:val="24"/>
          <w:szCs w:val="24"/>
        </w:rPr>
        <w:t>., 2017), e as médias das áreas na profundidade de 0-50 cm foram: Eucalipto (1,57 g cm-3), Agricultura (1,51 g cm-3), Pastagem (1,62 g cm-3) e Cerrado (0,97 g cm-3).</w:t>
      </w:r>
    </w:p>
    <w:p w14:paraId="3D105588" w14:textId="77777777" w:rsidR="00880623" w:rsidRPr="00880623" w:rsidRDefault="00880623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4F71D1" w14:textId="38687EDD" w:rsidR="006937DF" w:rsidRPr="00880623" w:rsidRDefault="00880623" w:rsidP="00880623">
      <w:pPr>
        <w:tabs>
          <w:tab w:val="num" w:pos="434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4" w:name="_Toc189268115"/>
      <w:r w:rsidRPr="00880623">
        <w:rPr>
          <w:rFonts w:ascii="Times New Roman" w:hAnsi="Times New Roman" w:cs="Times New Roman"/>
          <w:sz w:val="24"/>
          <w:szCs w:val="24"/>
        </w:rPr>
        <w:t xml:space="preserve">2.6.2 </w:t>
      </w:r>
      <w:r w:rsidR="006937DF" w:rsidRPr="00880623">
        <w:rPr>
          <w:rFonts w:ascii="Times New Roman" w:hAnsi="Times New Roman" w:cs="Times New Roman"/>
          <w:sz w:val="24"/>
          <w:szCs w:val="24"/>
        </w:rPr>
        <w:t>Análises químicas</w:t>
      </w:r>
      <w:bookmarkEnd w:id="14"/>
    </w:p>
    <w:p w14:paraId="3CCE0DD5" w14:textId="77777777" w:rsidR="006937DF" w:rsidRPr="00880623" w:rsidRDefault="006937DF" w:rsidP="00880623">
      <w:pPr>
        <w:tabs>
          <w:tab w:val="num" w:pos="1080"/>
        </w:tabs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15" w:name="_Hlk212532642"/>
      <w:r w:rsidRPr="00880623">
        <w:rPr>
          <w:rFonts w:ascii="Times New Roman" w:hAnsi="Times New Roman" w:cs="Times New Roman"/>
          <w:i/>
          <w:sz w:val="24"/>
          <w:szCs w:val="24"/>
        </w:rPr>
        <w:t>Determinação do fósforo total no solo</w:t>
      </w:r>
    </w:p>
    <w:bookmarkEnd w:id="15"/>
    <w:p w14:paraId="47F572FB" w14:textId="61707BC9" w:rsidR="006937DF" w:rsidRDefault="006937DF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 xml:space="preserve">O solo foi pesado em 0,5 g, passado em peneira de 150 </w:t>
      </w:r>
      <w:proofErr w:type="spellStart"/>
      <w:r w:rsidRPr="00880623">
        <w:rPr>
          <w:rFonts w:ascii="Times New Roman" w:hAnsi="Times New Roman" w:cs="Times New Roman"/>
          <w:sz w:val="24"/>
          <w:szCs w:val="24"/>
        </w:rPr>
        <w:t>μm</w:t>
      </w:r>
      <w:proofErr w:type="spellEnd"/>
      <w:r w:rsidRPr="00880623">
        <w:rPr>
          <w:rFonts w:ascii="Times New Roman" w:hAnsi="Times New Roman" w:cs="Times New Roman"/>
          <w:sz w:val="24"/>
          <w:szCs w:val="24"/>
        </w:rPr>
        <w:t xml:space="preserve"> (100 </w:t>
      </w:r>
      <w:proofErr w:type="spellStart"/>
      <w:r w:rsidRPr="00880623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880623">
        <w:rPr>
          <w:rFonts w:ascii="Times New Roman" w:hAnsi="Times New Roman" w:cs="Times New Roman"/>
          <w:sz w:val="24"/>
          <w:szCs w:val="24"/>
        </w:rPr>
        <w:t>), depois foi realizado a adição do ácido sulfúrico mais o peróxido de hidrogênio, e colocado em bloco digestor. Através de colorimetria pelo método de Murphy e Riley (1962) foi determinado P total do solo.</w:t>
      </w:r>
    </w:p>
    <w:p w14:paraId="3349BF63" w14:textId="77777777" w:rsidR="00880623" w:rsidRPr="00880623" w:rsidRDefault="00880623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48E66B" w14:textId="77406965" w:rsidR="006937DF" w:rsidRPr="00880623" w:rsidRDefault="006937DF" w:rsidP="00880623">
      <w:pPr>
        <w:tabs>
          <w:tab w:val="num" w:pos="1080"/>
        </w:tabs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16" w:name="_Hlk212532774"/>
      <w:r w:rsidRPr="00880623">
        <w:rPr>
          <w:rFonts w:ascii="Times New Roman" w:hAnsi="Times New Roman" w:cs="Times New Roman"/>
          <w:i/>
          <w:sz w:val="24"/>
          <w:szCs w:val="24"/>
        </w:rPr>
        <w:t xml:space="preserve">Fracionamento das substâncias húmicas e teores </w:t>
      </w:r>
      <w:r w:rsidR="00A34FC2">
        <w:rPr>
          <w:rFonts w:ascii="Times New Roman" w:hAnsi="Times New Roman" w:cs="Times New Roman"/>
          <w:i/>
          <w:sz w:val="24"/>
          <w:szCs w:val="24"/>
        </w:rPr>
        <w:t xml:space="preserve">de fosforo </w:t>
      </w:r>
      <w:r w:rsidRPr="00880623">
        <w:rPr>
          <w:rFonts w:ascii="Times New Roman" w:hAnsi="Times New Roman" w:cs="Times New Roman"/>
          <w:i/>
          <w:sz w:val="24"/>
          <w:szCs w:val="24"/>
        </w:rPr>
        <w:t>em cada fração</w:t>
      </w:r>
    </w:p>
    <w:bookmarkEnd w:id="16"/>
    <w:p w14:paraId="3DBC6B8A" w14:textId="77777777" w:rsidR="006937DF" w:rsidRPr="00880623" w:rsidRDefault="006937DF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 xml:space="preserve">Para extrair as substâncias húmicas, as amostras de solo passaram por um processo de fracionamento seguindo o método da </w:t>
      </w:r>
      <w:proofErr w:type="spellStart"/>
      <w:r w:rsidRPr="00880623">
        <w:rPr>
          <w:rFonts w:ascii="Times New Roman" w:hAnsi="Times New Roman" w:cs="Times New Roman"/>
          <w:sz w:val="24"/>
          <w:szCs w:val="24"/>
        </w:rPr>
        <w:t>International</w:t>
      </w:r>
      <w:proofErr w:type="spellEnd"/>
      <w:r w:rsidRPr="008806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623">
        <w:rPr>
          <w:rFonts w:ascii="Times New Roman" w:hAnsi="Times New Roman" w:cs="Times New Roman"/>
          <w:sz w:val="24"/>
          <w:szCs w:val="24"/>
        </w:rPr>
        <w:t>Humic</w:t>
      </w:r>
      <w:proofErr w:type="spellEnd"/>
      <w:r w:rsidRPr="008806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623">
        <w:rPr>
          <w:rFonts w:ascii="Times New Roman" w:hAnsi="Times New Roman" w:cs="Times New Roman"/>
          <w:sz w:val="24"/>
          <w:szCs w:val="24"/>
        </w:rPr>
        <w:t>Substances</w:t>
      </w:r>
      <w:proofErr w:type="spellEnd"/>
      <w:r w:rsidRPr="00880623">
        <w:rPr>
          <w:rFonts w:ascii="Times New Roman" w:hAnsi="Times New Roman" w:cs="Times New Roman"/>
          <w:sz w:val="24"/>
          <w:szCs w:val="24"/>
        </w:rPr>
        <w:t xml:space="preserve"> Society (IHSS), conforme descrito por SWIFT em 1996. Esse processo resultou na obtenção das frações de ácidos fúlvicos (AF), ácidos húmicos (AH) e </w:t>
      </w:r>
      <w:proofErr w:type="spellStart"/>
      <w:r w:rsidRPr="00880623">
        <w:rPr>
          <w:rFonts w:ascii="Times New Roman" w:hAnsi="Times New Roman" w:cs="Times New Roman"/>
          <w:sz w:val="24"/>
          <w:szCs w:val="24"/>
        </w:rPr>
        <w:t>humina</w:t>
      </w:r>
      <w:proofErr w:type="spellEnd"/>
      <w:r w:rsidRPr="00880623">
        <w:rPr>
          <w:rFonts w:ascii="Times New Roman" w:hAnsi="Times New Roman" w:cs="Times New Roman"/>
          <w:sz w:val="24"/>
          <w:szCs w:val="24"/>
        </w:rPr>
        <w:t xml:space="preserve"> (Hum), baseado na solubilidade em soluções ácidas e alcalinas.</w:t>
      </w:r>
    </w:p>
    <w:p w14:paraId="007670B7" w14:textId="77777777" w:rsidR="006937DF" w:rsidRPr="00880623" w:rsidRDefault="006937DF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>A extração começou com a mistura de 200 gramas de solo com uma solução de HCl a 0,1 mol/L, na proporção de 1 grama de solo para 10 mililitros de solução. Essa mistura foi agitada manualmente por 1 hora e, em seguida, deixada em repouso por 4 horas. O líquido que ficou por cima foi sifonado e reservado, dando origem ao extrato I de ácidos fúlvicos.</w:t>
      </w:r>
    </w:p>
    <w:p w14:paraId="5ACEDF51" w14:textId="77777777" w:rsidR="006937DF" w:rsidRPr="00880623" w:rsidRDefault="006937DF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 xml:space="preserve">Depois disso, adicionou-se uma solução de NaOH a 0,1 mol/L na mesma proporção (1:10) e também foi agitada manualmente. Após essa etapa, a solução foi deixada em repouso por 16 horas. Em seguida, o material que se precipitou foi separado, correspondendo à fração de </w:t>
      </w:r>
      <w:proofErr w:type="spellStart"/>
      <w:r w:rsidRPr="00880623">
        <w:rPr>
          <w:rFonts w:ascii="Times New Roman" w:hAnsi="Times New Roman" w:cs="Times New Roman"/>
          <w:sz w:val="24"/>
          <w:szCs w:val="24"/>
        </w:rPr>
        <w:t>humina</w:t>
      </w:r>
      <w:proofErr w:type="spellEnd"/>
      <w:r w:rsidRPr="00880623">
        <w:rPr>
          <w:rFonts w:ascii="Times New Roman" w:hAnsi="Times New Roman" w:cs="Times New Roman"/>
          <w:sz w:val="24"/>
          <w:szCs w:val="24"/>
        </w:rPr>
        <w:t xml:space="preserve"> e ao material mineral.</w:t>
      </w:r>
    </w:p>
    <w:p w14:paraId="4D5A012A" w14:textId="77777777" w:rsidR="006937DF" w:rsidRPr="00880623" w:rsidRDefault="006937DF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>O sobrenadante, que continha as frações de AF e AH, foi centrifugado por 10 minutos a 10.000 rpm. Depois, acidificou-se essa solução com a adição de 50 mililitros de HCl a 6 mol/L, ajustando o pH para um valor entre 1 e 2, e agitou-se manualmente por dois minutos. Após esse procedimento, a solução foi deixada em repouso por 12 horas. Ao final, o sobrenadante foi desviado, obtendo-se o extrato II de ácidos fúlvicos, enquanto o material precipitado estava relacionado à fração de ácidos húmicos.</w:t>
      </w:r>
    </w:p>
    <w:p w14:paraId="10EB8C4A" w14:textId="77777777" w:rsidR="006937DF" w:rsidRPr="00880623" w:rsidRDefault="006937DF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lastRenderedPageBreak/>
        <w:t>Após o fracionamento das substâncias húmicas, as amostras foram congeladas e liofilizadas para a determinação dos teores de P em cada fração AF, AH e Hum, utilizando o método de colorimetria pelo método de Murphy e Riley (1962).</w:t>
      </w:r>
    </w:p>
    <w:p w14:paraId="573C4049" w14:textId="77777777" w:rsidR="00880623" w:rsidRDefault="00880623" w:rsidP="00880623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0D968A3" w14:textId="07CCCF60" w:rsidR="006937DF" w:rsidRPr="00880623" w:rsidRDefault="006937DF" w:rsidP="00880623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880623">
        <w:rPr>
          <w:rFonts w:ascii="Times New Roman" w:hAnsi="Times New Roman" w:cs="Times New Roman"/>
          <w:i/>
          <w:sz w:val="24"/>
          <w:szCs w:val="24"/>
        </w:rPr>
        <w:t>Determinação dos estoques de fósforo</w:t>
      </w:r>
    </w:p>
    <w:p w14:paraId="4F8FE9AA" w14:textId="77777777" w:rsidR="006937DF" w:rsidRPr="00880623" w:rsidRDefault="006937DF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>A partir das concentrações de P obtidas no solo e em cada uma das frações húmicas, foi possível determinar os estoques no solo e frações húmicas, expresso em microgramas por hectare (Mg ha⁻¹), para cada profundidade amostrada, conforme equação a seguir: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06"/>
        <w:gridCol w:w="5178"/>
        <w:gridCol w:w="1720"/>
      </w:tblGrid>
      <w:tr w:rsidR="006937DF" w:rsidRPr="00880623" w14:paraId="583B6DFF" w14:textId="77777777" w:rsidTr="00881283">
        <w:tc>
          <w:tcPr>
            <w:tcW w:w="1646" w:type="dxa"/>
          </w:tcPr>
          <w:p w14:paraId="5F03FE4A" w14:textId="77777777" w:rsidR="006937DF" w:rsidRPr="00880623" w:rsidRDefault="006937DF" w:rsidP="00693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14:paraId="373F4D6D" w14:textId="77777777" w:rsidR="006937DF" w:rsidRPr="00880623" w:rsidRDefault="006937DF" w:rsidP="00693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0623">
              <w:rPr>
                <w:rFonts w:ascii="Times New Roman" w:hAnsi="Times New Roman" w:cs="Times New Roman"/>
                <w:sz w:val="24"/>
                <w:szCs w:val="24"/>
              </w:rPr>
              <w:t>EstP</w:t>
            </w:r>
            <w:proofErr w:type="spellEnd"/>
            <w:r w:rsidRPr="00880623">
              <w:rPr>
                <w:rFonts w:ascii="Times New Roman" w:hAnsi="Times New Roman" w:cs="Times New Roman"/>
                <w:sz w:val="24"/>
                <w:szCs w:val="24"/>
              </w:rPr>
              <w:t xml:space="preserve"> = TP x D</w:t>
            </w:r>
            <w:r w:rsidRPr="0088062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s</w:t>
            </w:r>
            <w:r w:rsidRPr="00880623">
              <w:rPr>
                <w:rFonts w:ascii="Times New Roman" w:hAnsi="Times New Roman" w:cs="Times New Roman"/>
                <w:sz w:val="24"/>
                <w:szCs w:val="24"/>
              </w:rPr>
              <w:t xml:space="preserve"> x e</w:t>
            </w:r>
          </w:p>
        </w:tc>
        <w:tc>
          <w:tcPr>
            <w:tcW w:w="1764" w:type="dxa"/>
          </w:tcPr>
          <w:p w14:paraId="128A21B2" w14:textId="77777777" w:rsidR="006937DF" w:rsidRPr="00880623" w:rsidRDefault="006937DF" w:rsidP="00693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F7C2A6" w14:textId="77777777" w:rsidR="006937DF" w:rsidRPr="00880623" w:rsidRDefault="006937DF" w:rsidP="008806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 xml:space="preserve">Em que: </w:t>
      </w:r>
    </w:p>
    <w:p w14:paraId="0DF3538B" w14:textId="77777777" w:rsidR="006937DF" w:rsidRPr="00880623" w:rsidRDefault="006937DF" w:rsidP="008806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623">
        <w:rPr>
          <w:rFonts w:ascii="Times New Roman" w:hAnsi="Times New Roman" w:cs="Times New Roman"/>
          <w:sz w:val="24"/>
          <w:szCs w:val="24"/>
        </w:rPr>
        <w:t>EstP</w:t>
      </w:r>
      <w:proofErr w:type="spellEnd"/>
      <w:r w:rsidRPr="00880623">
        <w:rPr>
          <w:rFonts w:ascii="Times New Roman" w:hAnsi="Times New Roman" w:cs="Times New Roman"/>
          <w:sz w:val="24"/>
          <w:szCs w:val="24"/>
        </w:rPr>
        <w:t xml:space="preserve"> = Estoque de P na camada do solo, em Mg ha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;</w:t>
      </w:r>
    </w:p>
    <w:p w14:paraId="4AD8AB13" w14:textId="77777777" w:rsidR="006937DF" w:rsidRPr="00880623" w:rsidRDefault="006937DF" w:rsidP="008806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>TP = Teor de P na fração amostrada de solo, em g kg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880623">
        <w:rPr>
          <w:rFonts w:ascii="Times New Roman" w:hAnsi="Times New Roman" w:cs="Times New Roman"/>
          <w:sz w:val="24"/>
          <w:szCs w:val="24"/>
        </w:rPr>
        <w:t>;</w:t>
      </w:r>
    </w:p>
    <w:p w14:paraId="7527DEDA" w14:textId="77777777" w:rsidR="006937DF" w:rsidRPr="00880623" w:rsidRDefault="006937DF" w:rsidP="008806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>D</w:t>
      </w:r>
      <w:r w:rsidRPr="00880623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880623">
        <w:rPr>
          <w:rFonts w:ascii="Times New Roman" w:hAnsi="Times New Roman" w:cs="Times New Roman"/>
          <w:sz w:val="24"/>
          <w:szCs w:val="24"/>
        </w:rPr>
        <w:t xml:space="preserve"> = Densidade do solo, em g cm</w:t>
      </w:r>
      <w:r w:rsidRPr="00880623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880623">
        <w:rPr>
          <w:rFonts w:ascii="Times New Roman" w:hAnsi="Times New Roman" w:cs="Times New Roman"/>
          <w:sz w:val="24"/>
          <w:szCs w:val="24"/>
        </w:rPr>
        <w:t>;</w:t>
      </w:r>
    </w:p>
    <w:p w14:paraId="159D4111" w14:textId="51521E72" w:rsidR="006937DF" w:rsidRDefault="006937DF" w:rsidP="008806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>e = espessura da camada, em cm.</w:t>
      </w:r>
    </w:p>
    <w:p w14:paraId="5666EDFA" w14:textId="77777777" w:rsidR="00880623" w:rsidRPr="00880623" w:rsidRDefault="00880623" w:rsidP="008806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D5E3FE" w14:textId="69C28838" w:rsidR="006937DF" w:rsidRDefault="006937DF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0623">
        <w:rPr>
          <w:rFonts w:ascii="Times New Roman" w:hAnsi="Times New Roman" w:cs="Times New Roman"/>
          <w:sz w:val="24"/>
          <w:szCs w:val="24"/>
        </w:rPr>
        <w:t>Após o cálculo do estoque de P em cada camada, foi realizada a correção do estoque de P. Por fim, o estoque total de P no solo e nas substâncias húmicas na profundidade de 0 a 50 cm foi resultante da soma dos valores obtidos em cada camada amostrada.</w:t>
      </w:r>
    </w:p>
    <w:p w14:paraId="66F0AE46" w14:textId="77777777" w:rsidR="00880623" w:rsidRPr="00880623" w:rsidRDefault="00880623" w:rsidP="00880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7A2F44" w14:textId="4E39F09F" w:rsidR="00880623" w:rsidRPr="00880623" w:rsidRDefault="00880623" w:rsidP="00A34FC2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bookmarkStart w:id="17" w:name="_Toc189268116"/>
      <w:r w:rsidRPr="00880623">
        <w:rPr>
          <w:rFonts w:ascii="Times New Roman" w:hAnsi="Times New Roman" w:cs="Times New Roman"/>
          <w:bCs/>
          <w:i/>
          <w:sz w:val="24"/>
          <w:szCs w:val="24"/>
        </w:rPr>
        <w:t xml:space="preserve">Determinação do </w:t>
      </w:r>
      <w:r w:rsidR="00A34FC2" w:rsidRPr="00A34FC2">
        <w:rPr>
          <w:rFonts w:ascii="Times New Roman" w:hAnsi="Times New Roman" w:cs="Times New Roman"/>
          <w:bCs/>
          <w:i/>
          <w:sz w:val="24"/>
          <w:szCs w:val="24"/>
        </w:rPr>
        <w:t>Nitrogênio</w:t>
      </w:r>
      <w:r w:rsidRPr="00880623">
        <w:rPr>
          <w:rFonts w:ascii="Times New Roman" w:hAnsi="Times New Roman" w:cs="Times New Roman"/>
          <w:bCs/>
          <w:i/>
          <w:sz w:val="24"/>
          <w:szCs w:val="24"/>
        </w:rPr>
        <w:t xml:space="preserve"> total no solo</w:t>
      </w:r>
    </w:p>
    <w:p w14:paraId="071B0D9E" w14:textId="1AFABE4B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4FC2">
        <w:rPr>
          <w:rFonts w:ascii="Times New Roman" w:hAnsi="Times New Roman" w:cs="Times New Roman"/>
          <w:bCs/>
          <w:sz w:val="24"/>
          <w:szCs w:val="24"/>
        </w:rPr>
        <w:t xml:space="preserve">As amostras de solo deformadas, depois de passadas em peneiras de 2 mm, foram maceradas em almofariz de porcelana e pistilo até formar um pó fino, e passadas em peneira de malha de 150 </w:t>
      </w:r>
      <w:proofErr w:type="spellStart"/>
      <w:r w:rsidRPr="00A34FC2">
        <w:rPr>
          <w:rFonts w:ascii="Times New Roman" w:hAnsi="Times New Roman" w:cs="Times New Roman"/>
          <w:bCs/>
          <w:sz w:val="24"/>
          <w:szCs w:val="24"/>
        </w:rPr>
        <w:t>μm</w:t>
      </w:r>
      <w:proofErr w:type="spellEnd"/>
      <w:r w:rsidRPr="00A34FC2">
        <w:rPr>
          <w:rFonts w:ascii="Times New Roman" w:hAnsi="Times New Roman" w:cs="Times New Roman"/>
          <w:bCs/>
          <w:sz w:val="24"/>
          <w:szCs w:val="24"/>
        </w:rPr>
        <w:t xml:space="preserve">. Os teores de Nitrogênio total - NT total no solo foram determinados através deste material, pelo método de combustão a seco, utilizando analisador elementar (Modelo PE-2400 Série II </w:t>
      </w:r>
      <w:proofErr w:type="spellStart"/>
      <w:r w:rsidRPr="00A34FC2">
        <w:rPr>
          <w:rFonts w:ascii="Times New Roman" w:hAnsi="Times New Roman" w:cs="Times New Roman"/>
          <w:bCs/>
          <w:sz w:val="24"/>
          <w:szCs w:val="24"/>
        </w:rPr>
        <w:t>Perkin</w:t>
      </w:r>
      <w:proofErr w:type="spellEnd"/>
      <w:r w:rsidRPr="00A34FC2">
        <w:rPr>
          <w:rFonts w:ascii="Times New Roman" w:hAnsi="Times New Roman" w:cs="Times New Roman"/>
          <w:bCs/>
          <w:sz w:val="24"/>
          <w:szCs w:val="24"/>
        </w:rPr>
        <w:t xml:space="preserve"> Elmer). </w:t>
      </w:r>
    </w:p>
    <w:p w14:paraId="2062F6E0" w14:textId="77777777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137285" w14:textId="2DA74B39" w:rsidR="00A34FC2" w:rsidRPr="00A34FC2" w:rsidRDefault="00A34FC2" w:rsidP="00A34FC2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A34FC2">
        <w:rPr>
          <w:rFonts w:ascii="Times New Roman" w:hAnsi="Times New Roman" w:cs="Times New Roman"/>
          <w:bCs/>
          <w:i/>
          <w:sz w:val="24"/>
          <w:szCs w:val="24"/>
        </w:rPr>
        <w:t xml:space="preserve">Fracionamento das substâncias húmicas e teores dos </w:t>
      </w:r>
      <w:r w:rsidRPr="00A34FC2">
        <w:rPr>
          <w:rFonts w:ascii="Times New Roman" w:hAnsi="Times New Roman" w:cs="Times New Roman"/>
          <w:bCs/>
          <w:i/>
          <w:sz w:val="24"/>
          <w:szCs w:val="24"/>
        </w:rPr>
        <w:t xml:space="preserve">de Nitrogênio </w:t>
      </w:r>
      <w:r w:rsidRPr="00A34FC2">
        <w:rPr>
          <w:rFonts w:ascii="Times New Roman" w:hAnsi="Times New Roman" w:cs="Times New Roman"/>
          <w:bCs/>
          <w:i/>
          <w:sz w:val="24"/>
          <w:szCs w:val="24"/>
        </w:rPr>
        <w:t>em cada fração</w:t>
      </w:r>
    </w:p>
    <w:p w14:paraId="550166AD" w14:textId="77777777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4FC2">
        <w:rPr>
          <w:rFonts w:ascii="Times New Roman" w:hAnsi="Times New Roman" w:cs="Times New Roman"/>
          <w:bCs/>
          <w:sz w:val="24"/>
          <w:szCs w:val="24"/>
        </w:rPr>
        <w:t xml:space="preserve">Para extração das substâncias húmicas, as amostras de solo foram submetidas ao fracionamento segundo o método da </w:t>
      </w:r>
      <w:proofErr w:type="spellStart"/>
      <w:r w:rsidRPr="00A34FC2">
        <w:rPr>
          <w:rFonts w:ascii="Times New Roman" w:hAnsi="Times New Roman" w:cs="Times New Roman"/>
          <w:bCs/>
          <w:sz w:val="24"/>
          <w:szCs w:val="24"/>
        </w:rPr>
        <w:t>International</w:t>
      </w:r>
      <w:proofErr w:type="spellEnd"/>
      <w:r w:rsidRPr="00A34FC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4FC2">
        <w:rPr>
          <w:rFonts w:ascii="Times New Roman" w:hAnsi="Times New Roman" w:cs="Times New Roman"/>
          <w:bCs/>
          <w:sz w:val="24"/>
          <w:szCs w:val="24"/>
        </w:rPr>
        <w:t>Humic</w:t>
      </w:r>
      <w:proofErr w:type="spellEnd"/>
      <w:r w:rsidRPr="00A34FC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34FC2">
        <w:rPr>
          <w:rFonts w:ascii="Times New Roman" w:hAnsi="Times New Roman" w:cs="Times New Roman"/>
          <w:bCs/>
          <w:sz w:val="24"/>
          <w:szCs w:val="24"/>
        </w:rPr>
        <w:t>Substances</w:t>
      </w:r>
      <w:proofErr w:type="spellEnd"/>
      <w:r w:rsidRPr="00A34FC2">
        <w:rPr>
          <w:rFonts w:ascii="Times New Roman" w:hAnsi="Times New Roman" w:cs="Times New Roman"/>
          <w:bCs/>
          <w:sz w:val="24"/>
          <w:szCs w:val="24"/>
        </w:rPr>
        <w:t xml:space="preserve"> Society - IHSS (SWIFT, 1996), obtendo-se as frações correspondentes aos ácidos fúlvicos - AF, ácidos húmicos - AH e </w:t>
      </w:r>
      <w:proofErr w:type="spellStart"/>
      <w:r w:rsidRPr="00A34FC2">
        <w:rPr>
          <w:rFonts w:ascii="Times New Roman" w:hAnsi="Times New Roman" w:cs="Times New Roman"/>
          <w:bCs/>
          <w:sz w:val="24"/>
          <w:szCs w:val="24"/>
        </w:rPr>
        <w:t>humina</w:t>
      </w:r>
      <w:proofErr w:type="spellEnd"/>
      <w:r w:rsidRPr="00A34FC2">
        <w:rPr>
          <w:rFonts w:ascii="Times New Roman" w:hAnsi="Times New Roman" w:cs="Times New Roman"/>
          <w:bCs/>
          <w:sz w:val="24"/>
          <w:szCs w:val="24"/>
        </w:rPr>
        <w:t xml:space="preserve"> - HUM, com base na solubilidade diferencial em soluções alcalinas e ácidas. Para a extração foi realizada com uma mistura de 200 g de solo com </w:t>
      </w:r>
      <w:r w:rsidRPr="00A34FC2">
        <w:rPr>
          <w:rFonts w:ascii="Times New Roman" w:hAnsi="Times New Roman" w:cs="Times New Roman"/>
          <w:bCs/>
          <w:sz w:val="24"/>
          <w:szCs w:val="24"/>
        </w:rPr>
        <w:lastRenderedPageBreak/>
        <w:t>solução de HCl 0,1 mol L</w:t>
      </w:r>
      <w:r w:rsidRPr="00A34FC2">
        <w:rPr>
          <w:rFonts w:ascii="Times New Roman" w:hAnsi="Times New Roman" w:cs="Times New Roman"/>
          <w:bCs/>
          <w:sz w:val="24"/>
          <w:szCs w:val="24"/>
          <w:vertAlign w:val="superscript"/>
        </w:rPr>
        <w:t>-1</w:t>
      </w:r>
      <w:r w:rsidRPr="00A34FC2">
        <w:rPr>
          <w:rFonts w:ascii="Times New Roman" w:hAnsi="Times New Roman" w:cs="Times New Roman"/>
          <w:bCs/>
          <w:sz w:val="24"/>
          <w:szCs w:val="24"/>
        </w:rPr>
        <w:t xml:space="preserve"> na proporção de 1 g de solo para cada 10 mL de solução, sendo agitada manualmente por 1 hora, ficando depois em repouso por 4 horas.</w:t>
      </w:r>
    </w:p>
    <w:p w14:paraId="31CCD00B" w14:textId="77777777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4FC2">
        <w:rPr>
          <w:rFonts w:ascii="Times New Roman" w:hAnsi="Times New Roman" w:cs="Times New Roman"/>
          <w:bCs/>
          <w:sz w:val="24"/>
          <w:szCs w:val="24"/>
        </w:rPr>
        <w:t>O extrato sobrenadante foi sifonado e reservado, correspondendo ao extrato I de AF. Assim, a solução de NaOH 0,1 mol L</w:t>
      </w:r>
      <w:r w:rsidRPr="00A34FC2">
        <w:rPr>
          <w:rFonts w:ascii="Times New Roman" w:hAnsi="Times New Roman" w:cs="Times New Roman"/>
          <w:bCs/>
          <w:sz w:val="24"/>
          <w:szCs w:val="24"/>
          <w:vertAlign w:val="superscript"/>
        </w:rPr>
        <w:t>-1</w:t>
      </w:r>
      <w:r w:rsidRPr="00A34FC2">
        <w:rPr>
          <w:rFonts w:ascii="Times New Roman" w:hAnsi="Times New Roman" w:cs="Times New Roman"/>
          <w:bCs/>
          <w:sz w:val="24"/>
          <w:szCs w:val="24"/>
        </w:rPr>
        <w:t xml:space="preserve"> foi adicionada e precipitada na mesma proporção citada anteriormente (1:10) e também realizada agitação manual. Após este período, a solução foi deixada em repouso por 16 horas, seguindo na sequência para a nova retirada da mistura, na qual o material precipitado foi separado, correspondendo à fração Hum e fração mineral. </w:t>
      </w:r>
    </w:p>
    <w:p w14:paraId="1955FDA1" w14:textId="77777777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4FC2">
        <w:rPr>
          <w:rFonts w:ascii="Times New Roman" w:hAnsi="Times New Roman" w:cs="Times New Roman"/>
          <w:bCs/>
          <w:sz w:val="24"/>
          <w:szCs w:val="24"/>
        </w:rPr>
        <w:t>O material sobrenadante, referente às frações AF e AH, foi centrifugado por 10 minutos a 10.000 rpm, sendo depois acidificado pela adição de 50 mL de HCl 6 mol L</w:t>
      </w:r>
      <w:r w:rsidRPr="00A34FC2">
        <w:rPr>
          <w:rFonts w:ascii="Times New Roman" w:hAnsi="Times New Roman" w:cs="Times New Roman"/>
          <w:bCs/>
          <w:sz w:val="24"/>
          <w:szCs w:val="24"/>
          <w:vertAlign w:val="superscript"/>
        </w:rPr>
        <w:t>-1</w:t>
      </w:r>
      <w:r w:rsidRPr="00A34FC2">
        <w:rPr>
          <w:rFonts w:ascii="Times New Roman" w:hAnsi="Times New Roman" w:cs="Times New Roman"/>
          <w:bCs/>
          <w:sz w:val="24"/>
          <w:szCs w:val="24"/>
        </w:rPr>
        <w:t xml:space="preserve"> até atingir o valor de pH entre 1 e 2 e agitado manualmente por dois minutos. Após este procedimento, a solução foi deixada em repouso por 12 horas. Por fim, após separação por desvio do sobrenadante, referente ao extrato II de AF, obteve-se o material precipitado que está relacionada à fração de AH.</w:t>
      </w:r>
    </w:p>
    <w:p w14:paraId="12EFD5D8" w14:textId="71DA23B6" w:rsid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4FC2">
        <w:rPr>
          <w:rFonts w:ascii="Times New Roman" w:hAnsi="Times New Roman" w:cs="Times New Roman"/>
          <w:bCs/>
          <w:sz w:val="24"/>
          <w:szCs w:val="24"/>
        </w:rPr>
        <w:t xml:space="preserve">Posteriormente ao fracionamento das substâncias húmicas, as amostras foram congeladas e liofilizadas para determinação dos teores de nitrogênio em cada fração húmica (AF, AH e Hum), a partir do método de combustão a seco, utilizando um analisador elementar (Modelo PE-2400 Série II </w:t>
      </w:r>
      <w:proofErr w:type="spellStart"/>
      <w:r w:rsidRPr="00A34FC2">
        <w:rPr>
          <w:rFonts w:ascii="Times New Roman" w:hAnsi="Times New Roman" w:cs="Times New Roman"/>
          <w:bCs/>
          <w:sz w:val="24"/>
          <w:szCs w:val="24"/>
        </w:rPr>
        <w:t>Perkin</w:t>
      </w:r>
      <w:proofErr w:type="spellEnd"/>
      <w:r w:rsidRPr="00A34FC2">
        <w:rPr>
          <w:rFonts w:ascii="Times New Roman" w:hAnsi="Times New Roman" w:cs="Times New Roman"/>
          <w:bCs/>
          <w:sz w:val="24"/>
          <w:szCs w:val="24"/>
        </w:rPr>
        <w:t xml:space="preserve"> Elmer).</w:t>
      </w:r>
    </w:p>
    <w:p w14:paraId="5898E365" w14:textId="77777777" w:rsidR="00A34FC2" w:rsidRPr="00A34FC2" w:rsidRDefault="00A34FC2" w:rsidP="00A34FC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7ED25F" w14:textId="71605D11" w:rsidR="00A34FC2" w:rsidRPr="00A34FC2" w:rsidRDefault="00A34FC2" w:rsidP="00A34FC2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A34FC2">
        <w:rPr>
          <w:rFonts w:ascii="Times New Roman" w:hAnsi="Times New Roman" w:cs="Times New Roman"/>
          <w:bCs/>
          <w:i/>
          <w:sz w:val="24"/>
          <w:szCs w:val="24"/>
        </w:rPr>
        <w:t xml:space="preserve">Determinação dos estoques de </w:t>
      </w:r>
      <w:r w:rsidRPr="00A34FC2">
        <w:rPr>
          <w:rFonts w:ascii="Times New Roman" w:hAnsi="Times New Roman" w:cs="Times New Roman"/>
          <w:bCs/>
          <w:i/>
          <w:sz w:val="24"/>
          <w:szCs w:val="24"/>
        </w:rPr>
        <w:t xml:space="preserve">Nitrogênio </w:t>
      </w:r>
    </w:p>
    <w:p w14:paraId="028AF2B9" w14:textId="03D0DFC0" w:rsid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4FC2">
        <w:rPr>
          <w:rFonts w:ascii="Times New Roman" w:hAnsi="Times New Roman" w:cs="Times New Roman"/>
          <w:bCs/>
          <w:sz w:val="24"/>
          <w:szCs w:val="24"/>
        </w:rPr>
        <w:t>Após a obter os teores de N pelos métodos citados anteriormente, foi realizada a determinação do estoque N no solo e nas frações húmicas em Mg ha</w:t>
      </w:r>
      <w:r w:rsidRPr="00A34FC2">
        <w:rPr>
          <w:rFonts w:ascii="Times New Roman" w:hAnsi="Times New Roman" w:cs="Times New Roman"/>
          <w:bCs/>
          <w:sz w:val="24"/>
          <w:szCs w:val="24"/>
          <w:vertAlign w:val="superscript"/>
        </w:rPr>
        <w:t>-1</w:t>
      </w:r>
      <w:r w:rsidRPr="00A34FC2">
        <w:rPr>
          <w:rFonts w:ascii="Times New Roman" w:hAnsi="Times New Roman" w:cs="Times New Roman"/>
          <w:bCs/>
          <w:sz w:val="24"/>
          <w:szCs w:val="24"/>
        </w:rPr>
        <w:t>, em cada profundidade amostrada, conforme a equação a seguir:</w:t>
      </w:r>
    </w:p>
    <w:p w14:paraId="7F246A64" w14:textId="77777777" w:rsid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6BD17A" w14:textId="0F5F6055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8" w:name="_Hlk205159231"/>
      <m:oMathPara>
        <m:oMath>
          <m:r>
            <w:rPr>
              <w:rFonts w:ascii="Cambria Math" w:hAnsi="Cambria Math" w:cs="Times New Roman"/>
              <w:sz w:val="24"/>
              <w:szCs w:val="24"/>
            </w:rPr>
            <m:t>Est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TN*Ds*e</m:t>
          </m:r>
        </m:oMath>
      </m:oMathPara>
    </w:p>
    <w:p w14:paraId="1029A527" w14:textId="77777777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9" w:name="_Hlk205159248"/>
      <w:bookmarkEnd w:id="18"/>
      <w:r w:rsidRPr="00A34FC2">
        <w:rPr>
          <w:rFonts w:ascii="Times New Roman" w:hAnsi="Times New Roman" w:cs="Times New Roman"/>
          <w:bCs/>
          <w:sz w:val="24"/>
          <w:szCs w:val="24"/>
        </w:rPr>
        <w:t xml:space="preserve">Em que: </w:t>
      </w:r>
    </w:p>
    <w:p w14:paraId="28B18078" w14:textId="77777777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4FC2">
        <w:rPr>
          <w:rFonts w:ascii="Times New Roman" w:hAnsi="Times New Roman" w:cs="Times New Roman"/>
          <w:bCs/>
          <w:sz w:val="24"/>
          <w:szCs w:val="24"/>
        </w:rPr>
        <w:t>Est(N) = Estoque de N na camada do solo, em Mg ha</w:t>
      </w:r>
      <w:r w:rsidRPr="00A34FC2">
        <w:rPr>
          <w:rFonts w:ascii="Times New Roman" w:hAnsi="Times New Roman" w:cs="Times New Roman"/>
          <w:bCs/>
          <w:sz w:val="24"/>
          <w:szCs w:val="24"/>
          <w:vertAlign w:val="superscript"/>
        </w:rPr>
        <w:t>-1</w:t>
      </w:r>
      <w:r w:rsidRPr="00A34FC2">
        <w:rPr>
          <w:rFonts w:ascii="Times New Roman" w:hAnsi="Times New Roman" w:cs="Times New Roman"/>
          <w:bCs/>
          <w:sz w:val="24"/>
          <w:szCs w:val="24"/>
        </w:rPr>
        <w:t xml:space="preserve">; </w:t>
      </w:r>
    </w:p>
    <w:p w14:paraId="3C9A3105" w14:textId="77777777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4FC2">
        <w:rPr>
          <w:rFonts w:ascii="Times New Roman" w:hAnsi="Times New Roman" w:cs="Times New Roman"/>
          <w:bCs/>
          <w:i/>
          <w:iCs/>
          <w:sz w:val="24"/>
          <w:szCs w:val="24"/>
        </w:rPr>
        <w:t>TN</w:t>
      </w:r>
      <w:r w:rsidRPr="00A34FC2">
        <w:rPr>
          <w:rFonts w:ascii="Times New Roman" w:hAnsi="Times New Roman" w:cs="Times New Roman"/>
          <w:bCs/>
          <w:sz w:val="24"/>
          <w:szCs w:val="24"/>
        </w:rPr>
        <w:t xml:space="preserve"> = Teor de N na fração amostrada de solo, em g kg</w:t>
      </w:r>
      <w:r w:rsidRPr="00A34FC2">
        <w:rPr>
          <w:rFonts w:ascii="Times New Roman" w:hAnsi="Times New Roman" w:cs="Times New Roman"/>
          <w:bCs/>
          <w:sz w:val="24"/>
          <w:szCs w:val="24"/>
          <w:vertAlign w:val="superscript"/>
        </w:rPr>
        <w:t>-1</w:t>
      </w:r>
      <w:r w:rsidRPr="00A34FC2">
        <w:rPr>
          <w:rFonts w:ascii="Times New Roman" w:hAnsi="Times New Roman" w:cs="Times New Roman"/>
          <w:bCs/>
          <w:sz w:val="24"/>
          <w:szCs w:val="24"/>
        </w:rPr>
        <w:t>;</w:t>
      </w:r>
    </w:p>
    <w:p w14:paraId="025753DA" w14:textId="77777777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4FC2">
        <w:rPr>
          <w:rFonts w:ascii="Times New Roman" w:hAnsi="Times New Roman" w:cs="Times New Roman"/>
          <w:bCs/>
          <w:sz w:val="24"/>
          <w:szCs w:val="24"/>
        </w:rPr>
        <w:t>Ds = Densidade do solo, em g cm</w:t>
      </w:r>
      <w:r w:rsidRPr="00A34FC2">
        <w:rPr>
          <w:rFonts w:ascii="Times New Roman" w:hAnsi="Times New Roman" w:cs="Times New Roman"/>
          <w:bCs/>
          <w:sz w:val="24"/>
          <w:szCs w:val="24"/>
          <w:vertAlign w:val="superscript"/>
        </w:rPr>
        <w:t>-3</w:t>
      </w:r>
      <w:r w:rsidRPr="00A34FC2">
        <w:rPr>
          <w:rFonts w:ascii="Times New Roman" w:hAnsi="Times New Roman" w:cs="Times New Roman"/>
          <w:bCs/>
          <w:sz w:val="24"/>
          <w:szCs w:val="24"/>
        </w:rPr>
        <w:t>;</w:t>
      </w:r>
    </w:p>
    <w:p w14:paraId="6B388D29" w14:textId="77777777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4FC2">
        <w:rPr>
          <w:rFonts w:ascii="Times New Roman" w:hAnsi="Times New Roman" w:cs="Times New Roman"/>
          <w:bCs/>
          <w:sz w:val="24"/>
          <w:szCs w:val="24"/>
        </w:rPr>
        <w:t>e = espessura da camada, em cm.</w:t>
      </w:r>
    </w:p>
    <w:bookmarkEnd w:id="19"/>
    <w:p w14:paraId="6DC03867" w14:textId="77777777" w:rsidR="00A34FC2" w:rsidRPr="00A34FC2" w:rsidRDefault="00A34FC2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491ADAE" w14:textId="114BCB2D" w:rsidR="00880623" w:rsidRDefault="00A34FC2" w:rsidP="00A34FC2">
      <w:pPr>
        <w:spacing w:after="0" w:line="360" w:lineRule="auto"/>
        <w:ind w:firstLine="567"/>
        <w:jc w:val="both"/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</w:pPr>
      <w:r w:rsidRPr="00A34FC2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>Após o cálculo do estoque de N em cada camada, foi realizada a correção do estoque de N, levando em consideração as diferenças na massa do solo (SISTI et al., 2004). Sendo assim, o estoque total de N no solo e nas substâncias húmicas na profundidade de</w:t>
      </w:r>
      <w:r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34FC2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>0</w:t>
      </w:r>
      <w:r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 xml:space="preserve"> a </w:t>
      </w:r>
      <w:r w:rsidRPr="00A34FC2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 xml:space="preserve">50 </w:t>
      </w:r>
      <w:r w:rsidRPr="00A34FC2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lastRenderedPageBreak/>
        <w:t>cm, sendo a última considerada a camada de impedimento</w:t>
      </w:r>
      <w:r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34FC2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>foi resultante da soma dos valores obtidos em cada camada amostrada.</w:t>
      </w:r>
    </w:p>
    <w:p w14:paraId="23BE4668" w14:textId="77777777" w:rsidR="00A34FC2" w:rsidRPr="00A34FC2" w:rsidRDefault="00A34FC2" w:rsidP="00A34FC2">
      <w:pPr>
        <w:spacing w:after="0" w:line="360" w:lineRule="auto"/>
        <w:ind w:firstLine="567"/>
        <w:jc w:val="both"/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</w:pPr>
    </w:p>
    <w:p w14:paraId="449877AA" w14:textId="6C27BD51" w:rsidR="006937DF" w:rsidRPr="00A34FC2" w:rsidRDefault="00A34FC2" w:rsidP="006937D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2.7 </w:t>
      </w:r>
      <w:r w:rsidR="006937DF" w:rsidRPr="00A34FC2">
        <w:rPr>
          <w:rFonts w:ascii="Times New Roman" w:hAnsi="Times New Roman" w:cs="Times New Roman"/>
          <w:b/>
          <w:sz w:val="24"/>
          <w:szCs w:val="24"/>
        </w:rPr>
        <w:t>Análises estatísticas</w:t>
      </w:r>
      <w:bookmarkEnd w:id="17"/>
    </w:p>
    <w:p w14:paraId="5F98B6BB" w14:textId="1F3153FE" w:rsidR="006937DF" w:rsidRPr="00A34FC2" w:rsidRDefault="006937DF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FC2">
        <w:rPr>
          <w:rFonts w:ascii="Times New Roman" w:hAnsi="Times New Roman" w:cs="Times New Roman"/>
          <w:sz w:val="24"/>
          <w:szCs w:val="24"/>
        </w:rPr>
        <w:t xml:space="preserve">Os parâmetros avaliados passaram pelos testes de normalidade de Shapiro Wilk, em seguida, foram submetidos a uma análise de variância para avaliar as diferenças entre os usos da terra e profundidades. A comparação das médias foi realizada pelo teste de </w:t>
      </w:r>
      <w:proofErr w:type="spellStart"/>
      <w:r w:rsidRPr="00A34FC2">
        <w:rPr>
          <w:rFonts w:ascii="Times New Roman" w:hAnsi="Times New Roman" w:cs="Times New Roman"/>
          <w:sz w:val="24"/>
          <w:szCs w:val="24"/>
        </w:rPr>
        <w:t>Tukey</w:t>
      </w:r>
      <w:proofErr w:type="spellEnd"/>
      <w:r w:rsidRPr="00A34FC2">
        <w:rPr>
          <w:rFonts w:ascii="Times New Roman" w:hAnsi="Times New Roman" w:cs="Times New Roman"/>
          <w:sz w:val="24"/>
          <w:szCs w:val="24"/>
        </w:rPr>
        <w:t xml:space="preserve"> a 5% de significância e utilizado o software estatístico SISVAR (Ferreira, 2011).</w:t>
      </w:r>
    </w:p>
    <w:p w14:paraId="4DE1F5FC" w14:textId="77777777" w:rsidR="006937DF" w:rsidRPr="00A34FC2" w:rsidRDefault="006937DF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4C4D0F" w14:textId="2FDA134E" w:rsidR="00526AB1" w:rsidRPr="00A34FC2" w:rsidRDefault="00526AB1" w:rsidP="00A34FC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4FC2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42760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A34FC2">
        <w:rPr>
          <w:rFonts w:ascii="Times New Roman" w:hAnsi="Times New Roman" w:cs="Times New Roman"/>
          <w:b/>
          <w:bCs/>
          <w:sz w:val="24"/>
          <w:szCs w:val="24"/>
        </w:rPr>
        <w:t xml:space="preserve"> Modelagem </w:t>
      </w:r>
      <w:r w:rsidR="00FB797E" w:rsidRPr="00A34FC2">
        <w:rPr>
          <w:rFonts w:ascii="Times New Roman" w:hAnsi="Times New Roman" w:cs="Times New Roman"/>
          <w:b/>
          <w:bCs/>
          <w:sz w:val="24"/>
          <w:szCs w:val="24"/>
        </w:rPr>
        <w:t>Proposta</w:t>
      </w:r>
    </w:p>
    <w:p w14:paraId="0FD78AA4" w14:textId="54404CB1" w:rsidR="00511307" w:rsidRDefault="004F2647" w:rsidP="00A34FC2">
      <w:pPr>
        <w:pStyle w:val="p1"/>
        <w:spacing w:before="0" w:beforeAutospacing="0" w:after="0" w:afterAutospacing="0" w:line="360" w:lineRule="auto"/>
        <w:ind w:firstLine="709"/>
        <w:jc w:val="both"/>
        <w:divId w:val="1925383173"/>
        <w:rPr>
          <w:rStyle w:val="s1"/>
        </w:rPr>
      </w:pPr>
      <w:bookmarkStart w:id="20" w:name="_Hlk212529109"/>
      <w:r w:rsidRPr="00A34FC2">
        <w:rPr>
          <w:color w:val="000000" w:themeColor="text1"/>
        </w:rPr>
        <w:t>O presente estudo teve como objetivo avaliar o funcionamento biogeoquímico do solo em sistemas contrastantes de uso da terra, com ênfase na dinâmica funcional dos elementos nitrogênio (N) e fósforo (P), integrando suas formas lábeis e húmicas aos estoques totais. Para isso, foram adotadas duas abordagens complementares: a modelagem por equações estruturais com mínimos quadrados parciais (PLS-SEM) e um sistema de inferência fuzzy do tipo Mamdani, destinado à construção de um</w:t>
      </w:r>
      <w:r w:rsidR="00742760">
        <w:rPr>
          <w:color w:val="000000" w:themeColor="text1"/>
        </w:rPr>
        <w:t xml:space="preserve"> </w:t>
      </w:r>
      <w:r w:rsidR="00511307" w:rsidRPr="00A34FC2">
        <w:rPr>
          <w:rStyle w:val="s1"/>
        </w:rPr>
        <w:t>Índice Fuzzy de Sustentabilidade Edáfica</w:t>
      </w:r>
      <w:r w:rsidR="00742760">
        <w:rPr>
          <w:rStyle w:val="s1"/>
        </w:rPr>
        <w:t>.</w:t>
      </w:r>
    </w:p>
    <w:bookmarkEnd w:id="20"/>
    <w:p w14:paraId="22641AE1" w14:textId="77777777" w:rsidR="00742760" w:rsidRDefault="00742760" w:rsidP="00742760">
      <w:pPr>
        <w:spacing w:after="0" w:line="360" w:lineRule="auto"/>
        <w:jc w:val="both"/>
        <w:divId w:val="98916653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03CF5E1" w14:textId="0D76D207" w:rsidR="004F2647" w:rsidRPr="00742760" w:rsidRDefault="00742760" w:rsidP="00742760">
      <w:pPr>
        <w:spacing w:after="0" w:line="360" w:lineRule="auto"/>
        <w:jc w:val="both"/>
        <w:divId w:val="989166537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pt-BR"/>
          <w14:ligatures w14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2.8.1 </w:t>
      </w:r>
      <w:r w:rsidR="00D3680A" w:rsidRPr="0074276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pt-BR"/>
          <w14:ligatures w14:val="none"/>
        </w:rPr>
        <w:t>Fuzzy Edaphic Sustainability Index (FESI)</w:t>
      </w:r>
    </w:p>
    <w:p w14:paraId="36C2AF79" w14:textId="77777777" w:rsidR="009D5C38" w:rsidRPr="00A34FC2" w:rsidRDefault="00A53A1A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FC2">
        <w:rPr>
          <w:rFonts w:ascii="Times New Roman" w:hAnsi="Times New Roman" w:cs="Times New Roman"/>
          <w:sz w:val="24"/>
          <w:szCs w:val="24"/>
        </w:rPr>
        <w:t>M</w:t>
      </w:r>
      <w:r w:rsidR="004F2647" w:rsidRPr="00A34FC2">
        <w:rPr>
          <w:rFonts w:ascii="Times New Roman" w:hAnsi="Times New Roman" w:cs="Times New Roman"/>
          <w:sz w:val="24"/>
          <w:szCs w:val="24"/>
        </w:rPr>
        <w:t>odelagem PLS-SEM foi empregada com o propósito de explicitar relações causais latentes entre os compartimentos de N e P, testando a hipótese de que formas mais biodisponíveis (lábil) e formas mais estabilizadas (húmicas) contribuem de modo distinto para os estoques totais desses nutrientes no solo. Essa análise foi baseada em um modelo estrutural com dois blocos independentes (N e P). Para isso, foi utilizado o</w:t>
      </w:r>
      <w:r w:rsidR="00526AB1" w:rsidRPr="00A34FC2">
        <w:rPr>
          <w:rFonts w:ascii="Times New Roman" w:hAnsi="Times New Roman" w:cs="Times New Roman"/>
          <w:sz w:val="24"/>
          <w:szCs w:val="24"/>
        </w:rPr>
        <w:t xml:space="preserve"> pacote </w:t>
      </w:r>
      <w:proofErr w:type="spellStart"/>
      <w:r w:rsidR="00526AB1" w:rsidRPr="00A34FC2">
        <w:rPr>
          <w:rFonts w:ascii="Times New Roman" w:hAnsi="Times New Roman" w:cs="Times New Roman"/>
          <w:sz w:val="24"/>
          <w:szCs w:val="24"/>
        </w:rPr>
        <w:t>seminr</w:t>
      </w:r>
      <w:proofErr w:type="spellEnd"/>
      <w:r w:rsidR="00526AB1" w:rsidRPr="00A34FC2">
        <w:rPr>
          <w:rFonts w:ascii="Times New Roman" w:hAnsi="Times New Roman" w:cs="Times New Roman"/>
          <w:sz w:val="24"/>
          <w:szCs w:val="24"/>
        </w:rPr>
        <w:t>, que operacionaliza a estimação baseada em amostragem por caminhos iterativos. O modelo foi estruturado com dois blocos principais: (i) Modelo de mensuração (</w:t>
      </w:r>
      <w:proofErr w:type="spellStart"/>
      <w:r w:rsidR="00526AB1" w:rsidRPr="00A34FC2">
        <w:rPr>
          <w:rFonts w:ascii="Times New Roman" w:hAnsi="Times New Roman" w:cs="Times New Roman"/>
          <w:sz w:val="24"/>
          <w:szCs w:val="24"/>
        </w:rPr>
        <w:t>outer</w:t>
      </w:r>
      <w:proofErr w:type="spellEnd"/>
      <w:r w:rsidR="00526AB1" w:rsidRPr="00A34FC2">
        <w:rPr>
          <w:rFonts w:ascii="Times New Roman" w:hAnsi="Times New Roman" w:cs="Times New Roman"/>
          <w:sz w:val="24"/>
          <w:szCs w:val="24"/>
        </w:rPr>
        <w:t xml:space="preserve"> model) e (</w:t>
      </w:r>
      <w:proofErr w:type="spellStart"/>
      <w:r w:rsidR="00526AB1" w:rsidRPr="00A34FC2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="00526AB1" w:rsidRPr="00A34FC2">
        <w:rPr>
          <w:rFonts w:ascii="Times New Roman" w:hAnsi="Times New Roman" w:cs="Times New Roman"/>
          <w:sz w:val="24"/>
          <w:szCs w:val="24"/>
        </w:rPr>
        <w:t>) Modelo estrutural (</w:t>
      </w:r>
      <w:proofErr w:type="spellStart"/>
      <w:r w:rsidR="00526AB1" w:rsidRPr="00A34FC2">
        <w:rPr>
          <w:rFonts w:ascii="Times New Roman" w:hAnsi="Times New Roman" w:cs="Times New Roman"/>
          <w:sz w:val="24"/>
          <w:szCs w:val="24"/>
        </w:rPr>
        <w:t>inner</w:t>
      </w:r>
      <w:proofErr w:type="spellEnd"/>
      <w:r w:rsidR="00526AB1" w:rsidRPr="00A34FC2">
        <w:rPr>
          <w:rFonts w:ascii="Times New Roman" w:hAnsi="Times New Roman" w:cs="Times New Roman"/>
          <w:sz w:val="24"/>
          <w:szCs w:val="24"/>
        </w:rPr>
        <w:t xml:space="preserve"> model).</w:t>
      </w:r>
    </w:p>
    <w:p w14:paraId="369CA661" w14:textId="77777777" w:rsidR="009D5C38" w:rsidRPr="00A34FC2" w:rsidRDefault="00305694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FC2">
        <w:rPr>
          <w:rFonts w:ascii="Times New Roman" w:hAnsi="Times New Roman" w:cs="Times New Roman"/>
          <w:sz w:val="24"/>
          <w:szCs w:val="24"/>
        </w:rPr>
        <w:t xml:space="preserve">A construção do </w:t>
      </w:r>
      <w:r w:rsidR="00454957" w:rsidRPr="00A34FC2">
        <w:rPr>
          <w:rFonts w:ascii="Times New Roman" w:hAnsi="Times New Roman" w:cs="Times New Roman"/>
          <w:sz w:val="24"/>
          <w:szCs w:val="24"/>
        </w:rPr>
        <w:t>Modelo de mensuração (</w:t>
      </w:r>
      <w:proofErr w:type="spellStart"/>
      <w:r w:rsidR="00454957" w:rsidRPr="00A34FC2">
        <w:rPr>
          <w:rFonts w:ascii="Times New Roman" w:hAnsi="Times New Roman" w:cs="Times New Roman"/>
          <w:i/>
          <w:iCs/>
          <w:sz w:val="24"/>
          <w:szCs w:val="24"/>
        </w:rPr>
        <w:t>outer</w:t>
      </w:r>
      <w:proofErr w:type="spellEnd"/>
      <w:r w:rsidR="00454957" w:rsidRPr="00A34FC2">
        <w:rPr>
          <w:rFonts w:ascii="Times New Roman" w:hAnsi="Times New Roman" w:cs="Times New Roman"/>
          <w:i/>
          <w:iCs/>
          <w:sz w:val="24"/>
          <w:szCs w:val="24"/>
        </w:rPr>
        <w:t xml:space="preserve"> model</w:t>
      </w:r>
      <w:r w:rsidR="00454957" w:rsidRPr="00A34FC2">
        <w:rPr>
          <w:rFonts w:ascii="Times New Roman" w:hAnsi="Times New Roman" w:cs="Times New Roman"/>
          <w:sz w:val="24"/>
          <w:szCs w:val="24"/>
        </w:rPr>
        <w:t xml:space="preserve">) </w:t>
      </w:r>
      <w:r w:rsidRPr="00A34FC2">
        <w:rPr>
          <w:rFonts w:ascii="Times New Roman" w:hAnsi="Times New Roman" w:cs="Times New Roman"/>
          <w:sz w:val="24"/>
          <w:szCs w:val="24"/>
        </w:rPr>
        <w:t>considerou cada variável latente (N</w:t>
      </w:r>
      <w:r w:rsidR="00E770A3" w:rsidRPr="00A34FC2">
        <w:rPr>
          <w:rFonts w:ascii="Times New Roman" w:hAnsi="Times New Roman" w:cs="Times New Roman"/>
          <w:sz w:val="24"/>
          <w:szCs w:val="24"/>
        </w:rPr>
        <w:t xml:space="preserve"> </w:t>
      </w:r>
      <w:r w:rsidRPr="00A34FC2">
        <w:rPr>
          <w:rFonts w:ascii="Times New Roman" w:hAnsi="Times New Roman" w:cs="Times New Roman"/>
          <w:sz w:val="24"/>
          <w:szCs w:val="24"/>
        </w:rPr>
        <w:t>lábil, N</w:t>
      </w:r>
      <w:r w:rsidR="00E770A3" w:rsidRPr="00A34FC2">
        <w:rPr>
          <w:rFonts w:ascii="Times New Roman" w:hAnsi="Times New Roman" w:cs="Times New Roman"/>
          <w:sz w:val="24"/>
          <w:szCs w:val="24"/>
        </w:rPr>
        <w:t xml:space="preserve"> </w:t>
      </w:r>
      <w:r w:rsidRPr="00A34FC2">
        <w:rPr>
          <w:rFonts w:ascii="Times New Roman" w:hAnsi="Times New Roman" w:cs="Times New Roman"/>
          <w:sz w:val="24"/>
          <w:szCs w:val="24"/>
        </w:rPr>
        <w:t>húmico, P</w:t>
      </w:r>
      <w:r w:rsidR="00E770A3" w:rsidRPr="00A34FC2">
        <w:rPr>
          <w:rFonts w:ascii="Times New Roman" w:hAnsi="Times New Roman" w:cs="Times New Roman"/>
          <w:sz w:val="24"/>
          <w:szCs w:val="24"/>
        </w:rPr>
        <w:t xml:space="preserve"> </w:t>
      </w:r>
      <w:r w:rsidRPr="00A34FC2">
        <w:rPr>
          <w:rFonts w:ascii="Times New Roman" w:hAnsi="Times New Roman" w:cs="Times New Roman"/>
          <w:sz w:val="24"/>
          <w:szCs w:val="24"/>
        </w:rPr>
        <w:t>lábil e P</w:t>
      </w:r>
      <w:r w:rsidR="00E770A3" w:rsidRPr="00A34FC2">
        <w:rPr>
          <w:rFonts w:ascii="Times New Roman" w:hAnsi="Times New Roman" w:cs="Times New Roman"/>
          <w:sz w:val="24"/>
          <w:szCs w:val="24"/>
        </w:rPr>
        <w:t xml:space="preserve"> </w:t>
      </w:r>
      <w:r w:rsidRPr="00A34FC2">
        <w:rPr>
          <w:rFonts w:ascii="Times New Roman" w:hAnsi="Times New Roman" w:cs="Times New Roman"/>
          <w:sz w:val="24"/>
          <w:szCs w:val="24"/>
        </w:rPr>
        <w:t>húmico) como composta por indicadores únicos, representando médias normalizadas de frações específicas de N e P. Já o modelo estrutural definiu os caminhos causais partindo das formas funcionais para os estoques totais de nitrogênio e fósforo (N</w:t>
      </w:r>
      <w:r w:rsidR="00E770A3" w:rsidRPr="00A34FC2">
        <w:rPr>
          <w:rFonts w:ascii="Times New Roman" w:hAnsi="Times New Roman" w:cs="Times New Roman"/>
          <w:sz w:val="24"/>
          <w:szCs w:val="24"/>
        </w:rPr>
        <w:t xml:space="preserve"> </w:t>
      </w:r>
      <w:r w:rsidRPr="00A34FC2">
        <w:rPr>
          <w:rFonts w:ascii="Times New Roman" w:hAnsi="Times New Roman" w:cs="Times New Roman"/>
          <w:sz w:val="24"/>
          <w:szCs w:val="24"/>
        </w:rPr>
        <w:t>total e P</w:t>
      </w:r>
      <w:r w:rsidR="00E770A3" w:rsidRPr="00A34FC2">
        <w:rPr>
          <w:rFonts w:ascii="Times New Roman" w:hAnsi="Times New Roman" w:cs="Times New Roman"/>
          <w:sz w:val="24"/>
          <w:szCs w:val="24"/>
        </w:rPr>
        <w:t xml:space="preserve"> </w:t>
      </w:r>
      <w:r w:rsidRPr="00A34FC2">
        <w:rPr>
          <w:rFonts w:ascii="Times New Roman" w:hAnsi="Times New Roman" w:cs="Times New Roman"/>
          <w:sz w:val="24"/>
          <w:szCs w:val="24"/>
        </w:rPr>
        <w:t>total), de forma a estimar o peso relativo de cada fração funcional na explicação da variabilidade observada nos estoques.</w:t>
      </w:r>
    </w:p>
    <w:p w14:paraId="3F51BB00" w14:textId="58150CA4" w:rsidR="009D5C38" w:rsidRPr="00A34FC2" w:rsidRDefault="00305694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FC2">
        <w:rPr>
          <w:rFonts w:ascii="Times New Roman" w:hAnsi="Times New Roman" w:cs="Times New Roman"/>
          <w:sz w:val="24"/>
          <w:szCs w:val="24"/>
        </w:rPr>
        <w:lastRenderedPageBreak/>
        <w:t xml:space="preserve">Como etapa subsequente e complementar à modelagem estrutural, buscou-se integrar os atributos funcionais de N e P às propriedades físicas do solo, com ênfase na densidade aparente (Ds), por meio de um sistema de inferência fuzzy Mamdani. Esse sistema teve como objetivo derivar um </w:t>
      </w:r>
      <w:r w:rsidR="00D06387" w:rsidRPr="00A34FC2">
        <w:rPr>
          <w:rFonts w:ascii="Times New Roman" w:hAnsi="Times New Roman" w:cs="Times New Roman"/>
          <w:sz w:val="24"/>
          <w:szCs w:val="24"/>
        </w:rPr>
        <w:t>Índice de Sustentação Nutricional Fuzzy</w:t>
      </w:r>
      <w:r w:rsidRPr="00A34FC2">
        <w:rPr>
          <w:rFonts w:ascii="Times New Roman" w:hAnsi="Times New Roman" w:cs="Times New Roman"/>
          <w:sz w:val="24"/>
          <w:szCs w:val="24"/>
        </w:rPr>
        <w:t xml:space="preserve"> (</w:t>
      </w:r>
      <w:r w:rsidR="006241BE" w:rsidRPr="00A34FC2">
        <w:rPr>
          <w:rFonts w:ascii="Times New Roman" w:hAnsi="Times New Roman" w:cs="Times New Roman"/>
          <w:sz w:val="24"/>
          <w:szCs w:val="24"/>
        </w:rPr>
        <w:t>FSNSI</w:t>
      </w:r>
      <w:r w:rsidRPr="00A34FC2">
        <w:rPr>
          <w:rFonts w:ascii="Times New Roman" w:hAnsi="Times New Roman" w:cs="Times New Roman"/>
          <w:sz w:val="24"/>
          <w:szCs w:val="24"/>
        </w:rPr>
        <w:t>), capaz de sintetizar a funcionalidade edáfica em termos de disponibilidade de nutrientes e qualidade estrutural do solo sob diferentes usos da terra.</w:t>
      </w:r>
    </w:p>
    <w:p w14:paraId="59CCC30C" w14:textId="14441918" w:rsidR="00526AB1" w:rsidRDefault="00454957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FC2">
        <w:rPr>
          <w:rFonts w:ascii="Times New Roman" w:hAnsi="Times New Roman" w:cs="Times New Roman"/>
          <w:sz w:val="24"/>
          <w:szCs w:val="24"/>
        </w:rPr>
        <w:t>Já</w:t>
      </w:r>
      <w:r w:rsidR="009517F5" w:rsidRPr="00A34FC2">
        <w:rPr>
          <w:rFonts w:ascii="Times New Roman" w:hAnsi="Times New Roman" w:cs="Times New Roman"/>
          <w:sz w:val="24"/>
          <w:szCs w:val="24"/>
        </w:rPr>
        <w:t xml:space="preserve"> </w:t>
      </w:r>
      <w:r w:rsidRPr="00A34FC2">
        <w:rPr>
          <w:rFonts w:ascii="Times New Roman" w:hAnsi="Times New Roman" w:cs="Times New Roman"/>
          <w:sz w:val="24"/>
          <w:szCs w:val="24"/>
        </w:rPr>
        <w:t xml:space="preserve">o </w:t>
      </w:r>
      <w:r w:rsidR="00526AB1" w:rsidRPr="00A34FC2">
        <w:rPr>
          <w:rFonts w:ascii="Times New Roman" w:hAnsi="Times New Roman" w:cs="Times New Roman"/>
          <w:sz w:val="24"/>
          <w:szCs w:val="24"/>
        </w:rPr>
        <w:t>Modelo estrutural (</w:t>
      </w:r>
      <w:proofErr w:type="spellStart"/>
      <w:r w:rsidR="00526AB1" w:rsidRPr="00A34FC2">
        <w:rPr>
          <w:rFonts w:ascii="Times New Roman" w:hAnsi="Times New Roman" w:cs="Times New Roman"/>
          <w:i/>
          <w:iCs/>
          <w:sz w:val="24"/>
          <w:szCs w:val="24"/>
        </w:rPr>
        <w:t>inner</w:t>
      </w:r>
      <w:proofErr w:type="spellEnd"/>
      <w:r w:rsidR="00526AB1" w:rsidRPr="00A34FC2">
        <w:rPr>
          <w:rFonts w:ascii="Times New Roman" w:hAnsi="Times New Roman" w:cs="Times New Roman"/>
          <w:i/>
          <w:iCs/>
          <w:sz w:val="24"/>
          <w:szCs w:val="24"/>
        </w:rPr>
        <w:t xml:space="preserve"> model</w:t>
      </w:r>
      <w:r w:rsidR="00526AB1" w:rsidRPr="00A34FC2">
        <w:rPr>
          <w:rFonts w:ascii="Times New Roman" w:hAnsi="Times New Roman" w:cs="Times New Roman"/>
          <w:sz w:val="24"/>
          <w:szCs w:val="24"/>
        </w:rPr>
        <w:t>) descreve</w:t>
      </w:r>
      <w:r w:rsidRPr="00A34FC2">
        <w:rPr>
          <w:rFonts w:ascii="Times New Roman" w:hAnsi="Times New Roman" w:cs="Times New Roman"/>
          <w:sz w:val="24"/>
          <w:szCs w:val="24"/>
        </w:rPr>
        <w:t>u</w:t>
      </w:r>
      <w:r w:rsidR="00526AB1" w:rsidRPr="00A34FC2">
        <w:rPr>
          <w:rFonts w:ascii="Times New Roman" w:hAnsi="Times New Roman" w:cs="Times New Roman"/>
          <w:sz w:val="24"/>
          <w:szCs w:val="24"/>
        </w:rPr>
        <w:t xml:space="preserve"> as relações direcionais entre os construtos latentes. Foram testadas as hipóteses de que as formas lábeis e húmicas de nitrogênio e fósforo contribuem significativamente para seus respectivos estoques totais no solo. Assim, foram especificados os seguintes caminhos causais:</w:t>
      </w:r>
    </w:p>
    <w:p w14:paraId="138374FB" w14:textId="77777777" w:rsidR="00742760" w:rsidRPr="00A34FC2" w:rsidRDefault="00742760" w:rsidP="00A34F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1C1BFA" w14:textId="77777777" w:rsidR="001457B8" w:rsidRPr="00742760" w:rsidRDefault="00F86F72" w:rsidP="004844B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á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bil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ú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</m:t>
                  </m:r>
                </m:sub>
              </m:sSub>
            </m:e>
          </m:d>
        </m:oMath>
      </m:oMathPara>
    </w:p>
    <w:p w14:paraId="40239A8E" w14:textId="352B6AB2" w:rsidR="001457B8" w:rsidRPr="00742760" w:rsidRDefault="00F86F72" w:rsidP="004844B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á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bil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ú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mico</m:t>
                  </m:r>
                </m:sub>
              </m:sSub>
            </m:e>
          </m:d>
        </m:oMath>
      </m:oMathPara>
    </w:p>
    <w:p w14:paraId="5DA8FA44" w14:textId="77777777" w:rsidR="00742760" w:rsidRPr="00742760" w:rsidRDefault="00742760" w:rsidP="004844B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9CD02F3" w14:textId="77777777" w:rsidR="00FB797E" w:rsidRPr="00742760" w:rsidRDefault="00454957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42760">
        <w:rPr>
          <w:rFonts w:ascii="Times New Roman" w:hAnsi="Times New Roman" w:cs="Times New Roman"/>
          <w:i/>
          <w:iCs/>
          <w:sz w:val="24"/>
          <w:szCs w:val="24"/>
        </w:rPr>
        <w:t>inner</w:t>
      </w:r>
      <w:proofErr w:type="spellEnd"/>
      <w:r w:rsidRPr="00742760">
        <w:rPr>
          <w:rFonts w:ascii="Times New Roman" w:hAnsi="Times New Roman" w:cs="Times New Roman"/>
          <w:i/>
          <w:iCs/>
          <w:sz w:val="24"/>
          <w:szCs w:val="24"/>
        </w:rPr>
        <w:t xml:space="preserve"> model</w:t>
      </w:r>
      <w:r w:rsidRPr="00742760">
        <w:rPr>
          <w:rFonts w:ascii="Times New Roman" w:hAnsi="Times New Roman" w:cs="Times New Roman"/>
          <w:sz w:val="24"/>
          <w:szCs w:val="24"/>
        </w:rPr>
        <w:t xml:space="preserve"> </w:t>
      </w:r>
      <w:r w:rsidR="00425FBD" w:rsidRPr="00742760">
        <w:rPr>
          <w:rFonts w:ascii="Times New Roman" w:hAnsi="Times New Roman" w:cs="Times New Roman"/>
          <w:sz w:val="24"/>
          <w:szCs w:val="24"/>
        </w:rPr>
        <w:t xml:space="preserve">foi ajustado com algoritmo iterativo de regressão PLS, conforme o método de </w:t>
      </w:r>
      <w:proofErr w:type="spellStart"/>
      <w:r w:rsidR="00425FBD" w:rsidRPr="00742760">
        <w:rPr>
          <w:rFonts w:ascii="Times New Roman" w:hAnsi="Times New Roman" w:cs="Times New Roman"/>
          <w:sz w:val="24"/>
          <w:szCs w:val="24"/>
        </w:rPr>
        <w:t>Lohmöller</w:t>
      </w:r>
      <w:proofErr w:type="spellEnd"/>
      <w:r w:rsidR="00425FBD" w:rsidRPr="00742760">
        <w:rPr>
          <w:rFonts w:ascii="Times New Roman" w:hAnsi="Times New Roman" w:cs="Times New Roman"/>
          <w:sz w:val="24"/>
          <w:szCs w:val="24"/>
        </w:rPr>
        <w:t>, utilizando 300 iterações e critério de convergência com tolerância de 10</w:t>
      </w:r>
      <w:r w:rsidR="00425FBD" w:rsidRPr="00742760">
        <w:rPr>
          <w:rFonts w:ascii="Times New Roman" w:hAnsi="Times New Roman" w:cs="Times New Roman"/>
          <w:sz w:val="24"/>
          <w:szCs w:val="24"/>
          <w:vertAlign w:val="superscript"/>
        </w:rPr>
        <w:t>−6</w:t>
      </w:r>
      <w:r w:rsidR="00425FBD" w:rsidRPr="00742760">
        <w:rPr>
          <w:rFonts w:ascii="Times New Roman" w:hAnsi="Times New Roman" w:cs="Times New Roman"/>
          <w:sz w:val="24"/>
          <w:szCs w:val="24"/>
        </w:rPr>
        <w:t>. As estimativas de carga (</w:t>
      </w:r>
      <w:proofErr w:type="spellStart"/>
      <w:r w:rsidR="00425FBD" w:rsidRPr="00742760">
        <w:rPr>
          <w:rFonts w:ascii="Times New Roman" w:hAnsi="Times New Roman" w:cs="Times New Roman"/>
          <w:sz w:val="24"/>
          <w:szCs w:val="24"/>
        </w:rPr>
        <w:t>loadings</w:t>
      </w:r>
      <w:proofErr w:type="spellEnd"/>
      <w:r w:rsidR="00425FBD" w:rsidRPr="00742760">
        <w:rPr>
          <w:rFonts w:ascii="Times New Roman" w:hAnsi="Times New Roman" w:cs="Times New Roman"/>
          <w:sz w:val="24"/>
          <w:szCs w:val="24"/>
        </w:rPr>
        <w:t xml:space="preserve">) dos indicadores e os coeficientes de caminho (path </w:t>
      </w:r>
      <w:proofErr w:type="spellStart"/>
      <w:r w:rsidR="00425FBD" w:rsidRPr="00742760">
        <w:rPr>
          <w:rFonts w:ascii="Times New Roman" w:hAnsi="Times New Roman" w:cs="Times New Roman"/>
          <w:sz w:val="24"/>
          <w:szCs w:val="24"/>
        </w:rPr>
        <w:t>coefficients</w:t>
      </w:r>
      <w:proofErr w:type="spellEnd"/>
      <w:r w:rsidR="00425FBD" w:rsidRPr="00742760">
        <w:rPr>
          <w:rFonts w:ascii="Times New Roman" w:hAnsi="Times New Roman" w:cs="Times New Roman"/>
          <w:sz w:val="24"/>
          <w:szCs w:val="24"/>
        </w:rPr>
        <w:t>) foram avaliados quanto à magnitude e significância estatística. A qualidade do ajuste foi examinada com base no coeficiente de determinação (R</w:t>
      </w:r>
      <w:r w:rsidR="00425FBD" w:rsidRPr="0074276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425FBD" w:rsidRPr="00742760">
        <w:rPr>
          <w:rFonts w:ascii="Times New Roman" w:hAnsi="Times New Roman" w:cs="Times New Roman"/>
          <w:sz w:val="24"/>
          <w:szCs w:val="24"/>
        </w:rPr>
        <w:t>) dos construtos endógenos, na comunalidade média (</w:t>
      </w:r>
      <w:proofErr w:type="spellStart"/>
      <w:r w:rsidR="00425FBD" w:rsidRPr="00742760">
        <w:rPr>
          <w:rFonts w:ascii="Times New Roman" w:hAnsi="Times New Roman" w:cs="Times New Roman"/>
          <w:sz w:val="24"/>
          <w:szCs w:val="24"/>
        </w:rPr>
        <w:t>communality</w:t>
      </w:r>
      <w:proofErr w:type="spellEnd"/>
      <w:r w:rsidR="00425FBD" w:rsidRPr="00742760">
        <w:rPr>
          <w:rFonts w:ascii="Times New Roman" w:hAnsi="Times New Roman" w:cs="Times New Roman"/>
          <w:sz w:val="24"/>
          <w:szCs w:val="24"/>
        </w:rPr>
        <w:t>), na confiabilidade composta (</w:t>
      </w:r>
      <w:proofErr w:type="spellStart"/>
      <w:r w:rsidR="00425FBD" w:rsidRPr="00742760">
        <w:rPr>
          <w:rFonts w:ascii="Times New Roman" w:hAnsi="Times New Roman" w:cs="Times New Roman"/>
          <w:sz w:val="24"/>
          <w:szCs w:val="24"/>
        </w:rPr>
        <w:t>DG.rho</w:t>
      </w:r>
      <w:proofErr w:type="spellEnd"/>
      <w:r w:rsidR="00425FBD" w:rsidRPr="00742760">
        <w:rPr>
          <w:rFonts w:ascii="Times New Roman" w:hAnsi="Times New Roman" w:cs="Times New Roman"/>
          <w:sz w:val="24"/>
          <w:szCs w:val="24"/>
        </w:rPr>
        <w:t xml:space="preserve">) e na raiz do erro quadrático médio residual padronizado (SRMR). </w:t>
      </w:r>
    </w:p>
    <w:p w14:paraId="58978BEA" w14:textId="6DDFB26D" w:rsidR="00425FBD" w:rsidRPr="00742760" w:rsidRDefault="00425FBD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As inferências se basearam na magnitude dos coeficientes estruturais e sua coerência com a hipótese de que as formas lábeis e húmicas de nitrogênio (N) e fósforo (P) contribuem de maneira diferenciada para seus respectivos estoques totais no solo, condicionadas às pressões impostas pelos diferentes usos da terra.</w:t>
      </w:r>
    </w:p>
    <w:p w14:paraId="2FD61BED" w14:textId="2E88C880" w:rsidR="00037FA1" w:rsidRPr="00742760" w:rsidRDefault="00037FA1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 xml:space="preserve">Como etapa subsequente à modelagem estrutural, buscou-se integrar os atributos funcionais de N e P a características físicas do solo por meio da construção de um sistema de inferência fuzzy voltado à obtenção do </w:t>
      </w:r>
      <w:r w:rsidR="00D06387" w:rsidRPr="00742760">
        <w:rPr>
          <w:rFonts w:ascii="Times New Roman" w:hAnsi="Times New Roman" w:cs="Times New Roman"/>
          <w:sz w:val="24"/>
          <w:szCs w:val="24"/>
        </w:rPr>
        <w:t>Índice de Sustentação Nutricional Fuzzy</w:t>
      </w:r>
      <w:r w:rsidRPr="00742760">
        <w:rPr>
          <w:rFonts w:ascii="Times New Roman" w:hAnsi="Times New Roman" w:cs="Times New Roman"/>
          <w:sz w:val="24"/>
          <w:szCs w:val="24"/>
        </w:rPr>
        <w:t xml:space="preserve"> (</w:t>
      </w:r>
      <w:r w:rsidR="006241BE" w:rsidRPr="00742760">
        <w:rPr>
          <w:rFonts w:ascii="Times New Roman" w:hAnsi="Times New Roman" w:cs="Times New Roman"/>
          <w:sz w:val="24"/>
          <w:szCs w:val="24"/>
        </w:rPr>
        <w:t>FSNSI</w:t>
      </w:r>
      <w:r w:rsidRPr="00742760">
        <w:rPr>
          <w:rFonts w:ascii="Times New Roman" w:hAnsi="Times New Roman" w:cs="Times New Roman"/>
          <w:sz w:val="24"/>
          <w:szCs w:val="24"/>
        </w:rPr>
        <w:t xml:space="preserve">). Nesse modelo, a densidade do solo (Ds) foi incorporada como variável penalizadora, assumindo que valores mais elevados de densidade refletem condições físicas menos favoráveis à conservação da estrutura do solo e à atividade biológica. Para tal, os dados de Ds foram normalizados de forma invertida, de modo que maiores </w:t>
      </w:r>
      <w:r w:rsidRPr="00742760">
        <w:rPr>
          <w:rFonts w:ascii="Times New Roman" w:hAnsi="Times New Roman" w:cs="Times New Roman"/>
          <w:sz w:val="24"/>
          <w:szCs w:val="24"/>
        </w:rPr>
        <w:lastRenderedPageBreak/>
        <w:t>densidades recebessem notas mais baixas na escala fuzzy, amplificando o impacto negativo dessa condição sobre o valor final do índice.</w:t>
      </w:r>
    </w:p>
    <w:p w14:paraId="43FA1C27" w14:textId="69ED2520" w:rsidR="00037FA1" w:rsidRPr="00742760" w:rsidRDefault="00037FA1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Adicionalmente, as frações granulométricas do solo (areia, silte e argila) foram introduzidas no processo analítico como covariáveis de controle, com o objetivo de mitigar o viés potencial decorrente de diferenças texturais naturais entre os ambientes avaliados. Embora essas variáveis não tenham sido incorporadas diretamente ao sistema fuzzy como entradas decisórias, sua normalização e análise paralela permitiram contextualizar as respostas funcionais observadas, assegurando que os efeitos inferidos para Ds, N</w:t>
      </w:r>
      <w:r w:rsidR="00E770A3" w:rsidRPr="00742760">
        <w:rPr>
          <w:rFonts w:ascii="Times New Roman" w:hAnsi="Times New Roman" w:cs="Times New Roman"/>
          <w:sz w:val="24"/>
          <w:szCs w:val="24"/>
        </w:rPr>
        <w:t xml:space="preserve"> </w:t>
      </w:r>
      <w:r w:rsidRPr="00742760">
        <w:rPr>
          <w:rFonts w:ascii="Times New Roman" w:hAnsi="Times New Roman" w:cs="Times New Roman"/>
          <w:sz w:val="24"/>
          <w:szCs w:val="24"/>
        </w:rPr>
        <w:t>total e P</w:t>
      </w:r>
      <w:r w:rsidR="00E770A3" w:rsidRPr="00742760">
        <w:rPr>
          <w:rFonts w:ascii="Times New Roman" w:hAnsi="Times New Roman" w:cs="Times New Roman"/>
          <w:sz w:val="24"/>
          <w:szCs w:val="24"/>
        </w:rPr>
        <w:t xml:space="preserve"> </w:t>
      </w:r>
      <w:r w:rsidRPr="00742760">
        <w:rPr>
          <w:rFonts w:ascii="Times New Roman" w:hAnsi="Times New Roman" w:cs="Times New Roman"/>
          <w:sz w:val="24"/>
          <w:szCs w:val="24"/>
        </w:rPr>
        <w:t>total refletissem predominantemente condições associadas ao uso e manejo do solo, e não à sua classe textural de origem.</w:t>
      </w:r>
    </w:p>
    <w:p w14:paraId="48DF6AAC" w14:textId="28A8B0F6" w:rsidR="00425FBD" w:rsidRPr="00742760" w:rsidRDefault="00037FA1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O</w:t>
      </w:r>
      <w:r w:rsidR="00425FBD" w:rsidRPr="00742760">
        <w:rPr>
          <w:rFonts w:ascii="Times New Roman" w:hAnsi="Times New Roman" w:cs="Times New Roman"/>
          <w:sz w:val="24"/>
          <w:szCs w:val="24"/>
        </w:rPr>
        <w:t xml:space="preserve"> índice </w:t>
      </w:r>
      <w:r w:rsidR="006241BE" w:rsidRPr="00742760">
        <w:rPr>
          <w:rFonts w:ascii="Times New Roman" w:hAnsi="Times New Roman" w:cs="Times New Roman"/>
          <w:sz w:val="24"/>
          <w:szCs w:val="24"/>
        </w:rPr>
        <w:t>FSNSI</w:t>
      </w:r>
      <w:r w:rsidRPr="00742760">
        <w:rPr>
          <w:rFonts w:ascii="Times New Roman" w:hAnsi="Times New Roman" w:cs="Times New Roman"/>
          <w:sz w:val="24"/>
          <w:szCs w:val="24"/>
        </w:rPr>
        <w:t xml:space="preserve"> </w:t>
      </w:r>
      <w:r w:rsidR="00425FBD" w:rsidRPr="00742760">
        <w:rPr>
          <w:rFonts w:ascii="Times New Roman" w:hAnsi="Times New Roman" w:cs="Times New Roman"/>
          <w:sz w:val="24"/>
          <w:szCs w:val="24"/>
        </w:rPr>
        <w:t>foi estruturado com base em um sistema fuzzy do tipo Mamdani, composto por três componentes formais principais: (i) normalização conservadora das variáveis de entrada para escala [0,10], com inversão aplicada à densidade do solo dada sua relação inversa com qualidade física; (</w:t>
      </w:r>
      <w:proofErr w:type="spellStart"/>
      <w:r w:rsidR="00425FBD" w:rsidRPr="00742760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="00425FBD" w:rsidRPr="00742760">
        <w:rPr>
          <w:rFonts w:ascii="Times New Roman" w:hAnsi="Times New Roman" w:cs="Times New Roman"/>
          <w:sz w:val="24"/>
          <w:szCs w:val="24"/>
        </w:rPr>
        <w:t>) definição de funções de pertinência triangulares e regras linguísticas baseadas em conhecimento especializado; e (</w:t>
      </w:r>
      <w:proofErr w:type="spellStart"/>
      <w:r w:rsidR="00425FBD" w:rsidRPr="00742760">
        <w:rPr>
          <w:rFonts w:ascii="Times New Roman" w:hAnsi="Times New Roman" w:cs="Times New Roman"/>
          <w:sz w:val="24"/>
          <w:szCs w:val="24"/>
        </w:rPr>
        <w:t>iii</w:t>
      </w:r>
      <w:proofErr w:type="spellEnd"/>
      <w:r w:rsidR="00425FBD" w:rsidRPr="00742760">
        <w:rPr>
          <w:rFonts w:ascii="Times New Roman" w:hAnsi="Times New Roman" w:cs="Times New Roman"/>
          <w:sz w:val="24"/>
          <w:szCs w:val="24"/>
        </w:rPr>
        <w:t>) defuzzificação dos valores por meio do método do centróide, resultando em um valor contínuo de desempenho funcional do solo.</w:t>
      </w:r>
    </w:p>
    <w:p w14:paraId="39486C02" w14:textId="0E26D379" w:rsidR="004844BB" w:rsidRDefault="004844BB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As variáveis de entrada selecionadas representaram frações funcionais da matéria orgânica do solo e atributos físicos, incluindo N</w:t>
      </w:r>
      <w:r w:rsidR="00BA513B" w:rsidRPr="00742760">
        <w:rPr>
          <w:rFonts w:ascii="Times New Roman" w:hAnsi="Times New Roman" w:cs="Times New Roman"/>
          <w:sz w:val="24"/>
          <w:szCs w:val="24"/>
        </w:rPr>
        <w:t xml:space="preserve"> </w:t>
      </w:r>
      <w:r w:rsidRPr="00742760">
        <w:rPr>
          <w:rFonts w:ascii="Times New Roman" w:hAnsi="Times New Roman" w:cs="Times New Roman"/>
          <w:sz w:val="24"/>
          <w:szCs w:val="24"/>
        </w:rPr>
        <w:t>total, P</w:t>
      </w:r>
      <w:r w:rsidR="00BA513B" w:rsidRPr="00742760">
        <w:rPr>
          <w:rFonts w:ascii="Times New Roman" w:hAnsi="Times New Roman" w:cs="Times New Roman"/>
          <w:sz w:val="24"/>
          <w:szCs w:val="24"/>
        </w:rPr>
        <w:t xml:space="preserve"> </w:t>
      </w:r>
      <w:r w:rsidRPr="00742760">
        <w:rPr>
          <w:rFonts w:ascii="Times New Roman" w:hAnsi="Times New Roman" w:cs="Times New Roman"/>
          <w:sz w:val="24"/>
          <w:szCs w:val="24"/>
        </w:rPr>
        <w:t>total (valores médios de concentrações e estoques de nitrogênio e fósforo), e densidade do solo (Ds) como variável limitante associada à degradação física. Adicionalmente, os teores de areia, silte e argila foram considerados covariáveis de controle. Todas as variáveis foram derivadas de um conjunto mais amplo de atributos edáficos medidos em áreas com diferentes históricos de uso e cobertura da terra.</w:t>
      </w:r>
    </w:p>
    <w:p w14:paraId="028B898D" w14:textId="77777777" w:rsidR="00742760" w:rsidRPr="00742760" w:rsidRDefault="00742760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AD46BE" w14:textId="30642D33" w:rsidR="00567209" w:rsidRPr="00742760" w:rsidRDefault="00567209" w:rsidP="005672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760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42760" w:rsidRPr="00742760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742760">
        <w:rPr>
          <w:rFonts w:ascii="Times New Roman" w:hAnsi="Times New Roman" w:cs="Times New Roman"/>
          <w:b/>
          <w:bCs/>
          <w:sz w:val="24"/>
          <w:szCs w:val="24"/>
        </w:rPr>
        <w:t>.2 Normalização das variáveis</w:t>
      </w:r>
    </w:p>
    <w:p w14:paraId="11D7318D" w14:textId="2B81E340" w:rsidR="00CE3FFA" w:rsidRPr="00742760" w:rsidRDefault="00567209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Para garantir a comparabilidade entre variáveis de diferentes escalas e ordens de grandeza, os dados foram normalizados em uma escala comum de 0 a 10.</w:t>
      </w:r>
      <w:r w:rsidR="00CE3FFA" w:rsidRPr="00742760">
        <w:rPr>
          <w:rFonts w:ascii="Times New Roman" w:hAnsi="Times New Roman" w:cs="Times New Roman"/>
          <w:sz w:val="24"/>
          <w:szCs w:val="24"/>
        </w:rPr>
        <w:t xml:space="preserve"> Para padronizar as variáveis em uma escala comum entre 0 e 10, adotaram-se dois modelos de normalização linear conservadora (Equação 1).</w:t>
      </w:r>
    </w:p>
    <w:p w14:paraId="6ED221C1" w14:textId="13441D92" w:rsidR="00CE3FFA" w:rsidRPr="00742760" w:rsidRDefault="00F86F72" w:rsidP="00CE3FF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norm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=10*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, </m:t>
          </m:r>
          <m:r>
            <w:rPr>
              <w:rFonts w:ascii="Cambria Math" w:hAnsi="Cambria Math" w:cs="Times New Roman"/>
              <w:sz w:val="24"/>
              <w:szCs w:val="24"/>
            </w:rPr>
            <m:t>com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∈ [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0E65D46A" w14:textId="77777777" w:rsidR="00CE3FFA" w:rsidRPr="00742760" w:rsidRDefault="00CE3FFA" w:rsidP="00CE3FFA">
      <w:pPr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 xml:space="preserve">Em que,  </w:t>
      </w:r>
    </w:p>
    <w:p w14:paraId="73929E2D" w14:textId="77777777" w:rsidR="00CE3FFA" w:rsidRPr="00742760" w:rsidRDefault="00CE3FFA" w:rsidP="00CE3F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x: valor original da variável</w:t>
      </w:r>
    </w:p>
    <w:p w14:paraId="5ACB22FA" w14:textId="77777777" w:rsidR="00CE3FFA" w:rsidRPr="00742760" w:rsidRDefault="00CE3FFA" w:rsidP="00CE3F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2760">
        <w:rPr>
          <w:rFonts w:ascii="Times New Roman" w:hAnsi="Times New Roman" w:cs="Times New Roman"/>
          <w:sz w:val="24"/>
          <w:szCs w:val="24"/>
        </w:rPr>
        <w:lastRenderedPageBreak/>
        <w:t>x</w:t>
      </w:r>
      <w:r w:rsidRPr="00742760">
        <w:rPr>
          <w:rFonts w:ascii="Times New Roman" w:hAnsi="Times New Roman" w:cs="Times New Roman"/>
          <w:sz w:val="24"/>
          <w:szCs w:val="24"/>
          <w:vertAlign w:val="subscript"/>
        </w:rPr>
        <w:t>min</w:t>
      </w:r>
      <w:proofErr w:type="spellEnd"/>
      <w:r w:rsidRPr="00742760">
        <w:rPr>
          <w:rFonts w:ascii="Times New Roman" w:hAnsi="Times New Roman" w:cs="Times New Roman"/>
          <w:sz w:val="24"/>
          <w:szCs w:val="24"/>
        </w:rPr>
        <w:t xml:space="preserve"> é o menor valor observado da variável x,</w:t>
      </w:r>
    </w:p>
    <w:p w14:paraId="3E09A9C3" w14:textId="77777777" w:rsidR="00CE3FFA" w:rsidRPr="00742760" w:rsidRDefault="00CE3FFA" w:rsidP="00CE3F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2760">
        <w:rPr>
          <w:rFonts w:ascii="Times New Roman" w:hAnsi="Times New Roman" w:cs="Times New Roman"/>
          <w:sz w:val="24"/>
          <w:szCs w:val="24"/>
        </w:rPr>
        <w:t>x</w:t>
      </w:r>
      <w:r w:rsidRPr="00742760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Pr="00742760">
        <w:rPr>
          <w:rFonts w:ascii="Times New Roman" w:hAnsi="Times New Roman" w:cs="Times New Roman"/>
          <w:sz w:val="24"/>
          <w:szCs w:val="24"/>
        </w:rPr>
        <w:t xml:space="preserve"> é o maior valor observado da variável x e</w:t>
      </w:r>
    </w:p>
    <w:p w14:paraId="13C2689F" w14:textId="77777777" w:rsidR="00CE3FFA" w:rsidRPr="00742760" w:rsidRDefault="00CE3FFA" w:rsidP="00CE3F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2760">
        <w:rPr>
          <w:rFonts w:ascii="Times New Roman" w:hAnsi="Times New Roman" w:cs="Times New Roman"/>
          <w:sz w:val="24"/>
          <w:szCs w:val="24"/>
        </w:rPr>
        <w:t>x</w:t>
      </w:r>
      <w:r w:rsidRPr="00742760">
        <w:rPr>
          <w:rFonts w:ascii="Times New Roman" w:hAnsi="Times New Roman" w:cs="Times New Roman"/>
          <w:sz w:val="24"/>
          <w:szCs w:val="24"/>
          <w:vertAlign w:val="subscript"/>
        </w:rPr>
        <w:t>norm</w:t>
      </w:r>
      <w:proofErr w:type="spellEnd"/>
      <w:r w:rsidRPr="00742760">
        <w:rPr>
          <w:rFonts w:ascii="Times New Roman" w:hAnsi="Times New Roman" w:cs="Times New Roman"/>
          <w:sz w:val="24"/>
          <w:szCs w:val="24"/>
        </w:rPr>
        <w:t xml:space="preserve"> sendo o valor normalizado na escala de 0 a 10</w:t>
      </w:r>
    </w:p>
    <w:p w14:paraId="4CF59AE8" w14:textId="77777777" w:rsidR="004844BB" w:rsidRDefault="004844BB" w:rsidP="00440832">
      <w:pPr>
        <w:jc w:val="both"/>
      </w:pPr>
    </w:p>
    <w:p w14:paraId="5806AD93" w14:textId="67952911" w:rsidR="002A26C5" w:rsidRPr="00742760" w:rsidRDefault="002A26C5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As variáveis com interpretação inversa (como a densidade do solo, cuja elevação está associada a menor qualidade estrutural), foi aplicada uma normalização invertida (Equação 2), atribuindo notas mais altas a valores menores:</w:t>
      </w:r>
    </w:p>
    <w:p w14:paraId="64FAB84E" w14:textId="77777777" w:rsidR="0069609C" w:rsidRDefault="0069609C" w:rsidP="0069609C">
      <w:pPr>
        <w:jc w:val="both"/>
      </w:pPr>
    </w:p>
    <w:p w14:paraId="017D81CD" w14:textId="77777777" w:rsidR="0069609C" w:rsidRPr="00742760" w:rsidRDefault="00F86F72" w:rsidP="0069609C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norm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=10*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, </m:t>
          </m:r>
          <m:r>
            <w:rPr>
              <w:rFonts w:ascii="Cambria Math" w:hAnsi="Cambria Math" w:cs="Times New Roman"/>
              <w:sz w:val="24"/>
              <w:szCs w:val="24"/>
            </w:rPr>
            <m:t>com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∈ [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46E93372" w14:textId="77777777" w:rsidR="0069609C" w:rsidRPr="00742760" w:rsidRDefault="0069609C" w:rsidP="006960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 xml:space="preserve">Que, </w:t>
      </w:r>
    </w:p>
    <w:p w14:paraId="7B676910" w14:textId="77777777" w:rsidR="0069609C" w:rsidRPr="00742760" w:rsidRDefault="0069609C" w:rsidP="006960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 xml:space="preserve">Quando x = </w:t>
      </w:r>
      <w:proofErr w:type="spellStart"/>
      <w:r w:rsidRPr="00742760">
        <w:rPr>
          <w:rFonts w:ascii="Times New Roman" w:hAnsi="Times New Roman" w:cs="Times New Roman"/>
          <w:sz w:val="24"/>
          <w:szCs w:val="24"/>
        </w:rPr>
        <w:t>x</w:t>
      </w:r>
      <w:r w:rsidRPr="00742760">
        <w:rPr>
          <w:rFonts w:ascii="Times New Roman" w:hAnsi="Times New Roman" w:cs="Times New Roman"/>
          <w:sz w:val="24"/>
          <w:szCs w:val="24"/>
          <w:vertAlign w:val="subscript"/>
        </w:rPr>
        <w:t>min</w:t>
      </w:r>
      <w:proofErr w:type="spellEnd"/>
      <w:r w:rsidRPr="00742760">
        <w:rPr>
          <w:rFonts w:ascii="Times New Roman" w:hAnsi="Times New Roman" w:cs="Times New Roman"/>
          <w:sz w:val="24"/>
          <w:szCs w:val="24"/>
        </w:rPr>
        <w:t xml:space="preserve">​, então </w:t>
      </w:r>
      <w:proofErr w:type="spellStart"/>
      <w:r w:rsidRPr="00742760">
        <w:rPr>
          <w:rFonts w:ascii="Times New Roman" w:hAnsi="Times New Roman" w:cs="Times New Roman"/>
          <w:sz w:val="24"/>
          <w:szCs w:val="24"/>
        </w:rPr>
        <w:t>x</w:t>
      </w:r>
      <w:r w:rsidRPr="00742760">
        <w:rPr>
          <w:rFonts w:ascii="Times New Roman" w:hAnsi="Times New Roman" w:cs="Times New Roman"/>
          <w:sz w:val="24"/>
          <w:szCs w:val="24"/>
          <w:vertAlign w:val="subscript"/>
        </w:rPr>
        <w:t>norm</w:t>
      </w:r>
      <w:proofErr w:type="spellEnd"/>
      <w:r w:rsidRPr="00742760">
        <w:rPr>
          <w:rFonts w:ascii="Times New Roman" w:hAnsi="Times New Roman" w:cs="Times New Roman"/>
          <w:sz w:val="24"/>
          <w:szCs w:val="24"/>
        </w:rPr>
        <w:t xml:space="preserve"> ​=10 → melhor valor.</w:t>
      </w:r>
    </w:p>
    <w:p w14:paraId="49368F83" w14:textId="77777777" w:rsidR="0069609C" w:rsidRPr="00742760" w:rsidRDefault="0069609C" w:rsidP="007427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 xml:space="preserve">Quando x = </w:t>
      </w:r>
      <w:proofErr w:type="spellStart"/>
      <w:r w:rsidRPr="00742760">
        <w:rPr>
          <w:rFonts w:ascii="Times New Roman" w:hAnsi="Times New Roman" w:cs="Times New Roman"/>
          <w:sz w:val="24"/>
          <w:szCs w:val="24"/>
        </w:rPr>
        <w:t>x</w:t>
      </w:r>
      <w:r w:rsidRPr="00742760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Pr="00742760">
        <w:rPr>
          <w:rFonts w:ascii="Times New Roman" w:hAnsi="Times New Roman" w:cs="Times New Roman"/>
          <w:sz w:val="24"/>
          <w:szCs w:val="24"/>
        </w:rPr>
        <w:t xml:space="preserve">, então </w:t>
      </w:r>
      <w:proofErr w:type="spellStart"/>
      <w:r w:rsidRPr="00742760">
        <w:rPr>
          <w:rFonts w:ascii="Times New Roman" w:hAnsi="Times New Roman" w:cs="Times New Roman"/>
          <w:sz w:val="24"/>
          <w:szCs w:val="24"/>
        </w:rPr>
        <w:t>x</w:t>
      </w:r>
      <w:r w:rsidRPr="00742760">
        <w:rPr>
          <w:rFonts w:ascii="Times New Roman" w:hAnsi="Times New Roman" w:cs="Times New Roman"/>
          <w:sz w:val="24"/>
          <w:szCs w:val="24"/>
          <w:vertAlign w:val="subscript"/>
        </w:rPr>
        <w:t>norm</w:t>
      </w:r>
      <w:proofErr w:type="spellEnd"/>
      <w:r w:rsidRPr="00742760">
        <w:rPr>
          <w:rFonts w:ascii="Times New Roman" w:hAnsi="Times New Roman" w:cs="Times New Roman"/>
          <w:sz w:val="24"/>
          <w:szCs w:val="24"/>
        </w:rPr>
        <w:t xml:space="preserve"> =0 → pior valor.</w:t>
      </w:r>
    </w:p>
    <w:p w14:paraId="6A19494C" w14:textId="77777777" w:rsidR="00742760" w:rsidRPr="00742760" w:rsidRDefault="00742760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2C6271" w14:textId="7185715D" w:rsidR="0069609C" w:rsidRDefault="0069609C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Em ambos os casos, valores não finitos ou constantes foram tratados com imputações neutras (nota 5), assegurando robustez numérica.</w:t>
      </w:r>
    </w:p>
    <w:p w14:paraId="275AE264" w14:textId="77777777" w:rsidR="00742760" w:rsidRPr="00742760" w:rsidRDefault="00742760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943CA4" w14:textId="4EEDD61F" w:rsidR="0069609C" w:rsidRPr="00742760" w:rsidRDefault="0069609C" w:rsidP="006960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760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42760" w:rsidRPr="00742760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742760">
        <w:rPr>
          <w:rFonts w:ascii="Times New Roman" w:hAnsi="Times New Roman" w:cs="Times New Roman"/>
          <w:b/>
          <w:bCs/>
          <w:sz w:val="24"/>
          <w:szCs w:val="24"/>
        </w:rPr>
        <w:t>.3 Estrutura do sistema fuzzy e regras de inferência</w:t>
      </w:r>
    </w:p>
    <w:p w14:paraId="70E72C74" w14:textId="46A9D3E0" w:rsidR="0069609C" w:rsidRPr="00742760" w:rsidRDefault="0069609C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 xml:space="preserve">O sistema de inferência fuzzy foi implementado no ambiente R por meio do pacote </w:t>
      </w:r>
      <w:proofErr w:type="spellStart"/>
      <w:r w:rsidRPr="00742760">
        <w:rPr>
          <w:rFonts w:ascii="Times New Roman" w:hAnsi="Times New Roman" w:cs="Times New Roman"/>
          <w:sz w:val="24"/>
          <w:szCs w:val="24"/>
        </w:rPr>
        <w:t>FuzzyR</w:t>
      </w:r>
      <w:proofErr w:type="spellEnd"/>
      <w:r w:rsidRPr="00742760">
        <w:rPr>
          <w:rFonts w:ascii="Times New Roman" w:hAnsi="Times New Roman" w:cs="Times New Roman"/>
          <w:sz w:val="24"/>
          <w:szCs w:val="24"/>
        </w:rPr>
        <w:t xml:space="preserve">, adotando-se a lógica do tipo Mamdani para construção do </w:t>
      </w:r>
      <w:r w:rsidR="00D06387" w:rsidRPr="00742760">
        <w:rPr>
          <w:rFonts w:ascii="Times New Roman" w:hAnsi="Times New Roman" w:cs="Times New Roman"/>
          <w:sz w:val="24"/>
          <w:szCs w:val="24"/>
        </w:rPr>
        <w:t>Índice de Sustentação Nutricional Fuzzy</w:t>
      </w:r>
      <w:r w:rsidRPr="00742760">
        <w:rPr>
          <w:rFonts w:ascii="Times New Roman" w:hAnsi="Times New Roman" w:cs="Times New Roman"/>
          <w:sz w:val="24"/>
          <w:szCs w:val="24"/>
        </w:rPr>
        <w:t xml:space="preserve"> (</w:t>
      </w:r>
      <w:r w:rsidR="006241BE" w:rsidRPr="00742760">
        <w:rPr>
          <w:rFonts w:ascii="Times New Roman" w:hAnsi="Times New Roman" w:cs="Times New Roman"/>
          <w:sz w:val="24"/>
          <w:szCs w:val="24"/>
        </w:rPr>
        <w:t>FSNSI</w:t>
      </w:r>
      <w:r w:rsidRPr="00742760">
        <w:rPr>
          <w:rFonts w:ascii="Times New Roman" w:hAnsi="Times New Roman" w:cs="Times New Roman"/>
          <w:sz w:val="24"/>
          <w:szCs w:val="24"/>
        </w:rPr>
        <w:t xml:space="preserve">). Foram </w:t>
      </w:r>
      <w:r w:rsidR="00742760" w:rsidRPr="00742760">
        <w:rPr>
          <w:rFonts w:ascii="Times New Roman" w:hAnsi="Times New Roman" w:cs="Times New Roman"/>
          <w:sz w:val="24"/>
          <w:szCs w:val="24"/>
        </w:rPr>
        <w:t>utilizados</w:t>
      </w:r>
      <w:r w:rsidRPr="00742760">
        <w:rPr>
          <w:rFonts w:ascii="Times New Roman" w:hAnsi="Times New Roman" w:cs="Times New Roman"/>
          <w:sz w:val="24"/>
          <w:szCs w:val="24"/>
        </w:rPr>
        <w:t xml:space="preserve"> três variáveis de entrada: nitrogênio total normalizado (</w:t>
      </w:r>
      <w:proofErr w:type="spellStart"/>
      <w:r w:rsidRPr="00742760">
        <w:rPr>
          <w:rFonts w:ascii="Times New Roman" w:hAnsi="Times New Roman" w:cs="Times New Roman"/>
          <w:sz w:val="24"/>
          <w:szCs w:val="24"/>
        </w:rPr>
        <w:t>N_total</w:t>
      </w:r>
      <w:proofErr w:type="spellEnd"/>
      <w:r w:rsidRPr="00742760">
        <w:rPr>
          <w:rFonts w:ascii="Times New Roman" w:hAnsi="Times New Roman" w:cs="Times New Roman"/>
          <w:sz w:val="24"/>
          <w:szCs w:val="24"/>
        </w:rPr>
        <w:t>), fósforo total normalizado (P</w:t>
      </w:r>
      <w:r w:rsidR="00BA513B" w:rsidRPr="00742760">
        <w:rPr>
          <w:rFonts w:ascii="Times New Roman" w:hAnsi="Times New Roman" w:cs="Times New Roman"/>
          <w:sz w:val="24"/>
          <w:szCs w:val="24"/>
        </w:rPr>
        <w:t xml:space="preserve"> </w:t>
      </w:r>
      <w:r w:rsidRPr="00742760">
        <w:rPr>
          <w:rFonts w:ascii="Times New Roman" w:hAnsi="Times New Roman" w:cs="Times New Roman"/>
          <w:sz w:val="24"/>
          <w:szCs w:val="24"/>
        </w:rPr>
        <w:t>total) e densidade do solo normalizada e invertida (Ds). A variável de saíd</w:t>
      </w:r>
      <w:r w:rsidR="00BA513B" w:rsidRPr="00742760">
        <w:rPr>
          <w:rFonts w:ascii="Times New Roman" w:hAnsi="Times New Roman" w:cs="Times New Roman"/>
          <w:sz w:val="24"/>
          <w:szCs w:val="24"/>
        </w:rPr>
        <w:t>a</w:t>
      </w:r>
      <w:r w:rsidRPr="00742760">
        <w:rPr>
          <w:rFonts w:ascii="Times New Roman" w:hAnsi="Times New Roman" w:cs="Times New Roman"/>
          <w:sz w:val="24"/>
          <w:szCs w:val="24"/>
        </w:rPr>
        <w:t xml:space="preserve"> </w:t>
      </w:r>
      <w:r w:rsidR="006241BE" w:rsidRPr="00742760">
        <w:rPr>
          <w:rFonts w:ascii="Times New Roman" w:hAnsi="Times New Roman" w:cs="Times New Roman"/>
          <w:sz w:val="24"/>
          <w:szCs w:val="24"/>
        </w:rPr>
        <w:t>FSNSI</w:t>
      </w:r>
      <w:r w:rsidR="00BA513B" w:rsidRPr="00742760">
        <w:rPr>
          <w:rFonts w:ascii="Times New Roman" w:hAnsi="Times New Roman" w:cs="Times New Roman"/>
          <w:sz w:val="24"/>
          <w:szCs w:val="24"/>
        </w:rPr>
        <w:t>,</w:t>
      </w:r>
      <w:r w:rsidRPr="00742760">
        <w:rPr>
          <w:rFonts w:ascii="Times New Roman" w:hAnsi="Times New Roman" w:cs="Times New Roman"/>
          <w:sz w:val="24"/>
          <w:szCs w:val="24"/>
        </w:rPr>
        <w:t xml:space="preserve"> foi modelada com três termos linguísticos qualitativos: baixa, média e alta, todos definidos no intervalo contínuo de 0 a 10.</w:t>
      </w:r>
    </w:p>
    <w:p w14:paraId="23869780" w14:textId="77777777" w:rsidR="008D584F" w:rsidRPr="00742760" w:rsidRDefault="008D584F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As funções de pertinência seguem a forma geral de triângulos simétricos ou assimétricos, conforme Equação 3 para termo Baixo, Equação 4 termo Médio e Equação 5 para o termo Alto.</w:t>
      </w:r>
    </w:p>
    <w:p w14:paraId="7D6ED540" w14:textId="2EDF907A" w:rsidR="008D584F" w:rsidRPr="00742760" w:rsidRDefault="008D584F" w:rsidP="0074276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μbaixa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x-a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b-a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,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c-x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c-b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0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, com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a,b, 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=(0, 0, 4)</m:t>
          </m:r>
        </m:oMath>
      </m:oMathPara>
    </w:p>
    <w:p w14:paraId="1FF7EA98" w14:textId="77777777" w:rsidR="008D584F" w:rsidRPr="00742760" w:rsidRDefault="008D584F" w:rsidP="0074276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F83E4" w14:textId="531EAAAF" w:rsidR="008D584F" w:rsidRPr="00742760" w:rsidRDefault="008D584F" w:rsidP="0074276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μmmédia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x-a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b-a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,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c-x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c-b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0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, com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a,b, 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=(3, 5, 7)</m:t>
          </m:r>
        </m:oMath>
      </m:oMathPara>
    </w:p>
    <w:p w14:paraId="73A37DEB" w14:textId="77777777" w:rsidR="008D584F" w:rsidRPr="00742760" w:rsidRDefault="008D584F" w:rsidP="0074276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229422" w14:textId="04DDD0D8" w:rsidR="008D584F" w:rsidRPr="00742760" w:rsidRDefault="008D584F" w:rsidP="0074276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μmalta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x-a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b-a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,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c-x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c-b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0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, com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a,b, 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=(6, 10, 10)</m:t>
          </m:r>
        </m:oMath>
      </m:oMathPara>
    </w:p>
    <w:p w14:paraId="6EAC3FA5" w14:textId="77777777" w:rsidR="008D584F" w:rsidRPr="00742760" w:rsidRDefault="008D584F" w:rsidP="008D58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99CE9E" w14:textId="4CA19A60" w:rsidR="008D584F" w:rsidRPr="00742760" w:rsidRDefault="008D584F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lastRenderedPageBreak/>
        <w:t>O domínio da função triangular foi ajustado de forma a garantir sobreposição entre os termos, permitindo inferências contínuas e suavizadas.</w:t>
      </w:r>
    </w:p>
    <w:p w14:paraId="19C1C5CF" w14:textId="77777777" w:rsidR="00742760" w:rsidRPr="00742760" w:rsidRDefault="00742760" w:rsidP="00E554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583F9A" w14:textId="39AB267F" w:rsidR="00E55419" w:rsidRPr="00742760" w:rsidRDefault="00E55419" w:rsidP="00E554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760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42760" w:rsidRPr="00742760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742760">
        <w:rPr>
          <w:rFonts w:ascii="Times New Roman" w:hAnsi="Times New Roman" w:cs="Times New Roman"/>
          <w:b/>
          <w:bCs/>
          <w:sz w:val="24"/>
          <w:szCs w:val="24"/>
        </w:rPr>
        <w:t>.4 Base de regras fuzzy</w:t>
      </w:r>
    </w:p>
    <w:p w14:paraId="238CAAF3" w14:textId="77777777" w:rsidR="00E55419" w:rsidRPr="00742760" w:rsidRDefault="00E55419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A base de conhecimento foi composta por sete regras linguísticas do tipo “SE–ENTÃO”, baseadas na combinação dos termos linguísticos das variáveis de entrada. A estrutura das regras segue a forma genérica (Equação 6):</w:t>
      </w:r>
    </w:p>
    <w:p w14:paraId="4B2789AC" w14:textId="77777777" w:rsidR="00966135" w:rsidRPr="00742760" w:rsidRDefault="00966135" w:rsidP="00E554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10669B" w14:textId="350AEFF8" w:rsidR="00EA04EB" w:rsidRPr="00742760" w:rsidRDefault="00F86F72" w:rsidP="0096613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</m:t>
          </m:r>
          <m:r>
            <w:rPr>
              <w:rFonts w:ascii="Cambria Math" w:hAnsi="Cambria Math" w:cs="Times New Roman"/>
              <w:sz w:val="24"/>
              <w:szCs w:val="24"/>
            </w:rPr>
            <m:t>SE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∈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∧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∈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∧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∈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⇒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∈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7FA4D43B" w14:textId="77777777" w:rsidR="00742760" w:rsidRPr="00742760" w:rsidRDefault="00742760" w:rsidP="009661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2C49A5" w14:textId="68756441" w:rsidR="00966135" w:rsidRPr="00742760" w:rsidRDefault="00966135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 xml:space="preserve">A ativação de cada regra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i </m:t>
            </m:r>
          </m:sub>
        </m:sSub>
      </m:oMath>
      <w:r w:rsidRPr="00742760">
        <w:rPr>
          <w:rFonts w:ascii="Times New Roman" w:hAnsi="Times New Roman" w:cs="Times New Roman"/>
          <w:sz w:val="24"/>
          <w:szCs w:val="24"/>
        </w:rPr>
        <w:t xml:space="preserve"> foi calculada conforme a Equação 7:</w:t>
      </w:r>
    </w:p>
    <w:p w14:paraId="315E8AE5" w14:textId="1A3405D2" w:rsidR="00051867" w:rsidRPr="00742760" w:rsidRDefault="00F86F72" w:rsidP="0005186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min 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2 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, …,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d>
            </m:e>
          </m:func>
        </m:oMath>
      </m:oMathPara>
    </w:p>
    <w:p w14:paraId="35CC3F3B" w14:textId="77777777" w:rsidR="004844BB" w:rsidRPr="00742760" w:rsidRDefault="004844BB" w:rsidP="004408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3B9A0D" w14:textId="14D51E2A" w:rsidR="004109F3" w:rsidRPr="00742760" w:rsidRDefault="004109F3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O valor de saída correspondente</w:t>
      </w:r>
      <w:r w:rsidR="00443EFA" w:rsidRPr="0074276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(z)</m:t>
        </m:r>
      </m:oMath>
      <w:r w:rsidRPr="00742760">
        <w:rPr>
          <w:rFonts w:ascii="Times New Roman" w:hAnsi="Times New Roman" w:cs="Times New Roman"/>
          <w:sz w:val="24"/>
          <w:szCs w:val="24"/>
        </w:rPr>
        <w:t xml:space="preserve"> foi ponderado por αi</w:t>
      </w:r>
      <w:r w:rsidR="00554868" w:rsidRPr="00742760">
        <w:rPr>
          <w:rFonts w:ascii="Times New Roman" w:hAnsi="Times New Roman" w:cs="Times New Roman"/>
          <w:sz w:val="24"/>
          <w:szCs w:val="24"/>
        </w:rPr>
        <w:t xml:space="preserve"> </w:t>
      </w:r>
      <w:r w:rsidRPr="00742760">
        <w:rPr>
          <w:rFonts w:ascii="Times New Roman" w:hAnsi="Times New Roman" w:cs="Times New Roman"/>
          <w:sz w:val="24"/>
          <w:szCs w:val="24"/>
        </w:rPr>
        <w:t>​ e os conjuntos ativados foram agregados via operador do tipo MAX.</w:t>
      </w:r>
    </w:p>
    <w:p w14:paraId="1F91A3E4" w14:textId="6461CA38" w:rsidR="004109F3" w:rsidRDefault="004109F3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 xml:space="preserve">Para incorporar o papel da densidade do solo como penalidade funcional, os pesos </w:t>
      </w:r>
      <w:proofErr w:type="spellStart"/>
      <w:r w:rsidRPr="00742760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742760">
        <w:rPr>
          <w:rFonts w:ascii="Times New Roman" w:hAnsi="Times New Roman" w:cs="Times New Roman"/>
          <w:sz w:val="24"/>
          <w:szCs w:val="24"/>
        </w:rPr>
        <w:t xml:space="preserve"> atribuídos a cada regra foram ajustados dinamicamente em função da classificação linguística de Ds. Regras com densidade alta (categoria linguística “baixa” na escala invertida) receberam pesos reduzidos (entre 0,4 e 0,6), enquanto regras com densidade baixa (categoria “alta”) foram atribuídas com pesos maiores (até 1,5). Esse ajuste visa reforçar a influência da qualidade física do solo na determinação da funcionalidade.</w:t>
      </w:r>
    </w:p>
    <w:p w14:paraId="1697A907" w14:textId="77777777" w:rsidR="00742760" w:rsidRPr="00742760" w:rsidRDefault="00742760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6054EB" w14:textId="4692E537" w:rsidR="00120F32" w:rsidRPr="00742760" w:rsidRDefault="00120F32" w:rsidP="00120F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760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42760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742760">
        <w:rPr>
          <w:rFonts w:ascii="Times New Roman" w:hAnsi="Times New Roman" w:cs="Times New Roman"/>
          <w:b/>
          <w:bCs/>
          <w:sz w:val="24"/>
          <w:szCs w:val="24"/>
        </w:rPr>
        <w:t>.5 Defuzzificação do índice funcional</w:t>
      </w:r>
    </w:p>
    <w:p w14:paraId="14A673DF" w14:textId="0BA58582" w:rsidR="00120F32" w:rsidRPr="00742760" w:rsidRDefault="00120F32" w:rsidP="00742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 xml:space="preserve">O valor final do índice </w:t>
      </w:r>
      <w:r w:rsidR="006241BE" w:rsidRPr="00742760">
        <w:rPr>
          <w:rFonts w:ascii="Times New Roman" w:hAnsi="Times New Roman" w:cs="Times New Roman"/>
          <w:sz w:val="24"/>
          <w:szCs w:val="24"/>
        </w:rPr>
        <w:t>FSNSI</w:t>
      </w:r>
      <w:r w:rsidRPr="00742760">
        <w:rPr>
          <w:rFonts w:ascii="Times New Roman" w:hAnsi="Times New Roman" w:cs="Times New Roman"/>
          <w:sz w:val="24"/>
          <w:szCs w:val="24"/>
        </w:rPr>
        <w:t xml:space="preserve"> foi obtido por meio do processo de defuzzificação por centróide, conforme Equação </w:t>
      </w:r>
      <w:r w:rsidR="00B027AC" w:rsidRPr="00742760">
        <w:rPr>
          <w:rFonts w:ascii="Times New Roman" w:hAnsi="Times New Roman" w:cs="Times New Roman"/>
          <w:sz w:val="24"/>
          <w:szCs w:val="24"/>
        </w:rPr>
        <w:t>8</w:t>
      </w:r>
      <w:r w:rsidRPr="00742760">
        <w:rPr>
          <w:rFonts w:ascii="Times New Roman" w:hAnsi="Times New Roman" w:cs="Times New Roman"/>
          <w:sz w:val="24"/>
          <w:szCs w:val="24"/>
        </w:rPr>
        <w:t>:</w:t>
      </w:r>
    </w:p>
    <w:p w14:paraId="031CEF19" w14:textId="3AC2446E" w:rsidR="00F4446A" w:rsidRPr="00742760" w:rsidRDefault="006241BE" w:rsidP="00120F32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FSNSI=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μFSNSI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*zdz</m:t>
                  </m:r>
                </m:e>
              </m:nary>
            </m:num>
            <m:den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μFSNSI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*dz</m:t>
                  </m:r>
                </m:e>
              </m:nary>
            </m:den>
          </m:f>
        </m:oMath>
      </m:oMathPara>
    </w:p>
    <w:p w14:paraId="2E83F685" w14:textId="77777777" w:rsidR="00F86F72" w:rsidRDefault="00F86F72" w:rsidP="00F8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3958FC" w14:textId="2B8BD555" w:rsidR="00722BE7" w:rsidRPr="00742760" w:rsidRDefault="006651C7" w:rsidP="00F8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2760">
        <w:rPr>
          <w:rFonts w:ascii="Times New Roman" w:hAnsi="Times New Roman" w:cs="Times New Roman"/>
          <w:sz w:val="24"/>
          <w:szCs w:val="24"/>
        </w:rPr>
        <w:t>E</w:t>
      </w:r>
      <w:r w:rsidR="00F4446A" w:rsidRPr="00742760">
        <w:rPr>
          <w:rFonts w:ascii="Times New Roman" w:hAnsi="Times New Roman" w:cs="Times New Roman"/>
          <w:sz w:val="24"/>
          <w:szCs w:val="24"/>
        </w:rPr>
        <w:t xml:space="preserve">m que </w:t>
      </w:r>
      <m:oMath>
        <m:r>
          <w:rPr>
            <w:rFonts w:ascii="Cambria Math" w:hAnsi="Cambria Math" w:cs="Times New Roman"/>
            <w:sz w:val="24"/>
            <w:szCs w:val="24"/>
          </w:rPr>
          <m:t>μFSNSI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</m:oMath>
      <w:r w:rsidR="00F4446A" w:rsidRPr="00742760">
        <w:rPr>
          <w:rFonts w:ascii="Times New Roman" w:hAnsi="Times New Roman" w:cs="Times New Roman"/>
          <w:sz w:val="24"/>
          <w:szCs w:val="24"/>
        </w:rPr>
        <w:t xml:space="preserve"> representa a função de pertinência agregada resultante da combinação de todas as regras ativadas para um determinado conjunto de entradas, e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</m:oMath>
      <w:r w:rsidR="00F4446A" w:rsidRPr="00742760">
        <w:rPr>
          <w:rFonts w:ascii="Times New Roman" w:hAnsi="Times New Roman" w:cs="Times New Roman"/>
          <w:sz w:val="24"/>
          <w:szCs w:val="24"/>
        </w:rPr>
        <w:t xml:space="preserve"> é o domínio contínuo da variável de saída.</w:t>
      </w:r>
      <w:r w:rsidR="00722BE7" w:rsidRPr="00742760">
        <w:rPr>
          <w:rFonts w:ascii="Times New Roman" w:hAnsi="Times New Roman" w:cs="Times New Roman"/>
          <w:sz w:val="24"/>
          <w:szCs w:val="24"/>
        </w:rPr>
        <w:t xml:space="preserve"> O valor </w:t>
      </w:r>
      <w:proofErr w:type="spellStart"/>
      <w:r w:rsidR="00722BE7" w:rsidRPr="00742760">
        <w:rPr>
          <w:rFonts w:ascii="Times New Roman" w:hAnsi="Times New Roman" w:cs="Times New Roman"/>
          <w:sz w:val="24"/>
          <w:szCs w:val="24"/>
        </w:rPr>
        <w:t>crisp</w:t>
      </w:r>
      <w:proofErr w:type="spellEnd"/>
      <w:r w:rsidR="00722BE7" w:rsidRPr="00742760">
        <w:rPr>
          <w:rFonts w:ascii="Times New Roman" w:hAnsi="Times New Roman" w:cs="Times New Roman"/>
          <w:sz w:val="24"/>
          <w:szCs w:val="24"/>
        </w:rPr>
        <w:t xml:space="preserve"> resultante do índice </w:t>
      </w:r>
      <w:r w:rsidR="006241BE" w:rsidRPr="00742760">
        <w:rPr>
          <w:rFonts w:ascii="Times New Roman" w:hAnsi="Times New Roman" w:cs="Times New Roman"/>
          <w:sz w:val="24"/>
          <w:szCs w:val="24"/>
        </w:rPr>
        <w:t>FSNSI</w:t>
      </w:r>
      <w:r w:rsidR="00722BE7" w:rsidRPr="00742760">
        <w:rPr>
          <w:rFonts w:ascii="Times New Roman" w:hAnsi="Times New Roman" w:cs="Times New Roman"/>
          <w:sz w:val="24"/>
          <w:szCs w:val="24"/>
        </w:rPr>
        <w:t xml:space="preserve"> assume valores contínuos entre 0 e 10 e foi interpretado segundo três faixas qualitativas </w:t>
      </w:r>
      <w:r w:rsidR="00722BE7" w:rsidRPr="00742760">
        <w:rPr>
          <w:rFonts w:ascii="Times New Roman" w:hAnsi="Times New Roman" w:cs="Times New Roman"/>
          <w:sz w:val="24"/>
          <w:szCs w:val="24"/>
        </w:rPr>
        <w:lastRenderedPageBreak/>
        <w:t>sendo (0,0 a 3,3) funcionalidade baixa; (3,4 a 6,6) funcionalidade intermediária e (6,7 a 10,0) funcionalidade alta.</w:t>
      </w:r>
    </w:p>
    <w:p w14:paraId="56E7909D" w14:textId="77777777" w:rsidR="00722BE7" w:rsidRDefault="00722BE7" w:rsidP="00440832">
      <w:pPr>
        <w:jc w:val="both"/>
      </w:pPr>
    </w:p>
    <w:p w14:paraId="332D7275" w14:textId="77777777" w:rsidR="004844BB" w:rsidRDefault="004844BB" w:rsidP="00440832">
      <w:pPr>
        <w:jc w:val="both"/>
      </w:pPr>
    </w:p>
    <w:p w14:paraId="3E6341DA" w14:textId="77777777" w:rsidR="004844BB" w:rsidRDefault="004844BB" w:rsidP="00440832">
      <w:pPr>
        <w:jc w:val="both"/>
      </w:pPr>
    </w:p>
    <w:p w14:paraId="7EA80048" w14:textId="77777777" w:rsidR="004844BB" w:rsidRDefault="004844BB" w:rsidP="00440832">
      <w:pPr>
        <w:jc w:val="both"/>
      </w:pPr>
    </w:p>
    <w:p w14:paraId="755540B0" w14:textId="77777777" w:rsidR="004844BB" w:rsidRDefault="004844BB" w:rsidP="00440832">
      <w:pPr>
        <w:jc w:val="both"/>
      </w:pPr>
    </w:p>
    <w:p w14:paraId="1DD5992C" w14:textId="17952196" w:rsidR="004844BB" w:rsidRDefault="004844BB" w:rsidP="00440832">
      <w:pPr>
        <w:jc w:val="both"/>
      </w:pPr>
    </w:p>
    <w:p w14:paraId="4F364617" w14:textId="702BCEF2" w:rsidR="00F86F72" w:rsidRDefault="00F86F72" w:rsidP="00440832">
      <w:pPr>
        <w:jc w:val="both"/>
      </w:pPr>
    </w:p>
    <w:p w14:paraId="5BAF1E03" w14:textId="681F3BEB" w:rsidR="00F86F72" w:rsidRDefault="00F86F72" w:rsidP="00440832">
      <w:pPr>
        <w:jc w:val="both"/>
      </w:pPr>
    </w:p>
    <w:p w14:paraId="114A969E" w14:textId="7580E29E" w:rsidR="00F86F72" w:rsidRDefault="00F86F72" w:rsidP="00440832">
      <w:pPr>
        <w:jc w:val="both"/>
      </w:pPr>
    </w:p>
    <w:p w14:paraId="6C82C294" w14:textId="6F6F9948" w:rsidR="00F86F72" w:rsidRDefault="00F86F72" w:rsidP="00440832">
      <w:pPr>
        <w:jc w:val="both"/>
      </w:pPr>
    </w:p>
    <w:p w14:paraId="27584031" w14:textId="7FA353F7" w:rsidR="00F86F72" w:rsidRDefault="00F86F72" w:rsidP="00440832">
      <w:pPr>
        <w:jc w:val="both"/>
      </w:pPr>
    </w:p>
    <w:p w14:paraId="37D92577" w14:textId="207F0E17" w:rsidR="00F86F72" w:rsidRDefault="00F86F72" w:rsidP="00440832">
      <w:pPr>
        <w:jc w:val="both"/>
      </w:pPr>
    </w:p>
    <w:p w14:paraId="454C4340" w14:textId="19BCBF40" w:rsidR="00F86F72" w:rsidRDefault="00F86F72" w:rsidP="00440832">
      <w:pPr>
        <w:jc w:val="both"/>
      </w:pPr>
    </w:p>
    <w:p w14:paraId="7901BB49" w14:textId="527AD2D5" w:rsidR="00F86F72" w:rsidRDefault="00F86F72" w:rsidP="00440832">
      <w:pPr>
        <w:jc w:val="both"/>
      </w:pPr>
    </w:p>
    <w:p w14:paraId="4CF72433" w14:textId="403484CE" w:rsidR="00F86F72" w:rsidRDefault="00F86F72" w:rsidP="00440832">
      <w:pPr>
        <w:jc w:val="both"/>
      </w:pPr>
    </w:p>
    <w:p w14:paraId="39D7A93B" w14:textId="21840078" w:rsidR="00F86F72" w:rsidRDefault="00F86F72" w:rsidP="00440832">
      <w:pPr>
        <w:jc w:val="both"/>
      </w:pPr>
    </w:p>
    <w:p w14:paraId="6012D2BC" w14:textId="4D2B59A7" w:rsidR="00F86F72" w:rsidRDefault="00F86F72" w:rsidP="00440832">
      <w:pPr>
        <w:jc w:val="both"/>
      </w:pPr>
    </w:p>
    <w:p w14:paraId="131B2FF7" w14:textId="150BD779" w:rsidR="00F86F72" w:rsidRDefault="00F86F72" w:rsidP="00440832">
      <w:pPr>
        <w:jc w:val="both"/>
      </w:pPr>
    </w:p>
    <w:p w14:paraId="0255EE0A" w14:textId="3599A823" w:rsidR="00F86F72" w:rsidRDefault="00F86F72" w:rsidP="00440832">
      <w:pPr>
        <w:jc w:val="both"/>
      </w:pPr>
    </w:p>
    <w:p w14:paraId="62D40A87" w14:textId="7BA4B647" w:rsidR="00F86F72" w:rsidRDefault="00F86F72" w:rsidP="00440832">
      <w:pPr>
        <w:jc w:val="both"/>
      </w:pPr>
    </w:p>
    <w:p w14:paraId="78F1CECE" w14:textId="6F97AF57" w:rsidR="00F86F72" w:rsidRDefault="00F86F72" w:rsidP="00440832">
      <w:pPr>
        <w:jc w:val="both"/>
      </w:pPr>
    </w:p>
    <w:p w14:paraId="292E9C36" w14:textId="7C2B83FA" w:rsidR="00F86F72" w:rsidRDefault="00F86F72" w:rsidP="00440832">
      <w:pPr>
        <w:jc w:val="both"/>
      </w:pPr>
    </w:p>
    <w:p w14:paraId="2C730F26" w14:textId="5518EC0F" w:rsidR="00F86F72" w:rsidRDefault="00F86F72" w:rsidP="00440832">
      <w:pPr>
        <w:jc w:val="both"/>
      </w:pPr>
    </w:p>
    <w:p w14:paraId="3824F1B0" w14:textId="7C58B889" w:rsidR="00F86F72" w:rsidRDefault="00F86F72" w:rsidP="00440832">
      <w:pPr>
        <w:jc w:val="both"/>
      </w:pPr>
    </w:p>
    <w:p w14:paraId="72AC6A89" w14:textId="5B7FF2E5" w:rsidR="00F86F72" w:rsidRDefault="00F86F72" w:rsidP="00440832">
      <w:pPr>
        <w:jc w:val="both"/>
      </w:pPr>
    </w:p>
    <w:p w14:paraId="56960F09" w14:textId="55CBAFEC" w:rsidR="00F86F72" w:rsidRDefault="00F86F72" w:rsidP="00440832">
      <w:pPr>
        <w:jc w:val="both"/>
      </w:pPr>
    </w:p>
    <w:p w14:paraId="0228E0E8" w14:textId="7548D488" w:rsidR="00F86F72" w:rsidRDefault="00F86F72" w:rsidP="00440832">
      <w:pPr>
        <w:jc w:val="both"/>
      </w:pPr>
    </w:p>
    <w:p w14:paraId="060E64B7" w14:textId="713A7BE5" w:rsidR="00F86F72" w:rsidRDefault="00F86F72" w:rsidP="00440832">
      <w:pPr>
        <w:jc w:val="both"/>
      </w:pPr>
    </w:p>
    <w:p w14:paraId="23711CF5" w14:textId="77777777" w:rsidR="00F86F72" w:rsidRDefault="00F86F72" w:rsidP="00440832">
      <w:pPr>
        <w:jc w:val="both"/>
      </w:pPr>
    </w:p>
    <w:p w14:paraId="18A14A5B" w14:textId="58E66D5C" w:rsidR="004844BB" w:rsidRPr="00F86F72" w:rsidRDefault="00F86F72" w:rsidP="004408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6F72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RESULTADOS E DISCUSSÃO</w:t>
      </w:r>
    </w:p>
    <w:p w14:paraId="73264C65" w14:textId="2661FFDB" w:rsidR="003E42D4" w:rsidRPr="00F86F72" w:rsidRDefault="003E42D4" w:rsidP="00F86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A análise de correlação entre o Nitrogênio Total (NT) e variáveis associadas à matéria orgânica do solo revelou que frações como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NTHum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, NTAH,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NLabil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e NMOL apresentam associações significativas com os estoques totais de N. Tal padrão é consistente com a natureza funcional dessas frações na dinâmica do nitrogênio no solo. A fração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humina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nitrogenada (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NTHum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), por exemplo, constitui o principal reservatório de N estável no solo, com elevada resistência à decomposição e longa persistência temporal, sendo responsável por uma proporção substancial do NT em sistemas consolidados de acúmulo de MOS (Paul, 2016;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Helfenstein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et al., 2020; SJR = Q1,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Biology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&amp;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Biochemistry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>, ISSN: 0038-0717).</w:t>
      </w:r>
    </w:p>
    <w:p w14:paraId="1F4DACEA" w14:textId="77777777" w:rsidR="003E42D4" w:rsidRPr="00F86F72" w:rsidRDefault="003E42D4" w:rsidP="00F86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As </w:t>
      </w:r>
      <w:proofErr w:type="gram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frações húmica</w:t>
      </w:r>
      <w:proofErr w:type="gram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(NTAH) e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fúlvica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(NTAF) também contribuíram como preditoras do NT, refletindo o papel intermediário dessas substâncias na estabilização e na ciclagem do N orgânico, especialmente em sistemas conservacionistas onde se intensificam os processos de humificação (Cotrufo et al., 2019; SJR = Q1,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Nature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Geoscience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>, ISSN: 1752-0894). Já a fração lábil de N (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NLabil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>), associada à biomassa microbiana e compostos de rápida mineralização, representa o compartimento de resposta mais imediata às práticas de manejo, sendo fortemente correlacionada com o NT em solos com maior atividade biológica (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Kuzyakov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&amp;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Xu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, 2013; SJR = Q1,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Geoderma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>, ISSN: 0016-7061).</w:t>
      </w:r>
    </w:p>
    <w:p w14:paraId="01EF47FB" w14:textId="77777777" w:rsidR="003E42D4" w:rsidRPr="00F86F72" w:rsidRDefault="003E42D4" w:rsidP="00F86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86F72">
        <w:rPr>
          <w:rFonts w:ascii="Times New Roman" w:hAnsi="Times New Roman" w:cs="Times New Roman"/>
          <w:color w:val="EE0000"/>
          <w:sz w:val="24"/>
          <w:szCs w:val="24"/>
        </w:rPr>
        <w:t>Adicionalmente, os teores de P total (PT) e suas frações húmicas (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PTHum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, PTAH,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PLabil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) apresentaram elevada correlação com o NT. Esse comportamento está alinhado ao conceito de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co-acúmulo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e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co-estabilização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de nutrientes na MOS, segundo o qual P e N se associam a complexos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organo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-minerais ou são adsorvidos simultaneamente a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colóides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orgânicos e minerais, favorecendo a persistência dos estoques totais de N (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Helfenstein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et al., 2020;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Tivet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et al., 2013; SJR = Q1). A correlação entre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PLabil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>/PMOL e o NT sugere ainda sinergia entre disponibilidade de nutrientes e fracionamento recente da matéria orgânica, indicando elevada atividade microbiana e turnover acelerado.</w:t>
      </w:r>
    </w:p>
    <w:p w14:paraId="53A919C9" w14:textId="77777777" w:rsidR="003E42D4" w:rsidRPr="00F86F72" w:rsidRDefault="003E42D4" w:rsidP="00F86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Esses achados reforçam que a predição do NT em sistemas edáficos tropicais deve considerar não apenas frações diretamente nitrogenadas, mas também os componentes fosforados e orgânicos associados, dada a natureza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multinutriente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da MOS e sua </w:t>
      </w:r>
      <w:proofErr w:type="spellStart"/>
      <w:r w:rsidRPr="00F86F72">
        <w:rPr>
          <w:rFonts w:ascii="Times New Roman" w:hAnsi="Times New Roman" w:cs="Times New Roman"/>
          <w:color w:val="EE0000"/>
          <w:sz w:val="24"/>
          <w:szCs w:val="24"/>
        </w:rPr>
        <w:t>co-regulação</w:t>
      </w:r>
      <w:proofErr w:type="spellEnd"/>
      <w:r w:rsidRPr="00F86F72">
        <w:rPr>
          <w:rFonts w:ascii="Times New Roman" w:hAnsi="Times New Roman" w:cs="Times New Roman"/>
          <w:color w:val="EE0000"/>
          <w:sz w:val="24"/>
          <w:szCs w:val="24"/>
        </w:rPr>
        <w:t xml:space="preserve"> pelas vias biogeoquímicas de decomposição, complexação e proteção físico-química.</w:t>
      </w:r>
    </w:p>
    <w:p w14:paraId="5D87CA7F" w14:textId="00AF71EA" w:rsidR="00632AB5" w:rsidRDefault="00632AB5" w:rsidP="00440832">
      <w:pPr>
        <w:jc w:val="both"/>
        <w:rPr>
          <w:color w:val="EE0000"/>
        </w:rPr>
      </w:pPr>
    </w:p>
    <w:p w14:paraId="5FAD3FFA" w14:textId="35E2D817" w:rsidR="00F86F72" w:rsidRPr="00F86F72" w:rsidRDefault="00F86F72" w:rsidP="00F86F72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REFERÊNCIAS</w:t>
      </w:r>
    </w:p>
    <w:p w14:paraId="147C53BB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Barros, E. (2017). Dinâmica da matéria orgânica e fertilidade de solos tropicais sob diferentes usos. Embrapa Solos.</w:t>
      </w:r>
    </w:p>
    <w:p w14:paraId="00A4F4B8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Chen, R.,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Senbayram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Blagodatsky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Myachina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Dittert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K., Liu, C.,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Kuzyakov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Y. (2018).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availability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determine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priming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effect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Microbial N mining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stoichiometric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decomposition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theories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Global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Change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Biology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24(12), 5122–5134. https://doi.org/10.1111/gcb.14474</w:t>
      </w:r>
    </w:p>
    <w:p w14:paraId="534CEAC5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Cotrufo, M. F.,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Ranalli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 G.,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Haddix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 L., Six, J.,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Lugato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E. (2019).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carbon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storage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informed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particulate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mineral-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associated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organic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matter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Nature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Geoscience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12, 989–994. https://doi.org/10.1038/s41561-019-0484-6</w:t>
      </w:r>
    </w:p>
    <w:p w14:paraId="48D75CB0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Cross, A. F.,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Schlesinger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W. H. (1995). A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literature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review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evaluation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Hedley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fractionation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Applications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biogeochemical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cycle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phosphorus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natural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ecosystems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Geoderma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64(3–4), 197–214. https://doi.org/10.1016/0016-7061(94)00023-4</w:t>
      </w:r>
    </w:p>
    <w:p w14:paraId="090B9811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Hair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J. F.,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Hult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G. T. M.,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Ringle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C. M.,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Sarstedt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 (2021). A primer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Partial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Least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Squares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Structural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Equation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Modeling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(PLS-SEM) (3rd ed.).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Sage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Publications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D58CA2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Helfenstein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J.,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Jegminat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J., McLaren, T. I.,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Frossard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E.,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Oberson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A. (2020).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organic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phosphorus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transformations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response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management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environmental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changes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A review.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Biology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Biochemistry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156, 108193. https://doi.org/10.1016/j.soilbio.2021.108193</w:t>
      </w:r>
    </w:p>
    <w:p w14:paraId="4780EF21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Kuzyakov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Y.,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Xu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X. (2013).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Competition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between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roots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microorganisms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nitrogen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Mechanisms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ecological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relevance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New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Phytologist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198(3), 656–669. https://doi.org/10.1111/nph.12235</w:t>
      </w:r>
    </w:p>
    <w:p w14:paraId="38629B62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Lal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R. (2020).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organic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matter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water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retention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The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impact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management. Land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Degradation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Development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31(9), 1369–1382. https://doi.org/10.1002/ldr.3580</w:t>
      </w:r>
    </w:p>
    <w:p w14:paraId="39EFC2A3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Lehmann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J., &amp; Kleber, M. (2015). The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contentious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nature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organic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matter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Nature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528, 60–68. https://doi.org/10.1038/nature16069</w:t>
      </w:r>
    </w:p>
    <w:p w14:paraId="3E0ABE5B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Lima, J. R. S., Andrade, F. V., Santos, M. F. P., &amp; Mendonça, E. S. (2023).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Integrating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fuzzy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indicators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assess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sustainability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tropical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agroecosystems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Ecological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Indicators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150, 110234. https://doi.org/10.1016/j.ecolind.2023.110234</w:t>
      </w:r>
    </w:p>
    <w:p w14:paraId="3D358C6A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Mamdani, E. H. (1977).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Application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fuzzy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logic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approximate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reasoning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using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linguistic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synthesis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IEEE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Transactions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Computers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26(12), 1182–1191. https://doi.org/10.1109/TC.1977.1674779</w:t>
      </w:r>
    </w:p>
    <w:p w14:paraId="4A5892CD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Mendonça, E. S., Lima, J. R. S., &amp; Ferreira, A. L. (2024). Fuzzy-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based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modeling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multifunctionality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under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intensification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tropical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regions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Environmental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Modelling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Software, 173, 105783. https://doi.org/10.1016/j.envsoft.2024.105783</w:t>
      </w:r>
    </w:p>
    <w:p w14:paraId="4304A993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Paul, E. A. (2016). The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nature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dynamics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organic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matter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Reconsiderations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within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current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paradigm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Biology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Biochemistry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98, 109–123. https://doi.org/10.1016/j.soilbio.2016.04.001</w:t>
      </w:r>
    </w:p>
    <w:p w14:paraId="24EA43D8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Sano, E. E., Rodrigues, A. A., Martins, E. S.,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Bettiol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G. M. (2020). Cerrado e suas transformações: Dinâmica da ocupação e desafios à conservação. Revista Brasileira de Geografia Física, 13(2), 442–459. https://doi.org/10.26848/rbgf.v13.2.p442-459</w:t>
      </w:r>
    </w:p>
    <w:p w14:paraId="4A398E55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Silva, R. F., Siqueira, A. M., &amp; Andrade, A. P. (2022). Land-use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intensification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reduces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organic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matter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stability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tropical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regions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Science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Total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Environment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821, 153289. https://doi.org/10.1016/j.scitotenv.2022.153289</w:t>
      </w:r>
    </w:p>
    <w:p w14:paraId="1D163D0E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Six, J.,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Feller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Denef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K.,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Ogle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 M., Moraes Sá, J. C., &amp; Albrecht, A. (2002).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organic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matter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biota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aggregation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temperate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tropical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Effects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no-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tillage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Tillage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Research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61(1–2), 1–18. https://doi.org/10.1016/S0167-1987(01)00170-8</w:t>
      </w:r>
    </w:p>
    <w:p w14:paraId="79310452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Sousa, D. M. G., Santos, H. G., &amp; Carneiro, J. S. (2021).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Long-term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change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impacts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nutrient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cycling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organic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matter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fractions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Cerrado.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Agriculture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Ecosystems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Environment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319, 107567. https://doi.org/10.1016/j.agee.2021.107567</w:t>
      </w:r>
    </w:p>
    <w:p w14:paraId="687FAD81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Stevenson, F. J. (1994). Humus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chemistry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Genesis,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composition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reactions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(2nd ed.).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Wiley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30277A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Strassburg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B. B. N., Brooks, T.,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Feltran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-Barbieri, R., et al. (2017).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Moment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truth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Cerrado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hotspot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Nature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Ecology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Evolution, 1, 0099. https://doi.org/10.1038/s41559-017-0099</w:t>
      </w:r>
    </w:p>
    <w:p w14:paraId="23671F3B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Tivet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F., Sá, J. C. M.,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Lal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Briedis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C.,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Borszowskei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P. R.,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Hartman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D. C. (2013).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Aggregate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depletion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plowing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its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restoration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no-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till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cropping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systems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under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subtropical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tropical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conditions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Tillage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Research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126, 203–218. https://doi.org/10.1016/j.still.2012.09.006</w:t>
      </w:r>
    </w:p>
    <w:p w14:paraId="4625DED8" w14:textId="77777777" w:rsidR="00F86F72" w:rsidRPr="00F86F72" w:rsidRDefault="00F86F72" w:rsidP="00F86F7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Wang, J., Zhang, X., &amp; Wu, X. (2023).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Soil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phosphorus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dynamics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under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contrasting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land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uses in tropical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ecosystems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A global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synthesis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Global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Change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Biology</w:t>
      </w:r>
      <w:proofErr w:type="spellEnd"/>
      <w:r w:rsidRPr="00F86F72">
        <w:rPr>
          <w:rFonts w:ascii="Times New Roman" w:hAnsi="Times New Roman" w:cs="Times New Roman"/>
          <w:color w:val="000000" w:themeColor="text1"/>
          <w:sz w:val="24"/>
          <w:szCs w:val="24"/>
        </w:rPr>
        <w:t>, 29(4), 1154–1170. https://doi.org/10.1111/gcb.16435</w:t>
      </w:r>
    </w:p>
    <w:p w14:paraId="65B1D321" w14:textId="77777777" w:rsidR="00F86F72" w:rsidRPr="00E6691A" w:rsidRDefault="00F86F72" w:rsidP="00440832">
      <w:pPr>
        <w:jc w:val="both"/>
        <w:rPr>
          <w:color w:val="EE0000"/>
        </w:rPr>
      </w:pPr>
    </w:p>
    <w:sectPr w:rsidR="00F86F72" w:rsidRPr="00E669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43003"/>
    <w:multiLevelType w:val="multilevel"/>
    <w:tmpl w:val="33A6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42FEE"/>
    <w:multiLevelType w:val="multilevel"/>
    <w:tmpl w:val="E9A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822B1"/>
    <w:multiLevelType w:val="multilevel"/>
    <w:tmpl w:val="4476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17874"/>
    <w:multiLevelType w:val="multilevel"/>
    <w:tmpl w:val="7D4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70A54"/>
    <w:multiLevelType w:val="multilevel"/>
    <w:tmpl w:val="CF66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D4"/>
    <w:rsid w:val="00037FA1"/>
    <w:rsid w:val="00051867"/>
    <w:rsid w:val="000821C4"/>
    <w:rsid w:val="00120F32"/>
    <w:rsid w:val="001457B8"/>
    <w:rsid w:val="001B64EB"/>
    <w:rsid w:val="002A26C5"/>
    <w:rsid w:val="002D78C4"/>
    <w:rsid w:val="00305694"/>
    <w:rsid w:val="00330164"/>
    <w:rsid w:val="0033209B"/>
    <w:rsid w:val="003D550C"/>
    <w:rsid w:val="003E42D4"/>
    <w:rsid w:val="00405E24"/>
    <w:rsid w:val="004109F3"/>
    <w:rsid w:val="00422C36"/>
    <w:rsid w:val="00425FBD"/>
    <w:rsid w:val="00440832"/>
    <w:rsid w:val="00443EFA"/>
    <w:rsid w:val="00454957"/>
    <w:rsid w:val="004844BB"/>
    <w:rsid w:val="0048561F"/>
    <w:rsid w:val="004B25C2"/>
    <w:rsid w:val="004B585B"/>
    <w:rsid w:val="004F2647"/>
    <w:rsid w:val="00511307"/>
    <w:rsid w:val="0051531C"/>
    <w:rsid w:val="00526AB1"/>
    <w:rsid w:val="00527362"/>
    <w:rsid w:val="00554868"/>
    <w:rsid w:val="00567209"/>
    <w:rsid w:val="005A3289"/>
    <w:rsid w:val="005A6174"/>
    <w:rsid w:val="005C3AE2"/>
    <w:rsid w:val="005C6AA8"/>
    <w:rsid w:val="005D0AE9"/>
    <w:rsid w:val="00620E67"/>
    <w:rsid w:val="006241BE"/>
    <w:rsid w:val="00625C01"/>
    <w:rsid w:val="00632AB5"/>
    <w:rsid w:val="00640C7F"/>
    <w:rsid w:val="006651C7"/>
    <w:rsid w:val="006937DF"/>
    <w:rsid w:val="0069609C"/>
    <w:rsid w:val="00722BE7"/>
    <w:rsid w:val="00742760"/>
    <w:rsid w:val="007C3923"/>
    <w:rsid w:val="007D7462"/>
    <w:rsid w:val="00811F21"/>
    <w:rsid w:val="0083336A"/>
    <w:rsid w:val="00880623"/>
    <w:rsid w:val="008D584F"/>
    <w:rsid w:val="009026BA"/>
    <w:rsid w:val="009461A2"/>
    <w:rsid w:val="009517F5"/>
    <w:rsid w:val="00966135"/>
    <w:rsid w:val="009A7148"/>
    <w:rsid w:val="009B11BC"/>
    <w:rsid w:val="009C09F4"/>
    <w:rsid w:val="009C30AE"/>
    <w:rsid w:val="009D00F4"/>
    <w:rsid w:val="009D5C38"/>
    <w:rsid w:val="00A34FC2"/>
    <w:rsid w:val="00A53A1A"/>
    <w:rsid w:val="00A65BAE"/>
    <w:rsid w:val="00A75CC8"/>
    <w:rsid w:val="00B027AC"/>
    <w:rsid w:val="00BA513B"/>
    <w:rsid w:val="00C51AC7"/>
    <w:rsid w:val="00C920F2"/>
    <w:rsid w:val="00CB0497"/>
    <w:rsid w:val="00CE3FFA"/>
    <w:rsid w:val="00D06387"/>
    <w:rsid w:val="00D3680A"/>
    <w:rsid w:val="00D8172E"/>
    <w:rsid w:val="00D8403F"/>
    <w:rsid w:val="00E37036"/>
    <w:rsid w:val="00E41110"/>
    <w:rsid w:val="00E43D10"/>
    <w:rsid w:val="00E55419"/>
    <w:rsid w:val="00E6691A"/>
    <w:rsid w:val="00E770A3"/>
    <w:rsid w:val="00EA04EB"/>
    <w:rsid w:val="00ED1023"/>
    <w:rsid w:val="00F265B9"/>
    <w:rsid w:val="00F3199D"/>
    <w:rsid w:val="00F4107B"/>
    <w:rsid w:val="00F4446A"/>
    <w:rsid w:val="00F86F72"/>
    <w:rsid w:val="00FB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FBD87"/>
  <w15:chartTrackingRefBased/>
  <w15:docId w15:val="{7DB58495-363A-4574-89B5-6265BDFB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4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4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4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4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4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42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42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42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42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42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42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42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42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42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4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42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42D4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F4446A"/>
    <w:rPr>
      <w:color w:val="666666"/>
    </w:rPr>
  </w:style>
  <w:style w:type="table" w:styleId="Tabelacomgrade">
    <w:name w:val="Table Grid"/>
    <w:basedOn w:val="Tabelanormal"/>
    <w:uiPriority w:val="59"/>
    <w:qFormat/>
    <w:rsid w:val="006937D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Fontepargpadro"/>
    <w:rsid w:val="00D3680A"/>
  </w:style>
  <w:style w:type="paragraph" w:customStyle="1" w:styleId="p1">
    <w:name w:val="p1"/>
    <w:basedOn w:val="Normal"/>
    <w:rsid w:val="005113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65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9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6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9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5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7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7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814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5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4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5953</Words>
  <Characters>32149</Characters>
  <Application>Microsoft Office Word</Application>
  <DocSecurity>0</DocSecurity>
  <Lines>267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Diego Vidal Santos</dc:creator>
  <cp:keywords/>
  <dc:description/>
  <cp:lastModifiedBy>Dayane</cp:lastModifiedBy>
  <cp:revision>2</cp:revision>
  <dcterms:created xsi:type="dcterms:W3CDTF">2025-10-28T12:03:00Z</dcterms:created>
  <dcterms:modified xsi:type="dcterms:W3CDTF">2025-10-28T12:03:00Z</dcterms:modified>
</cp:coreProperties>
</file>