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YaHei"/>
          <w:b/>
          <w:color w:val="2E74B5"/>
          <w:sz w:val="20"/>
        </w:rPr>
        <w:t>交易员查阅版</w:t>
      </w:r>
    </w:p>
    <w:p>
      <w:pPr>
        <w:spacing w:after="80"/>
      </w:pPr>
      <w:r>
        <w:rPr>
          <w:rFonts w:ascii="Calibri" w:hAnsi="Calibri" w:eastAsia="Microsoft YaHei"/>
          <w:b/>
          <w:color w:val="17365D"/>
          <w:sz w:val="48"/>
        </w:rPr>
        <w:t>报单排序模板导入映射规则</w:t>
      </w:r>
    </w:p>
    <w:p>
      <w:pPr>
        <w:spacing w:after="280"/>
      </w:pPr>
      <w:r>
        <w:rPr>
          <w:rFonts w:ascii="Calibri" w:hAnsi="Calibri" w:eastAsia="Microsoft YaHei"/>
          <w:b w:val="0"/>
          <w:color w:val="667085"/>
          <w:sz w:val="21"/>
        </w:rPr>
        <w:t>适用于 OMS 交易账户开户配置中的“模板导入”功能｜版本 1.0</w:t>
      </w:r>
    </w:p>
    <w:p>
      <w:pPr>
        <w:pStyle w:val="Heading1"/>
      </w:pPr>
      <w:r>
        <w:t>1. 使用方法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color w:val="1F4D78"/>
          <w:sz w:val="22"/>
        </w:rPr>
        <w:t>选择模板：</w:t>
      </w:r>
      <w:r>
        <w:rPr>
          <w:rFonts w:ascii="Calibri" w:hAnsi="Calibri" w:eastAsia="Microsoft YaHei"/>
          <w:b w:val="0"/>
          <w:color w:val="000000"/>
          <w:sz w:val="22"/>
        </w:rPr>
        <w:t>在开户页面的报单排序配置中点击“模板导入”，选择需要引用的报单排序模板。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color w:val="1F4D78"/>
          <w:sz w:val="22"/>
        </w:rPr>
        <w:t>查看结果：</w:t>
      </w:r>
      <w:r>
        <w:rPr>
          <w:rFonts w:ascii="Calibri" w:hAnsi="Calibri" w:eastAsia="Microsoft YaHei"/>
          <w:b w:val="0"/>
          <w:color w:val="000000"/>
          <w:sz w:val="22"/>
        </w:rPr>
        <w:t>系统根据下表映射关系及当前账户交易权限，显示全部匹配、部分匹配或无法导入。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color w:val="1F4D78"/>
          <w:sz w:val="22"/>
        </w:rPr>
        <w:t>确认导入：</w:t>
      </w:r>
      <w:r>
        <w:rPr>
          <w:rFonts w:ascii="Calibri" w:hAnsi="Calibri" w:eastAsia="Microsoft YaHei"/>
          <w:b w:val="0"/>
          <w:color w:val="000000"/>
          <w:sz w:val="22"/>
        </w:rPr>
        <w:t>仅匹配规则会写入当前开户编辑状态；最终以开户页面的确定/保存结果为准。</w:t>
      </w:r>
    </w:p>
    <w:p>
      <w:pPr>
        <w:pStyle w:val="Heading1"/>
      </w:pPr>
      <w:r>
        <w:t>2. 市场与交易所映射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4700"/>
        <w:gridCol w:w="2810"/>
      </w:tblGrid>
      <w:tr>
        <w:trPr>
          <w:tblHeader w:val="true"/>
        </w:trPr>
        <w:tc>
          <w:tcPr>
            <w:tcW w:type="dxa" w:w="18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开户股票市场</w:t>
            </w:r>
          </w:p>
        </w:tc>
        <w:tc>
          <w:tcPr>
            <w:tcW w:type="dxa" w:w="4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模板中的交易所</w:t>
            </w:r>
          </w:p>
        </w:tc>
        <w:tc>
          <w:tcPr>
            <w:tcW w:type="dxa" w:w="28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生成规则</w:t>
            </w:r>
          </w:p>
        </w:tc>
      </w:tr>
      <w:tr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沪深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上交所、深交所</w:t>
            </w:r>
          </w:p>
        </w:tc>
        <w:tc>
          <w:tcPr>
            <w:tcW w:type="dxa" w:w="2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生成沪深市场规则</w:t>
            </w:r>
          </w:p>
        </w:tc>
      </w:tr>
      <w:tr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港股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香港交易所、深港通、沪股通</w:t>
            </w:r>
          </w:p>
        </w:tc>
        <w:tc>
          <w:tcPr>
            <w:tcW w:type="dxa" w:w="2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生成港股市场规则</w:t>
            </w:r>
          </w:p>
        </w:tc>
      </w:tr>
      <w:tr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美股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美国证券交易所、纽约证券交易所</w:t>
            </w:r>
          </w:p>
        </w:tc>
        <w:tc>
          <w:tcPr>
            <w:tcW w:type="dxa" w:w="2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生成美股市场规则</w:t>
            </w:r>
          </w:p>
        </w:tc>
      </w:tr>
    </w:tbl>
    <w:p>
      <w:pPr>
        <w:spacing w:after="40"/>
      </w:pPr>
    </w:p>
    <w:p>
      <w:pPr>
        <w:pStyle w:val="Heading1"/>
      </w:pPr>
      <w:r>
        <w:t>3. 品种与合约类型映射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3550"/>
        <w:gridCol w:w="3960"/>
      </w:tblGrid>
      <w:tr>
        <w:trPr>
          <w:tblHeader w:val="true"/>
        </w:trPr>
        <w:tc>
          <w:tcPr>
            <w:tcW w:type="dxa" w:w="18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开户品种</w:t>
            </w:r>
          </w:p>
        </w:tc>
        <w:tc>
          <w:tcPr>
            <w:tcW w:type="dxa" w:w="35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模板中的合约类型</w:t>
            </w:r>
          </w:p>
        </w:tc>
        <w:tc>
          <w:tcPr>
            <w:tcW w:type="dxa" w:w="3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处理结果</w:t>
            </w:r>
          </w:p>
        </w:tc>
      </w:tr>
      <w:tr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股票</w:t>
            </w:r>
          </w:p>
        </w:tc>
        <w:tc>
          <w:tcPr>
            <w:tcW w:type="dxa" w:w="3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股票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按股票品种校验权限</w:t>
            </w:r>
          </w:p>
        </w:tc>
      </w:tr>
      <w:tr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ETF</w:t>
            </w:r>
          </w:p>
        </w:tc>
        <w:tc>
          <w:tcPr>
            <w:tcW w:type="dxa" w:w="3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公募基金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按 ETF 品种校验权限</w:t>
            </w:r>
          </w:p>
        </w:tc>
      </w:tr>
      <w:tr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可转债</w:t>
            </w:r>
          </w:p>
        </w:tc>
        <w:tc>
          <w:tcPr>
            <w:tcW w:type="dxa" w:w="3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可转债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按可转债品种校验权限</w:t>
            </w:r>
          </w:p>
        </w:tc>
      </w:tr>
    </w:tbl>
    <w:p>
      <w:pPr>
        <w:spacing w:after="40"/>
      </w:pPr>
    </w:p>
    <w:p>
      <w:pPr>
        <w:pStyle w:val="Heading1"/>
      </w:pPr>
      <w:r>
        <w:t>4. 交易方向映射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3550"/>
        <w:gridCol w:w="3960"/>
      </w:tblGrid>
      <w:tr>
        <w:trPr>
          <w:tblHeader w:val="true"/>
        </w:trPr>
        <w:tc>
          <w:tcPr>
            <w:tcW w:type="dxa" w:w="18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开户交易方向</w:t>
            </w:r>
          </w:p>
        </w:tc>
        <w:tc>
          <w:tcPr>
            <w:tcW w:type="dxa" w:w="35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模板中的交易方向</w:t>
            </w:r>
          </w:p>
        </w:tc>
        <w:tc>
          <w:tcPr>
            <w:tcW w:type="dxa" w:w="3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说明</w:t>
            </w:r>
          </w:p>
        </w:tc>
      </w:tr>
      <w:tr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买</w:t>
            </w:r>
          </w:p>
        </w:tc>
        <w:tc>
          <w:tcPr>
            <w:tcW w:type="dxa" w:w="3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买入、买开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业务及品种校验通过后统一转换为买</w:t>
            </w:r>
          </w:p>
        </w:tc>
      </w:tr>
      <w:tr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卖</w:t>
            </w:r>
          </w:p>
        </w:tc>
        <w:tc>
          <w:tcPr>
            <w:tcW w:type="dxa" w:w="3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卖出、卖平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业务及品种校验通过后统一转换为卖</w:t>
            </w:r>
          </w:p>
        </w:tc>
      </w:tr>
    </w:tbl>
    <w:p>
      <w:pPr>
        <w:spacing w:after="40"/>
      </w:pPr>
    </w:p>
    <w:p>
      <w:pPr>
        <w:pStyle w:val="Heading1"/>
      </w:pPr>
      <w:r>
        <w:t>5. 跳过与报错规则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700"/>
        <w:gridCol w:w="27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校验项</w:t>
            </w:r>
          </w:p>
        </w:tc>
        <w:tc>
          <w:tcPr>
            <w:tcW w:type="dxa" w:w="4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不符合时的处理</w:t>
            </w:r>
          </w:p>
        </w:tc>
        <w:tc>
          <w:tcPr>
            <w:tcW w:type="dxa" w:w="2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页面提示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业务类型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非普通交易的模板行跳过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业务不支持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合约类型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期货、指数期货及未建立映射的类型跳过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品种不支持或无映射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交易所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交易所无法映射到开户股票市场时跳过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交易所无对应市场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市场权限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账户未开通对应股票市场时跳过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账户未开通市场权限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品种权限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账户在该市场未开通对应品种时跳过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市场未开通该品种</w:t>
            </w:r>
          </w:p>
        </w:tc>
      </w:tr>
    </w:tbl>
    <w:p>
      <w:pPr>
        <w:spacing w:after="40"/>
      </w:pPr>
    </w:p>
    <w:p>
      <w:pPr>
        <w:pStyle w:val="Heading1"/>
      </w:pPr>
      <w:r>
        <w:t>6. 导入结果判定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4300"/>
        <w:gridCol w:w="3210"/>
      </w:tblGrid>
      <w:tr>
        <w:trPr>
          <w:tblHeader w:val="true"/>
        </w:trPr>
        <w:tc>
          <w:tcPr>
            <w:tcW w:type="dxa" w:w="18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状态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判定条件</w:t>
            </w:r>
          </w:p>
        </w:tc>
        <w:tc>
          <w:tcPr>
            <w:tcW w:type="dxa" w:w="32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可执行操作</w:t>
            </w:r>
          </w:p>
        </w:tc>
      </w:tr>
      <w:tr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全部匹配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所有模板配置均可生成开户规则</w:t>
            </w:r>
          </w:p>
        </w:tc>
        <w:tc>
          <w:tcPr>
            <w:tcW w:type="dxa" w:w="3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确认导入全部规则</w:t>
            </w:r>
          </w:p>
        </w:tc>
      </w:tr>
      <w:tr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部分匹配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至少 1 条可导入，同时存在跳过项</w:t>
            </w:r>
          </w:p>
        </w:tc>
        <w:tc>
          <w:tcPr>
            <w:tcW w:type="dxa" w:w="3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仅导入匹配规则</w:t>
            </w:r>
          </w:p>
        </w:tc>
      </w:tr>
      <w:tr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无法导入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可导入规则数为 0</w:t>
            </w:r>
          </w:p>
        </w:tc>
        <w:tc>
          <w:tcPr>
            <w:tcW w:type="dxa" w:w="3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不能确认导入，原配置保持不变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1F4D78"/>
                <w:sz w:val="22"/>
              </w:rPr>
              <w:t xml:space="preserve">重要说明 </w:t>
            </w: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同一模板行包含多个交易所并命中多个开户市场时，系统会拆分为多条规则并分别校验权限。模板始终只读；导入只更新当前账户的报单排序编辑状态，不修改报单排序模板源数据。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8"/>
      </w:rPr>
      <w:t>交易员查阅版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 w:val="0"/>
        <w:color w:val="667085"/>
        <w:sz w:val="18"/>
      </w:rPr>
      <w:t>OMS 开户配置｜报单排序模板导入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报单排序模板导入映射规则</dc:title>
  <dc:subject>OMS 开户配置模板导入映射与校验规则</dc:subject>
  <dc:creator>产品需求</dc:creator>
  <cp:keywords>OMS, 开户配置, 报单排序, 模板导入, 映射规则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