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2E74B5"/>
          <w:sz w:val="20"/>
        </w:rPr>
        <w:t>交易员查阅版</w:t>
      </w:r>
    </w:p>
    <w:p>
      <w:pPr>
        <w:spacing w:after="80"/>
      </w:pPr>
      <w:r>
        <w:rPr>
          <w:rFonts w:ascii="Calibri" w:hAnsi="Calibri" w:eastAsia="Microsoft YaHei"/>
          <w:b/>
          <w:color w:val="17365D"/>
          <w:sz w:val="46"/>
        </w:rPr>
        <w:t>开户报单排序模板映射规则</w:t>
      </w:r>
    </w:p>
    <w:p>
      <w:pPr>
        <w:spacing w:after="200"/>
      </w:pPr>
      <w:r>
        <w:rPr>
          <w:rFonts w:ascii="Calibri" w:hAnsi="Calibri" w:eastAsia="Microsoft YaHei"/>
          <w:b w:val="0"/>
          <w:color w:val="667085"/>
          <w:sz w:val="21"/>
        </w:rPr>
        <w:t>页面只保留模板下拉框；完整对应关系以本文件为准</w:t>
      </w:r>
    </w:p>
    <w:p>
      <w:pPr>
        <w:pStyle w:val="Heading1"/>
      </w:pPr>
      <w:r>
        <w:t>1. 填写方式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权限生成：</w:t>
      </w:r>
      <w:r>
        <w:rPr>
          <w:rFonts w:ascii="Calibri" w:hAnsi="Calibri" w:eastAsia="Microsoft YaHei"/>
          <w:b w:val="0"/>
          <w:color w:val="000000"/>
          <w:sz w:val="22"/>
        </w:rPr>
        <w:t>上方每开通一个“市场×品种”，下方自动生成一行，市场和品种不可单独修改。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模板引用：</w:t>
      </w:r>
      <w:r>
        <w:rPr>
          <w:rFonts w:ascii="Calibri" w:hAnsi="Calibri" w:eastAsia="Microsoft YaHei"/>
          <w:b w:val="0"/>
          <w:color w:val="000000"/>
          <w:sz w:val="22"/>
        </w:rPr>
        <w:t>从“模板导入”下拉框选择既有报单排序模板，系统逐行匹配并填充。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缺项处理：</w:t>
      </w:r>
      <w:r>
        <w:rPr>
          <w:rFonts w:ascii="Calibri" w:hAnsi="Calibri" w:eastAsia="Microsoft YaHei"/>
          <w:b w:val="0"/>
          <w:color w:val="000000"/>
          <w:sz w:val="22"/>
        </w:rPr>
        <w:t>模板中没有对应市场×品种时，报单排序模板与交易方向均留空，需手工完成。</w:t>
      </w:r>
    </w:p>
    <w:p>
      <w:pPr>
        <w:pStyle w:val="Heading1"/>
      </w:pPr>
      <w:r>
        <w:t>2. tradingMarket 码表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700"/>
        <w:gridCol w:w="27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开户页面显示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后端码值 codeValue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模板市场标签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沪深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SH、SZ、SHC、SZC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保存提交 A股；用标签匹配模板交易所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港股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港股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HZ、HS、HK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保存提交 港股；用标签匹配模板交易所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美股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美股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N、A、O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保存提交 美股；用标签匹配模板交易所</w:t>
            </w:r>
          </w:p>
        </w:tc>
      </w:tr>
    </w:tbl>
    <w:p>
      <w:pPr>
        <w:spacing w:after="40"/>
      </w:pPr>
    </w:p>
    <w:p>
      <w:pPr>
        <w:pStyle w:val="Heading1"/>
      </w:pPr>
      <w:r>
        <w:t>3. 品种与合约类型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300"/>
        <w:gridCol w:w="421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开户品种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模板合约类型</w:t>
            </w:r>
          </w:p>
        </w:tc>
        <w:tc>
          <w:tcPr>
            <w:tcW w:type="dxa" w:w="42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匹配结果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股票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股票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可用于对应市场的股票行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ETF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公募基金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可用于对应市场的 ETF 行</w:t>
            </w:r>
          </w:p>
        </w:tc>
      </w:tr>
      <w:t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可转债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可转债</w:t>
            </w:r>
          </w:p>
        </w:tc>
        <w:tc>
          <w:tcPr>
            <w:tcW w:type="dxa" w:w="4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可用于对应市场的可转债行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方向与匹配顺序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规则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方向归一化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买入、买开统一为买；卖出、卖平统一为卖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市场匹配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模板行任一市场标签命中该页面市场的标签集合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品种匹配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模板合约类型必须与开户品种映射值相同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重复命中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同一市场×品种存在多条有效模板行时，按模板既有顺序取首条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范围外数据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期货、指数期货、融券交易及未开通市场品种不生成开户明细</w:t>
            </w:r>
          </w:p>
        </w:tc>
      </w:tr>
    </w:tbl>
    <w:p>
      <w:pPr>
        <w:spacing w:after="40"/>
      </w:pPr>
    </w:p>
    <w:p>
      <w:pPr>
        <w:pStyle w:val="Heading1"/>
      </w:pPr>
      <w:r>
        <w:t>5. 缺项与保存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情况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页面表现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保存规则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全部匹配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每行自动填入模板与方向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校验通过后可保存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模板缺少部分品种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对应行两个可编辑字段为空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用户补全空白行后可保存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存在未完成行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空白行突出显示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阻止保存并提示未完成数量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权限发生变化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下方行立即随权限增删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后端以最新权限再次校验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重要说明 </w:t>
            </w: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页面显示的“沪深”不是直接提交值。保存时使用 tradingMarket 码表转换为“A股”；模板匹配则使用 SH、SZ、SHC、SZC 标签集合。模板仅被读取，开户操作不会修改模板配置。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>交易员查阅版｜版本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OMS 开户配置｜报单排序模板引用规则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开户报单排序模板映射规则</dc:title>
  <dc:subject>权限生成、tradingMarket 码表、品种与方向匹配、缺项处理</dc:subject>
  <dc:creator>产品需求</dc:creator>
  <cp:keywords>OMS, 开户, 报单排序, tradingMarket, 模板映射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