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CA"/>
        </w:rPr>
      </w:pPr>
    </w:p>
    <w:p>
      <w:pPr>
        <w:rPr>
          <w:rFonts w:hint="default" w:ascii="Times New Roman" w:hAnsi="Times New Roman" w:cs="Times New Roman"/>
          <w:b/>
          <w:bCs/>
          <w:lang w:val="en"/>
        </w:rPr>
      </w:pPr>
      <w:r>
        <w:rPr>
          <w:rFonts w:hint="default" w:ascii="Times New Roman" w:hAnsi="Times New Roman" w:cs="Times New Roman"/>
          <w:b/>
          <w:bCs/>
          <w:lang w:val="en"/>
        </w:rPr>
        <w:t>Name: Le Chang</w:t>
      </w:r>
    </w:p>
    <w:p>
      <w:pPr>
        <w:rPr>
          <w:rFonts w:hint="default" w:ascii="Times New Roman" w:hAnsi="Times New Roman" w:cs="Times New Roman"/>
          <w:b/>
          <w:bCs/>
          <w:lang w:val="en"/>
        </w:rPr>
      </w:pPr>
      <w:r>
        <w:rPr>
          <w:rFonts w:hint="default" w:ascii="Times New Roman" w:hAnsi="Times New Roman" w:cs="Times New Roman"/>
          <w:b/>
          <w:bCs/>
          <w:lang w:val="en"/>
        </w:rPr>
        <w:t>ID: 260905699</w:t>
      </w:r>
    </w:p>
    <w:p>
      <w:pPr>
        <w:rPr>
          <w:rFonts w:hint="default" w:ascii="Times New Roman" w:hAnsi="Times New Roman" w:cs="Times New Roman"/>
          <w:b/>
          <w:bCs/>
          <w:lang w:val="en"/>
        </w:rPr>
      </w:pPr>
      <w:bookmarkStart w:id="0" w:name="_GoBack"/>
      <w:bookmarkEnd w:id="0"/>
    </w:p>
    <w:p>
      <w:pPr>
        <w:rPr>
          <w:rFonts w:ascii="Times New Roman" w:hAnsi="Times New Roman" w:cs="Times New Roman"/>
          <w:b/>
          <w:bCs/>
          <w:lang w:val="en-CA"/>
        </w:rPr>
      </w:pPr>
      <w:r>
        <w:rPr>
          <w:rFonts w:ascii="Times New Roman" w:hAnsi="Times New Roman" w:cs="Times New Roman"/>
          <w:b/>
          <w:bCs/>
          <w:lang w:val="en-CA"/>
        </w:rPr>
        <w:t>Metaboanalyst</w:t>
      </w:r>
    </w:p>
    <w:p>
      <w:pPr>
        <w:rPr>
          <w:rFonts w:ascii="Times New Roman" w:hAnsi="Times New Roman" w:cs="Times New Roman"/>
          <w:lang w:val="en-CA"/>
        </w:rPr>
      </w:pPr>
    </w:p>
    <w:p>
      <w:pPr>
        <w:rPr>
          <w:rFonts w:ascii="Times New Roman" w:hAnsi="Times New Roman" w:cs="Times New Roman"/>
          <w:bCs/>
          <w:iCs/>
          <w:lang w:val="en-CA"/>
        </w:rPr>
      </w:pPr>
      <w:r>
        <w:rPr>
          <w:rFonts w:ascii="Times New Roman" w:hAnsi="Times New Roman" w:cs="Times New Roman"/>
          <w:bCs/>
          <w:i/>
          <w:iCs/>
          <w:lang w:val="en-CA"/>
        </w:rPr>
        <w:t>GBA</w:t>
      </w:r>
      <w:r>
        <w:rPr>
          <w:rFonts w:ascii="Times New Roman" w:hAnsi="Times New Roman" w:cs="Times New Roman"/>
          <w:bCs/>
          <w:iCs/>
          <w:lang w:val="en-CA"/>
        </w:rPr>
        <w:t xml:space="preserve"> mutations represent the greatest genetic risk factor for Lewy Body Diseases, both Parkinson’s Disease (PD)  and Dementia with Lewy Bodies (DLB) </w: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 </w:instrTex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EN.CITE.DATA </w:instrText>
      </w:r>
      <w:r>
        <w:rPr>
          <w:rFonts w:ascii="Times New Roman" w:hAnsi="Times New Roman" w:cs="Times New Roman"/>
          <w:bCs/>
          <w:iCs/>
          <w:lang w:val="en-CA"/>
        </w:rPr>
        <w:fldChar w:fldCharType="end"/>
      </w:r>
      <w:r>
        <w:rPr>
          <w:rFonts w:ascii="Times New Roman" w:hAnsi="Times New Roman" w:cs="Times New Roman"/>
          <w:bCs/>
          <w:iCs/>
          <w:lang w:val="en-CA"/>
        </w:rPr>
        <w:fldChar w:fldCharType="separate"/>
      </w:r>
      <w:r>
        <w:rPr>
          <w:rFonts w:ascii="Times New Roman" w:hAnsi="Times New Roman" w:cs="Times New Roman"/>
          <w:bCs/>
          <w:iCs/>
          <w:lang w:val="en-CA"/>
        </w:rPr>
        <w:t>(Clark et al., 2010; Tsuang et al., 2012)</w:t>
      </w:r>
      <w:r>
        <w:rPr>
          <w:rFonts w:ascii="Times New Roman" w:hAnsi="Times New Roman" w:cs="Times New Roman"/>
          <w:bCs/>
          <w:lang w:val="en-CA"/>
        </w:rPr>
        <w:fldChar w:fldCharType="end"/>
      </w:r>
      <w:r>
        <w:rPr>
          <w:rFonts w:ascii="Times New Roman" w:hAnsi="Times New Roman" w:cs="Times New Roman"/>
          <w:bCs/>
          <w:iCs/>
          <w:lang w:val="en-CA"/>
        </w:rPr>
        <w:t>. H</w:t>
      </w:r>
      <w:r>
        <w:rPr>
          <w:rFonts w:ascii="Times New Roman" w:hAnsi="Times New Roman" w:cs="Times New Roman"/>
          <w:bCs/>
          <w:lang w:val="en-CA"/>
        </w:rPr>
        <w:t>eterozygous</w:t>
      </w:r>
      <w:r>
        <w:rPr>
          <w:rFonts w:ascii="Times New Roman" w:hAnsi="Times New Roman" w:cs="Times New Roman"/>
          <w:bCs/>
          <w:iCs/>
          <w:lang w:val="en-CA"/>
        </w:rPr>
        <w:t xml:space="preserve"> </w:t>
      </w:r>
      <w:r>
        <w:rPr>
          <w:rFonts w:ascii="Times New Roman" w:hAnsi="Times New Roman" w:cs="Times New Roman"/>
          <w:bCs/>
          <w:i/>
          <w:iCs/>
          <w:lang w:val="en-CA"/>
        </w:rPr>
        <w:t>GBA</w:t>
      </w:r>
      <w:r>
        <w:rPr>
          <w:rFonts w:ascii="Times New Roman" w:hAnsi="Times New Roman" w:cs="Times New Roman"/>
          <w:bCs/>
          <w:iCs/>
          <w:lang w:val="en-CA"/>
        </w:rPr>
        <w:t xml:space="preserve"> mutations are found in ~25% of all DLB and &gt;10% of PD patients </w: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 </w:instrTex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EN.CITE.DATA </w:instrText>
      </w:r>
      <w:r>
        <w:rPr>
          <w:rFonts w:ascii="Times New Roman" w:hAnsi="Times New Roman" w:cs="Times New Roman"/>
          <w:bCs/>
          <w:iCs/>
          <w:lang w:val="en-CA"/>
        </w:rPr>
        <w:fldChar w:fldCharType="end"/>
      </w:r>
      <w:r>
        <w:rPr>
          <w:rFonts w:ascii="Times New Roman" w:hAnsi="Times New Roman" w:cs="Times New Roman"/>
          <w:bCs/>
          <w:iCs/>
          <w:lang w:val="en-CA"/>
        </w:rPr>
        <w:fldChar w:fldCharType="separate"/>
      </w:r>
      <w:r>
        <w:rPr>
          <w:rFonts w:ascii="Times New Roman" w:hAnsi="Times New Roman" w:cs="Times New Roman"/>
          <w:bCs/>
          <w:iCs/>
          <w:lang w:val="en-CA"/>
        </w:rPr>
        <w:t>(Clark et al., 2010; Tsuang et al., 2012)</w:t>
      </w:r>
      <w:r>
        <w:rPr>
          <w:rFonts w:ascii="Times New Roman" w:hAnsi="Times New Roman" w:cs="Times New Roman"/>
          <w:bCs/>
          <w:lang w:val="en-CA"/>
        </w:rPr>
        <w:fldChar w:fldCharType="end"/>
      </w:r>
      <w:r>
        <w:rPr>
          <w:rFonts w:ascii="Times New Roman" w:hAnsi="Times New Roman" w:cs="Times New Roman"/>
          <w:bCs/>
          <w:iCs/>
          <w:lang w:val="en-CA"/>
        </w:rPr>
        <w:t xml:space="preserve">. </w:t>
      </w:r>
      <w:r>
        <w:rPr>
          <w:rFonts w:ascii="Times New Roman" w:hAnsi="Times New Roman" w:cs="Times New Roman"/>
          <w:bCs/>
          <w:i/>
          <w:iCs/>
          <w:lang w:val="en-CA"/>
        </w:rPr>
        <w:t>GBA</w:t>
      </w:r>
      <w:r>
        <w:rPr>
          <w:rFonts w:ascii="Times New Roman" w:hAnsi="Times New Roman" w:cs="Times New Roman"/>
          <w:bCs/>
          <w:iCs/>
          <w:lang w:val="en-CA"/>
        </w:rPr>
        <w:t xml:space="preserve"> encodes lysosomal acid-beta-glucosidase (GCase). GCase hydrolyzes glucosylceramides (GlcCers) to glucose and ceramides and glycosylsphingosine (GlcSph) to sphingosine. GCase activity is reduced to 58% of normal levels in </w:t>
      </w:r>
      <w:r>
        <w:rPr>
          <w:rFonts w:ascii="Times New Roman" w:hAnsi="Times New Roman" w:cs="Times New Roman"/>
          <w:bCs/>
          <w:i/>
          <w:iCs/>
          <w:lang w:val="en-CA"/>
        </w:rPr>
        <w:t xml:space="preserve">GBA </w:t>
      </w:r>
      <w:r>
        <w:rPr>
          <w:rFonts w:ascii="Times New Roman" w:hAnsi="Times New Roman" w:cs="Times New Roman"/>
          <w:bCs/>
          <w:iCs/>
          <w:lang w:val="en-CA"/>
        </w:rPr>
        <w:t xml:space="preserve">carriers with PD and 67% in idiopathic PD patients (wild-type </w:t>
      </w:r>
      <w:r>
        <w:rPr>
          <w:rFonts w:ascii="Times New Roman" w:hAnsi="Times New Roman" w:cs="Times New Roman"/>
          <w:bCs/>
          <w:i/>
          <w:iCs/>
          <w:lang w:val="en-CA"/>
        </w:rPr>
        <w:t>GBA</w:t>
      </w:r>
      <w:r>
        <w:rPr>
          <w:rFonts w:ascii="Times New Roman" w:hAnsi="Times New Roman" w:cs="Times New Roman"/>
          <w:bCs/>
          <w:iCs/>
          <w:lang w:val="en-CA"/>
        </w:rPr>
        <w:t>).</w:t>
      </w:r>
    </w:p>
    <w:p>
      <w:pPr>
        <w:rPr>
          <w:rFonts w:ascii="Times New Roman" w:hAnsi="Times New Roman" w:cs="Times New Roman"/>
          <w:bCs/>
          <w:iCs/>
          <w:lang w:val="en-CA"/>
        </w:rPr>
      </w:pPr>
    </w:p>
    <w:p>
      <w:pPr>
        <w:rPr>
          <w:rFonts w:ascii="Times New Roman" w:hAnsi="Times New Roman" w:cs="Times New Roman"/>
          <w:bCs/>
          <w:iCs/>
          <w:lang w:val="en-CA"/>
        </w:rPr>
      </w:pPr>
      <w:r>
        <w:rPr>
          <w:rFonts w:ascii="Times New Roman" w:hAnsi="Times New Roman" w:cs="Times New Roman"/>
          <w:bCs/>
          <w:iCs/>
          <w:lang w:val="en-CA"/>
        </w:rPr>
        <w:t xml:space="preserve">However, not all patients who carry PD-associated </w:t>
      </w:r>
      <w:r>
        <w:rPr>
          <w:rFonts w:ascii="Times New Roman" w:hAnsi="Times New Roman" w:cs="Times New Roman"/>
          <w:bCs/>
          <w:i/>
          <w:lang w:val="en-CA"/>
        </w:rPr>
        <w:t>GBA</w:t>
      </w:r>
      <w:r>
        <w:rPr>
          <w:rFonts w:ascii="Times New Roman" w:hAnsi="Times New Roman" w:cs="Times New Roman"/>
          <w:bCs/>
          <w:iCs/>
          <w:lang w:val="en-CA"/>
        </w:rPr>
        <w:t xml:space="preserve"> mutations will develop PD.  You have been given a metabolomics dataset performed on plasma of persons who carry a PD-associated </w:t>
      </w:r>
      <w:r>
        <w:rPr>
          <w:rFonts w:ascii="Times New Roman" w:hAnsi="Times New Roman" w:cs="Times New Roman"/>
          <w:bCs/>
          <w:i/>
          <w:lang w:val="en-CA"/>
        </w:rPr>
        <w:t>GBA</w:t>
      </w:r>
      <w:r>
        <w:rPr>
          <w:rFonts w:ascii="Times New Roman" w:hAnsi="Times New Roman" w:cs="Times New Roman"/>
          <w:bCs/>
          <w:iCs/>
          <w:lang w:val="en-CA"/>
        </w:rPr>
        <w:t xml:space="preserve"> mutation and are either </w:t>
      </w:r>
      <w:r>
        <w:rPr>
          <w:rFonts w:ascii="Times New Roman" w:hAnsi="Times New Roman" w:cs="Times New Roman"/>
          <w:b/>
          <w:bCs w:val="0"/>
          <w:iCs/>
          <w:lang w:val="en-CA"/>
        </w:rPr>
        <w:t xml:space="preserve">assymptomatic </w:t>
      </w:r>
      <w:r>
        <w:rPr>
          <w:rFonts w:ascii="Times New Roman" w:hAnsi="Times New Roman" w:cs="Times New Roman"/>
          <w:bCs/>
          <w:iCs/>
          <w:lang w:val="en-CA"/>
        </w:rPr>
        <w:t xml:space="preserve">(carriers) or </w:t>
      </w:r>
      <w:r>
        <w:rPr>
          <w:rFonts w:ascii="Times New Roman" w:hAnsi="Times New Roman" w:cs="Times New Roman"/>
          <w:b/>
          <w:bCs w:val="0"/>
          <w:iCs/>
          <w:lang w:val="en-CA"/>
        </w:rPr>
        <w:t xml:space="preserve">symptomatic </w:t>
      </w:r>
      <w:r>
        <w:rPr>
          <w:rFonts w:ascii="Times New Roman" w:hAnsi="Times New Roman" w:cs="Times New Roman"/>
          <w:bCs/>
          <w:iCs/>
          <w:lang w:val="en-CA"/>
        </w:rPr>
        <w:t>(show the symptoms of PD).  Using metaboanalyst, perform the following analyses and provide a screen shot of each analysis:</w:t>
      </w:r>
    </w:p>
    <w:p>
      <w:pPr>
        <w:rPr>
          <w:rFonts w:ascii="Times New Roman" w:hAnsi="Times New Roman" w:cs="Times New Roman"/>
          <w:bCs/>
          <w:iCs/>
          <w:lang w:val="en-CA"/>
        </w:rPr>
      </w:pPr>
      <w:r>
        <w:rPr>
          <w:rFonts w:ascii="Times New Roman" w:hAnsi="Times New Roman" w:cs="Times New Roman"/>
          <w:bCs/>
          <w:iCs/>
          <w:lang w:val="en-CA"/>
        </w:rPr>
        <w:br w:type="textWrapping"/>
      </w:r>
      <w:r>
        <w:rPr>
          <w:rFonts w:ascii="Times New Roman" w:hAnsi="Times New Roman" w:cs="Times New Roman"/>
          <w:bCs/>
          <w:iCs/>
          <w:lang w:val="en-CA"/>
        </w:rPr>
        <w:t>1. The metabolite abundances in these datasets are very different.  First, scale your data.  You have the following choices.  Which did you choose and why?</w:t>
      </w:r>
    </w:p>
    <w:p>
      <w:pPr>
        <w:rPr>
          <w:rFonts w:ascii="Times New Roman" w:hAnsi="Times New Roman" w:cs="Times New Roman"/>
          <w:bCs/>
          <w:iCs/>
          <w:lang w:val="en-CA"/>
        </w:rPr>
      </w:pPr>
    </w:p>
    <w:p>
      <w:pPr>
        <w:rPr>
          <w:rFonts w:hint="default" w:ascii="Times New Roman" w:hAnsi="Times New Roman" w:cs="Times New Roman"/>
          <w:bCs/>
          <w:iCs/>
          <w:lang w:val="en"/>
        </w:rPr>
      </w:pPr>
    </w:p>
    <w:p>
      <w:pPr>
        <w:rPr>
          <w:rFonts w:ascii="Times New Roman" w:hAnsi="Times New Roman" w:cs="Times New Roman"/>
          <w:bCs/>
          <w:iCs/>
          <w:lang w:val="en-CA"/>
        </w:rPr>
      </w:pPr>
      <w:r>
        <w:rPr>
          <w:rFonts w:ascii="Times New Roman" w:hAnsi="Times New Roman" w:cs="Times New Roman"/>
          <w:bCs/>
          <w:iCs/>
          <w:lang w:val="en-CA"/>
        </w:rPr>
        <w:drawing>
          <wp:anchor distT="0" distB="0" distL="114300" distR="114300" simplePos="0" relativeHeight="251659264" behindDoc="0" locked="0" layoutInCell="1" allowOverlap="1">
            <wp:simplePos x="0" y="0"/>
            <wp:positionH relativeFrom="column">
              <wp:posOffset>-111760</wp:posOffset>
            </wp:positionH>
            <wp:positionV relativeFrom="paragraph">
              <wp:posOffset>274955</wp:posOffset>
            </wp:positionV>
            <wp:extent cx="5943600" cy="1668145"/>
            <wp:effectExtent l="0" t="0" r="0" b="0"/>
            <wp:wrapTight wrapText="bothSides">
              <wp:wrapPolygon>
                <wp:start x="0" y="0"/>
                <wp:lineTo x="0" y="21378"/>
                <wp:lineTo x="21554" y="21378"/>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anchor>
        </w:drawing>
      </w:r>
      <w:r>
        <w:rPr>
          <w:rFonts w:ascii="Times New Roman" w:hAnsi="Times New Roman" w:cs="Times New Roman"/>
          <w:bCs/>
          <w:iCs/>
          <w:lang w:val="en-CA"/>
        </w:rPr>
        <w:br w:type="textWrapping"/>
      </w:r>
    </w:p>
    <w:p>
      <w:pPr>
        <w:jc w:val="left"/>
        <w:rPr>
          <w:rFonts w:hint="default" w:ascii="Times New Roman" w:hAnsi="Times New Roman" w:cs="Times New Roman"/>
          <w:bCs/>
          <w:iCs/>
          <w:lang w:val="en"/>
        </w:rPr>
      </w:pPr>
      <w:r>
        <w:rPr>
          <w:rFonts w:hint="default" w:ascii="Times New Roman" w:hAnsi="Times New Roman" w:cs="Times New Roman"/>
          <w:bCs/>
          <w:iCs/>
          <w:lang w:val="en"/>
        </w:rPr>
        <w:t>Step 1- Data integrity check:</w:t>
      </w:r>
    </w:p>
    <w:p>
      <w:pPr>
        <w:jc w:val="left"/>
      </w:pPr>
      <w:r>
        <w:drawing>
          <wp:inline distT="0" distB="0" distL="114300" distR="114300">
            <wp:extent cx="3047365" cy="2409190"/>
            <wp:effectExtent l="0" t="0" r="635"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047365" cy="2409190"/>
                    </a:xfrm>
                    <a:prstGeom prst="rect">
                      <a:avLst/>
                    </a:prstGeom>
                    <a:noFill/>
                    <a:ln>
                      <a:noFill/>
                    </a:ln>
                  </pic:spPr>
                </pic:pic>
              </a:graphicData>
            </a:graphic>
          </wp:inline>
        </w:drawing>
      </w:r>
    </w:p>
    <w:p>
      <w:pPr>
        <w:jc w:val="left"/>
      </w:pPr>
    </w:p>
    <w:p>
      <w:pPr>
        <w:jc w:val="left"/>
        <w:rPr>
          <w:rFonts w:hint="default" w:ascii="Times New Roman"/>
          <w:lang w:val="en"/>
        </w:rPr>
      </w:pPr>
      <w:r>
        <w:rPr>
          <w:rFonts w:hint="default" w:ascii="Times New Roman"/>
          <w:lang w:val="en"/>
        </w:rPr>
        <w:t>Step 2 - Scaling</w:t>
      </w:r>
    </w:p>
    <w:p>
      <w:pPr>
        <w:jc w:val="left"/>
        <w:rPr>
          <w:rFonts w:hint="default" w:ascii="Times New Roman"/>
          <w:lang w:val="en"/>
        </w:rPr>
      </w:pPr>
    </w:p>
    <w:p>
      <w:pPr>
        <w:jc w:val="left"/>
        <w:rPr>
          <w:rFonts w:hint="default" w:ascii="Times New Roman"/>
          <w:lang w:val="en"/>
        </w:rPr>
      </w:pPr>
      <w:r>
        <w:rPr>
          <w:rFonts w:hint="default" w:ascii="Times New Roman"/>
          <w:lang w:val="en"/>
        </w:rPr>
        <w:t>Method 1: Auto scaling: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094355" cy="3684905"/>
            <wp:effectExtent l="0" t="0" r="10795" b="1079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094355" cy="368490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2 - Pareto scaling</w:t>
      </w:r>
    </w:p>
    <w:p>
      <w:pPr>
        <w:jc w:val="left"/>
        <w:rPr>
          <w:rFonts w:hint="default" w:ascii="Times New Roman" w:hAnsi="Times New Roman" w:cs="Times New Roman"/>
          <w:bCs/>
          <w:iCs/>
          <w:lang w:val="en"/>
        </w:rPr>
      </w:pP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2683510" cy="3195955"/>
            <wp:effectExtent l="0" t="0" r="2540" b="444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3"/>
                    <a:stretch>
                      <a:fillRect/>
                    </a:stretch>
                  </pic:blipFill>
                  <pic:spPr>
                    <a:xfrm>
                      <a:off x="0" y="0"/>
                      <a:ext cx="2683510" cy="319595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3 - Range scaling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023235" cy="3599815"/>
            <wp:effectExtent l="0" t="0" r="5715" b="63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4"/>
                    <a:stretch>
                      <a:fillRect/>
                    </a:stretch>
                  </pic:blipFill>
                  <pic:spPr>
                    <a:xfrm>
                      <a:off x="0" y="0"/>
                      <a:ext cx="3023235" cy="359981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4 - Mean centering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181350" cy="3787775"/>
            <wp:effectExtent l="0" t="0" r="0" b="317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5"/>
                    <a:stretch>
                      <a:fillRect/>
                    </a:stretch>
                  </pic:blipFill>
                  <pic:spPr>
                    <a:xfrm>
                      <a:off x="0" y="0"/>
                      <a:ext cx="3181350" cy="378777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ascii="Times New Roman" w:hAnsi="Times New Roman" w:cs="Times New Roman"/>
          <w:bCs/>
          <w:iCs/>
          <w:lang w:val="en-CA"/>
        </w:rPr>
      </w:pPr>
      <w:r>
        <w:rPr>
          <w:rFonts w:hint="default" w:ascii="Times New Roman" w:hAnsi="Times New Roman" w:cs="Times New Roman"/>
          <w:bCs/>
          <w:iCs/>
          <w:lang w:val="en"/>
        </w:rPr>
        <w:t>Answer: I would choose “Auto scaling” or “Range scaling”. Because by using visual inspection, we can see that the graphical summary after normalization looks like Gaussian distribution.</w:t>
      </w:r>
      <w:r>
        <w:rPr>
          <w:rFonts w:ascii="Times New Roman" w:hAnsi="Times New Roman" w:cs="Times New Roman"/>
          <w:bCs/>
          <w:iCs/>
          <w:lang w:val="en-CA"/>
        </w:rPr>
        <w:br w:type="textWrapping"/>
      </w:r>
      <w:r>
        <w:rPr>
          <w:rFonts w:ascii="Times New Roman" w:hAnsi="Times New Roman" w:cs="Times New Roman"/>
          <w:bCs/>
          <w:iCs/>
          <w:lang w:val="en-CA"/>
        </w:rPr>
        <w:t xml:space="preserve"> </w:t>
      </w:r>
    </w:p>
    <w:p>
      <w:pPr>
        <w:numPr>
          <w:ilvl w:val="0"/>
          <w:numId w:val="1"/>
        </w:numPr>
        <w:rPr>
          <w:rFonts w:ascii="Times New Roman" w:hAnsi="Times New Roman" w:cs="Times New Roman"/>
          <w:bCs/>
          <w:iCs/>
          <w:lang w:val="en-CA"/>
        </w:rPr>
      </w:pPr>
      <w:r>
        <w:rPr>
          <w:rFonts w:ascii="Times New Roman" w:hAnsi="Times New Roman" w:cs="Times New Roman"/>
          <w:bCs/>
          <w:iCs/>
          <w:lang w:val="en-CA"/>
        </w:rPr>
        <w:t xml:space="preserve"> Generate an FDR-adjusted volcano plot .  What Fold-change threshold did you choose and why did you choose that threshold?  What P-value threshold did you choose and why did you choose that threshold?  Did you assume equal or unequal group variance and why did make that choice?</w:t>
      </w:r>
    </w:p>
    <w:p>
      <w:pPr>
        <w:numPr>
          <w:numId w:val="0"/>
        </w:numPr>
        <w:jc w:val="both"/>
        <w:rPr>
          <w:rFonts w:ascii="Times New Roman" w:hAnsi="Times New Roman" w:cs="Times New Roman"/>
          <w:bCs/>
          <w:iCs/>
          <w:lang w:val="en-CA"/>
        </w:rPr>
      </w:pP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The fold-change threshold I chose was 2 and p-value threshold was 0.1.</w:t>
      </w: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I assumed equal group variance.</w:t>
      </w:r>
    </w:p>
    <w:p>
      <w:pPr>
        <w:numPr>
          <w:numId w:val="0"/>
        </w:numPr>
        <w:jc w:val="both"/>
        <w:rPr>
          <w:rFonts w:hint="default" w:ascii="Times New Roman" w:hAnsi="Times New Roman" w:cs="Times New Roman"/>
          <w:bCs/>
          <w:iCs/>
          <w:lang w:val="en"/>
        </w:rPr>
      </w:pPr>
      <w:r>
        <w:drawing>
          <wp:inline distT="0" distB="0" distL="114300" distR="114300">
            <wp:extent cx="5937250" cy="4605020"/>
            <wp:effectExtent l="0" t="0" r="635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5937250" cy="4605020"/>
                    </a:xfrm>
                    <a:prstGeom prst="rect">
                      <a:avLst/>
                    </a:prstGeom>
                    <a:noFill/>
                    <a:ln>
                      <a:noFill/>
                    </a:ln>
                  </pic:spPr>
                </pic:pic>
              </a:graphicData>
            </a:graphic>
          </wp:inline>
        </w:drawing>
      </w:r>
    </w:p>
    <w:p>
      <w:pPr>
        <w:rPr>
          <w:rFonts w:ascii="Times New Roman" w:hAnsi="Times New Roman" w:cs="Times New Roman"/>
          <w:bCs/>
          <w:iCs/>
          <w:lang w:val="en-CA"/>
        </w:rPr>
      </w:pPr>
    </w:p>
    <w:p>
      <w:pPr>
        <w:numPr>
          <w:ilvl w:val="0"/>
          <w:numId w:val="1"/>
        </w:numPr>
        <w:ind w:left="0" w:leftChars="0" w:firstLine="0" w:firstLineChars="0"/>
        <w:rPr>
          <w:rFonts w:ascii="Times New Roman" w:hAnsi="Times New Roman" w:cs="Times New Roman"/>
          <w:bCs/>
          <w:iCs/>
          <w:lang w:val="en-CA"/>
        </w:rPr>
      </w:pPr>
      <w:r>
        <w:rPr>
          <w:rFonts w:ascii="Times New Roman" w:hAnsi="Times New Roman" w:cs="Times New Roman"/>
          <w:bCs/>
          <w:iCs/>
          <w:lang w:val="en-CA"/>
        </w:rPr>
        <w:t xml:space="preserve"> Perform a PCA, PLSDA, sPLSDA, and orthPLSDA on your data.   Are there specific that features discriminate between asymptomatic and symptomatic carriers?</w:t>
      </w:r>
    </w:p>
    <w:p>
      <w:pPr>
        <w:numPr>
          <w:numId w:val="0"/>
        </w:numPr>
        <w:jc w:val="both"/>
        <w:rPr>
          <w:rFonts w:hint="default" w:ascii="Times New Roman" w:hAnsi="Times New Roman" w:cs="Times New Roman"/>
          <w:bCs/>
          <w:iCs/>
          <w:lang w:val="en"/>
        </w:rPr>
      </w:pP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PCA score plot:</w:t>
      </w:r>
    </w:p>
    <w:p>
      <w:pPr>
        <w:numPr>
          <w:numId w:val="0"/>
        </w:numPr>
        <w:jc w:val="both"/>
      </w:pPr>
      <w:r>
        <w:drawing>
          <wp:inline distT="0" distB="0" distL="114300" distR="114300">
            <wp:extent cx="2494915" cy="2201545"/>
            <wp:effectExtent l="0" t="0" r="635"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494915" cy="2201545"/>
                    </a:xfrm>
                    <a:prstGeom prst="rect">
                      <a:avLst/>
                    </a:prstGeom>
                    <a:noFill/>
                    <a:ln>
                      <a:noFill/>
                    </a:ln>
                  </pic:spPr>
                </pic:pic>
              </a:graphicData>
            </a:graphic>
          </wp:inline>
        </w:drawing>
      </w:r>
    </w:p>
    <w:p>
      <w:pPr>
        <w:numPr>
          <w:numId w:val="0"/>
        </w:numPr>
        <w:jc w:val="both"/>
      </w:pPr>
    </w:p>
    <w:p>
      <w:pPr>
        <w:numPr>
          <w:numId w:val="0"/>
        </w:numPr>
        <w:jc w:val="both"/>
        <w:rPr>
          <w:rFonts w:hint="default" w:ascii="Times New Roman" w:hAnsi="Times New Roman" w:cs="Times New Roman"/>
          <w:lang w:val="en"/>
        </w:rPr>
      </w:pPr>
      <w:r>
        <w:rPr>
          <w:rFonts w:hint="default" w:ascii="Times New Roman" w:hAnsi="Times New Roman" w:cs="Times New Roman"/>
          <w:lang w:val="en"/>
        </w:rPr>
        <w:t>PCA loading plot:</w:t>
      </w:r>
    </w:p>
    <w:p>
      <w:pPr>
        <w:numPr>
          <w:numId w:val="0"/>
        </w:numPr>
        <w:jc w:val="both"/>
      </w:pPr>
      <w:r>
        <w:drawing>
          <wp:inline distT="0" distB="0" distL="114300" distR="114300">
            <wp:extent cx="4699635" cy="4114800"/>
            <wp:effectExtent l="0" t="0" r="571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8"/>
                    <a:stretch>
                      <a:fillRect/>
                    </a:stretch>
                  </pic:blipFill>
                  <pic:spPr>
                    <a:xfrm>
                      <a:off x="0" y="0"/>
                      <a:ext cx="4699635" cy="4114800"/>
                    </a:xfrm>
                    <a:prstGeom prst="rect">
                      <a:avLst/>
                    </a:prstGeom>
                    <a:noFill/>
                    <a:ln>
                      <a:noFill/>
                    </a:ln>
                  </pic:spPr>
                </pic:pic>
              </a:graphicData>
            </a:graphic>
          </wp:inline>
        </w:drawing>
      </w:r>
    </w:p>
    <w:p>
      <w:pPr>
        <w:numPr>
          <w:numId w:val="0"/>
        </w:numPr>
        <w:jc w:val="both"/>
      </w:pPr>
    </w:p>
    <w:p>
      <w:pPr>
        <w:numPr>
          <w:numId w:val="0"/>
        </w:numPr>
        <w:jc w:val="both"/>
      </w:pPr>
      <w:r>
        <w:drawing>
          <wp:inline distT="0" distB="0" distL="114300" distR="114300">
            <wp:extent cx="1727200" cy="2042795"/>
            <wp:effectExtent l="0" t="0" r="6350" b="1460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1727200" cy="2042795"/>
                    </a:xfrm>
                    <a:prstGeom prst="rect">
                      <a:avLst/>
                    </a:prstGeom>
                    <a:noFill/>
                    <a:ln>
                      <a:noFill/>
                    </a:ln>
                  </pic:spPr>
                </pic:pic>
              </a:graphicData>
            </a:graphic>
          </wp:inline>
        </w:drawing>
      </w:r>
      <w:r>
        <w:drawing>
          <wp:inline distT="0" distB="0" distL="114300" distR="114300">
            <wp:extent cx="1651000" cy="2022475"/>
            <wp:effectExtent l="0" t="0" r="6350" b="158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1651000" cy="2022475"/>
                    </a:xfrm>
                    <a:prstGeom prst="rect">
                      <a:avLst/>
                    </a:prstGeom>
                    <a:noFill/>
                    <a:ln>
                      <a:noFill/>
                    </a:ln>
                  </pic:spPr>
                </pic:pic>
              </a:graphicData>
            </a:graphic>
          </wp:inline>
        </w:drawing>
      </w:r>
    </w:p>
    <w:p>
      <w:pPr>
        <w:numPr>
          <w:numId w:val="0"/>
        </w:numPr>
        <w:jc w:val="both"/>
        <w:rPr>
          <w:rFonts w:hint="default"/>
          <w:lang w:val="en"/>
        </w:rPr>
      </w:pPr>
    </w:p>
    <w:p>
      <w:pPr>
        <w:rPr>
          <w:rFonts w:hint="default" w:ascii="Times New Roman" w:hAnsi="Times New Roman" w:cs="Times New Roman"/>
          <w:bCs/>
          <w:iCs/>
          <w:lang w:val="en"/>
        </w:rPr>
      </w:pPr>
      <w:r>
        <w:rPr>
          <w:rFonts w:hint="default" w:ascii="Times New Roman" w:hAnsi="Times New Roman" w:cs="Times New Roman"/>
          <w:bCs/>
          <w:iCs/>
          <w:lang w:val="en"/>
        </w:rPr>
        <w:t>By inspecting the metabolite at the upper right and bottom left diagonal line, we can see that the proline concentration is higher in the carrier, while the pyruvic acid is higher in the symptomatic patients.</w:t>
      </w:r>
    </w:p>
    <w:p>
      <w:pPr>
        <w:rPr>
          <w:rFonts w:hint="default" w:ascii="Times New Roman" w:hAnsi="Times New Roman" w:cs="Times New Roman"/>
          <w:bCs/>
          <w:iCs/>
          <w:lang w:val="en"/>
        </w:rPr>
      </w:pPr>
    </w:p>
    <w:p>
      <w:pPr>
        <w:rPr>
          <w:rFonts w:hint="default" w:ascii="Times New Roman" w:hAnsi="Times New Roman" w:cs="Times New Roman"/>
          <w:bCs/>
          <w:iCs/>
          <w:lang w:val="en"/>
        </w:rPr>
      </w:pPr>
      <w:r>
        <w:rPr>
          <w:rFonts w:hint="default" w:ascii="Times New Roman" w:hAnsi="Times New Roman" w:cs="Times New Roman"/>
          <w:bCs/>
          <w:iCs/>
          <w:lang w:val="en"/>
        </w:rPr>
        <w:t>PLS-DA score plot:</w:t>
      </w:r>
    </w:p>
    <w:p>
      <w:r>
        <w:drawing>
          <wp:inline distT="0" distB="0" distL="114300" distR="114300">
            <wp:extent cx="4110990" cy="3782060"/>
            <wp:effectExtent l="0" t="0" r="3810"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1"/>
                    <a:stretch>
                      <a:fillRect/>
                    </a:stretch>
                  </pic:blipFill>
                  <pic:spPr>
                    <a:xfrm>
                      <a:off x="0" y="0"/>
                      <a:ext cx="4110990" cy="3782060"/>
                    </a:xfrm>
                    <a:prstGeom prst="rect">
                      <a:avLst/>
                    </a:prstGeom>
                    <a:noFill/>
                    <a:ln>
                      <a:noFill/>
                    </a:ln>
                  </pic:spPr>
                </pic:pic>
              </a:graphicData>
            </a:graphic>
          </wp:inline>
        </w:drawing>
      </w:r>
    </w:p>
    <w:p>
      <w:pPr>
        <w:rPr>
          <w:rFonts w:hint="default" w:ascii="Times New Roman" w:hAnsi="Times New Roman" w:cs="Times New Roman"/>
          <w:lang w:val="en"/>
        </w:rPr>
      </w:pPr>
      <w:r>
        <w:rPr>
          <w:rFonts w:hint="default" w:ascii="Times New Roman" w:hAnsi="Times New Roman" w:cs="Times New Roman"/>
          <w:lang w:val="en"/>
        </w:rPr>
        <w:t>PLS-DA loading plot:</w:t>
      </w:r>
    </w:p>
    <w:p>
      <w:pPr>
        <w:rPr>
          <w:rFonts w:hint="default" w:ascii="Times New Roman" w:hAnsi="Times New Roman" w:cs="Times New Roman"/>
          <w:lang w:val="en"/>
        </w:rPr>
      </w:pPr>
      <w:r>
        <w:drawing>
          <wp:inline distT="0" distB="0" distL="114300" distR="114300">
            <wp:extent cx="4253865" cy="3708400"/>
            <wp:effectExtent l="0" t="0" r="13335" b="635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4253865" cy="3708400"/>
                    </a:xfrm>
                    <a:prstGeom prst="rect">
                      <a:avLst/>
                    </a:prstGeom>
                    <a:noFill/>
                    <a:ln>
                      <a:noFill/>
                    </a:ln>
                  </pic:spPr>
                </pic:pic>
              </a:graphicData>
            </a:graphic>
          </wp:inline>
        </w:drawing>
      </w:r>
    </w:p>
    <w:p>
      <w:pPr>
        <w:rPr>
          <w:rFonts w:hint="default" w:ascii="Times New Roman" w:hAnsi="Times New Roman" w:cs="Times New Roman"/>
          <w:lang w:val="en"/>
        </w:rPr>
      </w:pPr>
    </w:p>
    <w:p>
      <w:pPr>
        <w:rPr>
          <w:rFonts w:hint="default" w:ascii="Times New Roman" w:hAnsi="Times New Roman" w:cs="Times New Roman"/>
          <w:lang w:val="en"/>
        </w:rPr>
      </w:pPr>
    </w:p>
    <w:p>
      <w:pPr>
        <w:rPr>
          <w:rFonts w:hint="default" w:ascii="Times New Roman" w:hAnsi="Times New Roman" w:cs="Times New Roman"/>
          <w:lang w:val="en"/>
        </w:rPr>
      </w:pPr>
    </w:p>
    <w:p>
      <w:r>
        <w:rPr>
          <w:rFonts w:hint="default"/>
          <w:lang w:val="en"/>
        </w:rPr>
        <w:t xml:space="preserve">  </w:t>
      </w:r>
      <w:r>
        <w:drawing>
          <wp:inline distT="0" distB="0" distL="114300" distR="114300">
            <wp:extent cx="2038350" cy="260985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3"/>
                    <a:stretch>
                      <a:fillRect/>
                    </a:stretch>
                  </pic:blipFill>
                  <pic:spPr>
                    <a:xfrm>
                      <a:off x="0" y="0"/>
                      <a:ext cx="2038350" cy="2609850"/>
                    </a:xfrm>
                    <a:prstGeom prst="rect">
                      <a:avLst/>
                    </a:prstGeom>
                    <a:noFill/>
                    <a:ln>
                      <a:noFill/>
                    </a:ln>
                  </pic:spPr>
                </pic:pic>
              </a:graphicData>
            </a:graphic>
          </wp:inline>
        </w:drawing>
      </w:r>
      <w:r>
        <w:drawing>
          <wp:inline distT="0" distB="0" distL="114300" distR="114300">
            <wp:extent cx="2057400" cy="2600325"/>
            <wp:effectExtent l="0" t="0" r="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2057400" cy="2600325"/>
                    </a:xfrm>
                    <a:prstGeom prst="rect">
                      <a:avLst/>
                    </a:prstGeom>
                    <a:noFill/>
                    <a:ln>
                      <a:noFill/>
                    </a:ln>
                  </pic:spPr>
                </pic:pic>
              </a:graphicData>
            </a:graphic>
          </wp:inline>
        </w:drawing>
      </w:r>
    </w:p>
    <w:p/>
    <w:p>
      <w:pPr>
        <w:rPr>
          <w:rFonts w:hint="default" w:ascii="Times New Roman" w:hAnsi="Times New Roman" w:cs="Times New Roman"/>
          <w:bCs/>
          <w:iCs/>
          <w:lang w:val="en"/>
        </w:rPr>
      </w:pPr>
      <w:r>
        <w:rPr>
          <w:rFonts w:hint="default" w:ascii="Times New Roman" w:hAnsi="Times New Roman" w:cs="Times New Roman"/>
          <w:bCs/>
          <w:iCs/>
          <w:lang w:val="en"/>
        </w:rPr>
        <w:t>By inspecting the metabolite at the upper right and bottom left diagonal line, we can see that the citric acid/isocitric acid concentration is higher in the carrier, while the pyruvic acid is higher in the symptomatic patients.</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900805" cy="3390265"/>
            <wp:effectExtent l="0" t="0" r="4445" b="63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5"/>
                    <a:stretch>
                      <a:fillRect/>
                    </a:stretch>
                  </pic:blipFill>
                  <pic:spPr>
                    <a:xfrm>
                      <a:off x="0" y="0"/>
                      <a:ext cx="3900805" cy="3390265"/>
                    </a:xfrm>
                    <a:prstGeom prst="rect">
                      <a:avLst/>
                    </a:prstGeom>
                    <a:noFill/>
                    <a:ln>
                      <a:noFill/>
                    </a:ln>
                  </pic:spPr>
                </pic:pic>
              </a:graphicData>
            </a:graphic>
          </wp:inline>
        </w:drawing>
      </w:r>
    </w:p>
    <w:p>
      <w:pPr>
        <w:rPr>
          <w:rFonts w:hint="default"/>
          <w:lang w:val="en"/>
        </w:rPr>
      </w:pPr>
      <w:r>
        <w:rPr>
          <w:rFonts w:hint="default" w:ascii="Times New Roman" w:hAnsi="Times New Roman" w:cs="Times New Roman"/>
          <w:lang w:val="en"/>
        </w:rPr>
        <w:t>By looking at the VIP score plot, we can see that histidine has the highest score and is high in carrier.</w:t>
      </w:r>
    </w:p>
    <w:p>
      <w:pPr>
        <w:rPr>
          <w:rFonts w:hint="default"/>
          <w:lang w:val="en"/>
        </w:rPr>
      </w:pPr>
    </w:p>
    <w:p>
      <w:pPr>
        <w:rPr>
          <w:rFonts w:hint="default"/>
          <w:lang w:val="en"/>
        </w:rPr>
      </w:pPr>
      <w:r>
        <w:rPr>
          <w:rFonts w:hint="default"/>
          <w:lang w:val="en"/>
        </w:rPr>
        <w:t>sPLS-DA score plot:</w:t>
      </w:r>
    </w:p>
    <w:p>
      <w:pPr>
        <w:rPr>
          <w:rFonts w:hint="default"/>
          <w:lang w:val="en"/>
        </w:rPr>
      </w:pPr>
      <w:r>
        <w:drawing>
          <wp:inline distT="0" distB="0" distL="114300" distR="114300">
            <wp:extent cx="4286250" cy="3927475"/>
            <wp:effectExtent l="0" t="0" r="0" b="1587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6"/>
                    <a:stretch>
                      <a:fillRect/>
                    </a:stretch>
                  </pic:blipFill>
                  <pic:spPr>
                    <a:xfrm>
                      <a:off x="0" y="0"/>
                      <a:ext cx="4286250" cy="3927475"/>
                    </a:xfrm>
                    <a:prstGeom prst="rect">
                      <a:avLst/>
                    </a:prstGeom>
                    <a:noFill/>
                    <a:ln>
                      <a:noFill/>
                    </a:ln>
                  </pic:spPr>
                </pic:pic>
              </a:graphicData>
            </a:graphic>
          </wp:inline>
        </w:drawing>
      </w:r>
    </w:p>
    <w:p>
      <w:pPr>
        <w:rPr>
          <w:rFonts w:hint="default" w:ascii="Times New Roman" w:hAnsi="Times New Roman" w:cs="Times New Roman"/>
          <w:bCs/>
          <w:iCs/>
          <w:lang w:val="en"/>
        </w:rPr>
      </w:pPr>
      <w:r>
        <w:rPr>
          <w:rFonts w:hint="default" w:ascii="Times New Roman" w:hAnsi="Times New Roman" w:cs="Times New Roman"/>
          <w:bCs/>
          <w:iCs/>
          <w:lang w:val="en"/>
        </w:rPr>
        <w:t>sPLS-DA loading plot:</w:t>
      </w:r>
    </w:p>
    <w:p>
      <w:pPr>
        <w:rPr>
          <w:rFonts w:hint="default" w:ascii="Times New Roman" w:hAnsi="Times New Roman" w:cs="Times New Roman"/>
          <w:bCs/>
          <w:iCs/>
          <w:lang w:val="en"/>
        </w:rPr>
      </w:pPr>
    </w:p>
    <w:p>
      <w:r>
        <w:drawing>
          <wp:inline distT="0" distB="0" distL="114300" distR="114300">
            <wp:extent cx="4943475" cy="4400550"/>
            <wp:effectExtent l="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7"/>
                    <a:stretch>
                      <a:fillRect/>
                    </a:stretch>
                  </pic:blipFill>
                  <pic:spPr>
                    <a:xfrm>
                      <a:off x="0" y="0"/>
                      <a:ext cx="4943475" cy="4400550"/>
                    </a:xfrm>
                    <a:prstGeom prst="rect">
                      <a:avLst/>
                    </a:prstGeom>
                    <a:noFill/>
                    <a:ln>
                      <a:noFill/>
                    </a:ln>
                  </pic:spPr>
                </pic:pic>
              </a:graphicData>
            </a:graphic>
          </wp:inline>
        </w:drawing>
      </w:r>
    </w:p>
    <w:p/>
    <w:p>
      <w:pPr>
        <w:rPr>
          <w:rFonts w:hint="default" w:ascii="Times New Roman" w:hAnsi="Times New Roman" w:cs="Times New Roman"/>
          <w:lang w:val="en"/>
        </w:rPr>
      </w:pPr>
      <w:r>
        <w:rPr>
          <w:rFonts w:hint="default" w:ascii="Times New Roman" w:hAnsi="Times New Roman" w:cs="Times New Roman"/>
          <w:lang w:val="en"/>
        </w:rPr>
        <w:t>By looking at the loading 1 plot, we can see that histidine has the highest score and is high in carrier.</w:t>
      </w:r>
    </w:p>
    <w:p>
      <w:pPr>
        <w:rPr>
          <w:rFonts w:hint="default" w:ascii="Times New Roman" w:hAnsi="Times New Roman" w:cs="Times New Roman"/>
          <w:lang w:val="en"/>
        </w:rPr>
      </w:pPr>
    </w:p>
    <w:p>
      <w:pPr>
        <w:rPr>
          <w:rFonts w:hint="default" w:ascii="Times New Roman" w:hAnsi="Times New Roman" w:cs="Times New Roman"/>
          <w:bCs/>
          <w:iCs/>
          <w:lang w:val="en"/>
        </w:rPr>
      </w:pPr>
      <w:r>
        <w:rPr>
          <w:rFonts w:ascii="Times New Roman" w:hAnsi="Times New Roman" w:cs="Times New Roman"/>
          <w:bCs/>
          <w:iCs/>
          <w:lang w:val="en-CA"/>
        </w:rPr>
        <w:t>orthPLS</w:t>
      </w:r>
      <w:r>
        <w:rPr>
          <w:rFonts w:hint="default" w:ascii="Times New Roman" w:hAnsi="Times New Roman" w:cs="Times New Roman"/>
          <w:bCs/>
          <w:iCs/>
          <w:lang w:val="en"/>
        </w:rPr>
        <w:t>-</w:t>
      </w:r>
      <w:r>
        <w:rPr>
          <w:rFonts w:ascii="Times New Roman" w:hAnsi="Times New Roman" w:cs="Times New Roman"/>
          <w:bCs/>
          <w:iCs/>
          <w:lang w:val="en-CA"/>
        </w:rPr>
        <w:t xml:space="preserve">DA </w:t>
      </w:r>
      <w:r>
        <w:rPr>
          <w:rFonts w:hint="default" w:ascii="Times New Roman" w:hAnsi="Times New Roman" w:cs="Times New Roman"/>
          <w:bCs/>
          <w:iCs/>
          <w:lang w:val="en"/>
        </w:rPr>
        <w:t>score plot:</w:t>
      </w:r>
    </w:p>
    <w:p>
      <w:r>
        <w:drawing>
          <wp:inline distT="0" distB="0" distL="114300" distR="114300">
            <wp:extent cx="3162935" cy="3053715"/>
            <wp:effectExtent l="0" t="0" r="18415" b="1333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8"/>
                    <a:stretch>
                      <a:fillRect/>
                    </a:stretch>
                  </pic:blipFill>
                  <pic:spPr>
                    <a:xfrm>
                      <a:off x="0" y="0"/>
                      <a:ext cx="3162935" cy="3053715"/>
                    </a:xfrm>
                    <a:prstGeom prst="rect">
                      <a:avLst/>
                    </a:prstGeom>
                    <a:noFill/>
                    <a:ln>
                      <a:noFill/>
                    </a:ln>
                  </pic:spPr>
                </pic:pic>
              </a:graphicData>
            </a:graphic>
          </wp:inline>
        </w:drawing>
      </w:r>
    </w:p>
    <w:p>
      <w:pPr>
        <w:rPr>
          <w:rFonts w:hint="default" w:ascii="Times New Roman" w:hAnsi="Times New Roman" w:cs="Times New Roman"/>
          <w:lang w:val="en"/>
        </w:rPr>
      </w:pPr>
      <w:r>
        <w:rPr>
          <w:rFonts w:hint="default" w:ascii="Times New Roman" w:hAnsi="Times New Roman" w:cs="Times New Roman"/>
          <w:lang w:val="en"/>
        </w:rPr>
        <w:t>Sig. Feature</w:t>
      </w:r>
    </w:p>
    <w:p>
      <w:pPr>
        <w:rPr>
          <w:rFonts w:hint="default"/>
          <w:lang w:val="en"/>
        </w:rPr>
      </w:pPr>
    </w:p>
    <w:p>
      <w:r>
        <w:drawing>
          <wp:inline distT="0" distB="0" distL="114300" distR="114300">
            <wp:extent cx="3242310" cy="2926080"/>
            <wp:effectExtent l="0" t="0" r="1524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9"/>
                    <a:stretch>
                      <a:fillRect/>
                    </a:stretch>
                  </pic:blipFill>
                  <pic:spPr>
                    <a:xfrm>
                      <a:off x="0" y="0"/>
                      <a:ext cx="3242310" cy="2926080"/>
                    </a:xfrm>
                    <a:prstGeom prst="rect">
                      <a:avLst/>
                    </a:prstGeom>
                    <a:noFill/>
                    <a:ln>
                      <a:noFill/>
                    </a:ln>
                  </pic:spPr>
                </pic:pic>
              </a:graphicData>
            </a:graphic>
          </wp:inline>
        </w:drawing>
      </w:r>
    </w:p>
    <w:p/>
    <w:p>
      <w:r>
        <w:drawing>
          <wp:inline distT="0" distB="0" distL="114300" distR="114300">
            <wp:extent cx="1885950" cy="241935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0"/>
                    <a:stretch>
                      <a:fillRect/>
                    </a:stretch>
                  </pic:blipFill>
                  <pic:spPr>
                    <a:xfrm>
                      <a:off x="0" y="0"/>
                      <a:ext cx="1885950" cy="2419350"/>
                    </a:xfrm>
                    <a:prstGeom prst="rect">
                      <a:avLst/>
                    </a:prstGeom>
                    <a:noFill/>
                    <a:ln>
                      <a:noFill/>
                    </a:ln>
                  </pic:spPr>
                </pic:pic>
              </a:graphicData>
            </a:graphic>
          </wp:inline>
        </w:drawing>
      </w:r>
      <w:r>
        <w:drawing>
          <wp:inline distT="0" distB="0" distL="114300" distR="114300">
            <wp:extent cx="1876425" cy="2457450"/>
            <wp:effectExtent l="0" t="0" r="952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1"/>
                    <a:stretch>
                      <a:fillRect/>
                    </a:stretch>
                  </pic:blipFill>
                  <pic:spPr>
                    <a:xfrm>
                      <a:off x="0" y="0"/>
                      <a:ext cx="1876425" cy="2457450"/>
                    </a:xfrm>
                    <a:prstGeom prst="rect">
                      <a:avLst/>
                    </a:prstGeom>
                    <a:noFill/>
                    <a:ln>
                      <a:noFill/>
                    </a:ln>
                  </pic:spPr>
                </pic:pic>
              </a:graphicData>
            </a:graphic>
          </wp:inline>
        </w:drawing>
      </w:r>
    </w:p>
    <w:p/>
    <w:p>
      <w:r>
        <w:drawing>
          <wp:inline distT="0" distB="0" distL="114300" distR="114300">
            <wp:extent cx="1771650" cy="2486025"/>
            <wp:effectExtent l="0" t="0" r="0" b="952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2"/>
                    <a:stretch>
                      <a:fillRect/>
                    </a:stretch>
                  </pic:blipFill>
                  <pic:spPr>
                    <a:xfrm>
                      <a:off x="0" y="0"/>
                      <a:ext cx="1771650" cy="2486025"/>
                    </a:xfrm>
                    <a:prstGeom prst="rect">
                      <a:avLst/>
                    </a:prstGeom>
                    <a:noFill/>
                    <a:ln>
                      <a:noFill/>
                    </a:ln>
                  </pic:spPr>
                </pic:pic>
              </a:graphicData>
            </a:graphic>
          </wp:inline>
        </w:drawing>
      </w:r>
      <w:r>
        <w:drawing>
          <wp:inline distT="0" distB="0" distL="114300" distR="114300">
            <wp:extent cx="1704975" cy="2466975"/>
            <wp:effectExtent l="0" t="0" r="9525" b="952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3"/>
                    <a:stretch>
                      <a:fillRect/>
                    </a:stretch>
                  </pic:blipFill>
                  <pic:spPr>
                    <a:xfrm>
                      <a:off x="0" y="0"/>
                      <a:ext cx="1704975" cy="2466975"/>
                    </a:xfrm>
                    <a:prstGeom prst="rect">
                      <a:avLst/>
                    </a:prstGeom>
                    <a:noFill/>
                    <a:ln>
                      <a:noFill/>
                    </a:ln>
                  </pic:spPr>
                </pic:pic>
              </a:graphicData>
            </a:graphic>
          </wp:inline>
        </w:drawing>
      </w:r>
    </w:p>
    <w:p>
      <w:pPr>
        <w:rPr>
          <w:rFonts w:hint="default" w:ascii="Times New Roman" w:hAnsi="Times New Roman" w:cs="Times New Roman"/>
          <w:bCs/>
          <w:iCs/>
          <w:lang w:val="en"/>
        </w:rPr>
      </w:pPr>
      <w:r>
        <w:rPr>
          <w:rFonts w:hint="default" w:ascii="Times New Roman" w:hAnsi="Times New Roman" w:cs="Times New Roman"/>
          <w:bCs/>
          <w:iCs/>
          <w:lang w:val="en"/>
        </w:rPr>
        <w:t>By inspecting the features at the upper right and bottom left diagonal line, we can see that the histidine and tryptophan concentration are higher in the carrier, while the xanthine and hypocanthine are higher in the symptomatic patients.</w:t>
      </w:r>
    </w:p>
    <w:p>
      <w:pPr>
        <w:rPr>
          <w:rFonts w:hint="default"/>
          <w:lang w:val="en"/>
        </w:rPr>
      </w:pPr>
    </w:p>
    <w:p>
      <w:pPr>
        <w:rPr>
          <w:rFonts w:hint="default" w:ascii="Times New Roman" w:hAnsi="Times New Roman" w:cs="Times New Roman"/>
          <w:lang w:val="en"/>
        </w:rPr>
      </w:pPr>
      <w:r>
        <w:rPr>
          <w:rFonts w:hint="default" w:ascii="Times New Roman" w:hAnsi="Times New Roman" w:cs="Times New Roman"/>
          <w:lang w:val="en"/>
        </w:rPr>
        <w:t xml:space="preserve">Overall, histidine, tryptopahn and xanthine might be features that discriminant </w:t>
      </w:r>
      <w:r>
        <w:rPr>
          <w:rFonts w:hint="default" w:ascii="Times New Roman" w:hAnsi="Times New Roman" w:cs="Times New Roman"/>
          <w:bCs/>
          <w:iCs/>
          <w:lang w:val="en-CA"/>
        </w:rPr>
        <w:t>between asymptomatic and symptomatic carriers</w:t>
      </w:r>
      <w:r>
        <w:rPr>
          <w:rFonts w:hint="default" w:ascii="Times New Roman" w:hAnsi="Times New Roman" w:cs="Times New Roman"/>
          <w:bCs/>
          <w:iCs/>
          <w:lang w:val="en"/>
        </w:rPr>
        <w:t>.</w:t>
      </w:r>
    </w:p>
    <w:p>
      <w:pPr>
        <w:rPr>
          <w:rFonts w:hint="default"/>
          <w:lang w:val="en"/>
        </w:rPr>
      </w:pPr>
    </w:p>
    <w:p>
      <w:pPr>
        <w:numPr>
          <w:ilvl w:val="0"/>
          <w:numId w:val="1"/>
        </w:numPr>
        <w:ind w:left="0" w:leftChars="0" w:firstLine="0" w:firstLineChars="0"/>
        <w:rPr>
          <w:rFonts w:ascii="Times New Roman" w:hAnsi="Times New Roman" w:cs="Times New Roman"/>
          <w:bCs/>
          <w:iCs/>
          <w:lang w:val="en-CA"/>
        </w:rPr>
      </w:pPr>
      <w:r>
        <w:rPr>
          <w:rFonts w:ascii="Times New Roman" w:hAnsi="Times New Roman" w:cs="Times New Roman"/>
          <w:bCs/>
          <w:iCs/>
          <w:lang w:val="en-CA"/>
        </w:rPr>
        <w:t>Cluster your data.  What does this tell you?  Why did you choose the distance measure and clustering algorithm you decided to go with?</w:t>
      </w:r>
    </w:p>
    <w:p>
      <w:pPr>
        <w:numPr>
          <w:numId w:val="0"/>
        </w:numPr>
        <w:jc w:val="both"/>
        <w:rPr>
          <w:rFonts w:ascii="Times New Roman" w:hAnsi="Times New Roman" w:cs="Times New Roman"/>
          <w:bCs/>
          <w:iCs/>
          <w:lang w:val="en-CA"/>
        </w:rPr>
      </w:pPr>
    </w:p>
    <w:p>
      <w:pPr>
        <w:numPr>
          <w:numId w:val="0"/>
        </w:numPr>
        <w:jc w:val="both"/>
        <w:rPr>
          <w:rFonts w:hint="default" w:ascii="Times New Roman" w:hAnsi="Times New Roman" w:cs="Times New Roman"/>
          <w:bCs/>
          <w:iCs/>
          <w:lang w:val="en-CA"/>
        </w:rPr>
      </w:pPr>
      <w:r>
        <w:rPr>
          <w:rFonts w:hint="default" w:ascii="Times New Roman" w:hAnsi="Times New Roman" w:cs="Times New Roman"/>
          <w:bCs/>
          <w:iCs/>
          <w:lang w:val="en-CA"/>
        </w:rPr>
        <w:t>Hierarchical Clustering Dendrogram</w:t>
      </w:r>
    </w:p>
    <w:p>
      <w:pPr>
        <w:numPr>
          <w:numId w:val="0"/>
        </w:numPr>
        <w:jc w:val="both"/>
      </w:pPr>
      <w:r>
        <w:drawing>
          <wp:inline distT="0" distB="0" distL="114300" distR="114300">
            <wp:extent cx="4434840" cy="3867785"/>
            <wp:effectExtent l="0" t="0" r="3810" b="1841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4"/>
                    <a:stretch>
                      <a:fillRect/>
                    </a:stretch>
                  </pic:blipFill>
                  <pic:spPr>
                    <a:xfrm>
                      <a:off x="0" y="0"/>
                      <a:ext cx="4434840" cy="3867785"/>
                    </a:xfrm>
                    <a:prstGeom prst="rect">
                      <a:avLst/>
                    </a:prstGeom>
                    <a:noFill/>
                    <a:ln>
                      <a:noFill/>
                    </a:ln>
                  </pic:spPr>
                </pic:pic>
              </a:graphicData>
            </a:graphic>
          </wp:inline>
        </w:drawing>
      </w:r>
    </w:p>
    <w:p>
      <w:pPr>
        <w:numPr>
          <w:numId w:val="0"/>
        </w:numPr>
        <w:jc w:val="both"/>
        <w:rPr>
          <w:rFonts w:hint="default"/>
          <w:lang w:val="en-CA"/>
        </w:rPr>
      </w:pPr>
      <w:r>
        <w:drawing>
          <wp:inline distT="0" distB="0" distL="114300" distR="114300">
            <wp:extent cx="5053330" cy="4599305"/>
            <wp:effectExtent l="0" t="0" r="13970" b="1079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5"/>
                    <a:stretch>
                      <a:fillRect/>
                    </a:stretch>
                  </pic:blipFill>
                  <pic:spPr>
                    <a:xfrm>
                      <a:off x="0" y="0"/>
                      <a:ext cx="5053330" cy="4599305"/>
                    </a:xfrm>
                    <a:prstGeom prst="rect">
                      <a:avLst/>
                    </a:prstGeom>
                    <a:noFill/>
                    <a:ln>
                      <a:noFill/>
                    </a:ln>
                  </pic:spPr>
                </pic:pic>
              </a:graphicData>
            </a:graphic>
          </wp:inline>
        </w:drawing>
      </w:r>
    </w:p>
    <w:p>
      <w:pPr>
        <w:rPr>
          <w:rFonts w:ascii="Times New Roman" w:hAnsi="Times New Roman" w:cs="Times New Roman"/>
          <w:bCs/>
          <w:iCs/>
          <w:lang w:val="en-CA"/>
        </w:rPr>
      </w:pPr>
    </w:p>
    <w:p>
      <w:r>
        <w:drawing>
          <wp:inline distT="0" distB="0" distL="114300" distR="114300">
            <wp:extent cx="5939790" cy="5603240"/>
            <wp:effectExtent l="0" t="0" r="3810" b="1651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6"/>
                    <a:stretch>
                      <a:fillRect/>
                    </a:stretch>
                  </pic:blipFill>
                  <pic:spPr>
                    <a:xfrm>
                      <a:off x="0" y="0"/>
                      <a:ext cx="5939790" cy="5603240"/>
                    </a:xfrm>
                    <a:prstGeom prst="rect">
                      <a:avLst/>
                    </a:prstGeom>
                    <a:noFill/>
                    <a:ln>
                      <a:noFill/>
                    </a:ln>
                  </pic:spPr>
                </pic:pic>
              </a:graphicData>
            </a:graphic>
          </wp:inline>
        </w:drawing>
      </w:r>
    </w:p>
    <w:p>
      <w:pPr>
        <w:rPr>
          <w:rFonts w:ascii="Times New Roman" w:hAnsi="Times New Roman" w:cs="Times New Roman"/>
          <w:bCs/>
          <w:iCs/>
          <w:lang w:val="en-CA"/>
        </w:rPr>
      </w:pPr>
      <w:r>
        <w:rPr>
          <w:rFonts w:hint="default" w:ascii="Times New Roman"/>
          <w:lang w:val="en"/>
        </w:rPr>
        <w:t>By visual inspection, we can see that the Pearson correlation and “Average” clustering algorithm separate the carrier and symptomatic patients nicely, which minimize the distance within the groups while maximizing the distance between the groups..</w:t>
      </w:r>
      <w:r>
        <w:rPr>
          <w:rFonts w:ascii="Times New Roman" w:hAnsi="Times New Roman" w:cs="Times New Roman"/>
          <w:bCs/>
          <w:iCs/>
          <w:lang w:val="en-CA"/>
        </w:rPr>
        <w:br w:type="textWrapping"/>
      </w:r>
    </w:p>
    <w:p>
      <w:pPr>
        <w:pStyle w:val="10"/>
        <w:ind w:left="720" w:hanging="720"/>
        <w:rPr>
          <w:rFonts w:ascii="Times New Roman" w:hAnsi="Times New Roman" w:cs="Times New Roman"/>
          <w:b/>
          <w:bCs/>
          <w:lang w:val="en-CA"/>
        </w:rPr>
      </w:pPr>
      <w:r>
        <w:rPr>
          <w:rFonts w:ascii="Times New Roman" w:hAnsi="Times New Roman" w:cs="Times New Roman"/>
          <w:b/>
          <w:bCs/>
          <w:lang w:val="en-CA"/>
        </w:rPr>
        <w:t>References</w:t>
      </w:r>
    </w:p>
    <w:p>
      <w:pPr>
        <w:pStyle w:val="10"/>
        <w:ind w:left="720" w:hanging="720"/>
        <w:rPr>
          <w:rFonts w:ascii="Times New Roman" w:hAnsi="Times New Roman" w:cs="Times New Roman"/>
        </w:rPr>
      </w:pPr>
      <w:r>
        <w:rPr>
          <w:rFonts w:ascii="Times New Roman" w:hAnsi="Times New Roman" w:cs="Times New Roman"/>
          <w:lang w:val="en-CA"/>
        </w:rPr>
        <w:fldChar w:fldCharType="begin"/>
      </w:r>
      <w:r>
        <w:rPr>
          <w:rFonts w:ascii="Times New Roman" w:hAnsi="Times New Roman" w:cs="Times New Roman"/>
          <w:lang w:val="en-CA"/>
        </w:rPr>
        <w:instrText xml:space="preserve"> ADDIN EN.REFLIST </w:instrText>
      </w:r>
      <w:r>
        <w:rPr>
          <w:rFonts w:ascii="Times New Roman" w:hAnsi="Times New Roman" w:cs="Times New Roman"/>
          <w:lang w:val="en-CA"/>
        </w:rPr>
        <w:fldChar w:fldCharType="separate"/>
      </w:r>
      <w:r>
        <w:rPr>
          <w:rFonts w:ascii="Times New Roman" w:hAnsi="Times New Roman" w:cs="Times New Roman"/>
        </w:rPr>
        <w:t>Clark LN, Kisselev S, Park N, Ross B, Verbitsky M, Rios E, Alcalay RN, Lee JH, Louis ED (2010) Mutations in the Parkinson's disease genes, Leucine Rich Repeat Kinase 2 (LRRK2) and Glucocerebrosidase (GBA), are not associated with essential tremor. Parkinsonism Relat Disord 16:132-135.</w:t>
      </w:r>
    </w:p>
    <w:p>
      <w:pPr>
        <w:pStyle w:val="10"/>
        <w:ind w:left="720" w:hanging="720"/>
        <w:rPr>
          <w:rFonts w:ascii="Times New Roman" w:hAnsi="Times New Roman" w:cs="Times New Roman"/>
        </w:rPr>
      </w:pPr>
      <w:r>
        <w:rPr>
          <w:rFonts w:ascii="Times New Roman" w:hAnsi="Times New Roman" w:cs="Times New Roman"/>
        </w:rPr>
        <w:t>Tsuang D et al. (2012) GBA mutations increase risk for Lewy body disease with and without Alzheimer disease pathology. Neurology 79:1944-1950.</w:t>
      </w:r>
    </w:p>
    <w:p>
      <w:pPr>
        <w:rPr>
          <w:rFonts w:ascii="Times New Roman" w:hAnsi="Times New Roman" w:cs="Times New Roman"/>
          <w:lang w:val="en-CA"/>
        </w:rPr>
      </w:pPr>
      <w:r>
        <w:rPr>
          <w:rFonts w:ascii="Times New Roman" w:hAnsi="Times New Roman" w:cs="Times New Roman"/>
          <w:lang w:val="en-CA"/>
        </w:rPr>
        <w:fldChar w:fldCharType="end"/>
      </w: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rPr>
    </w:pPr>
    <w:r>
      <w:drawing>
        <wp:inline distT="0" distB="0" distL="0" distR="0">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Pr>
        <w:rFonts w:ascii="Times New Roman" w:hAnsi="Times New Roman" w:cs="Times New Roman"/>
        <w:sz w:val="24"/>
        <w:szCs w:val="24"/>
      </w:rPr>
      <w:t>Basecamp 2020 - Day</w:t>
    </w:r>
    <w:r>
      <w:rPr>
        <w:rFonts w:ascii="Times New Roman" w:hAnsi="Times New Roman" w:cs="Times New Roman"/>
      </w:rPr>
      <w:t xml:space="preserve"> 6 - Participation Questions </w:t>
    </w:r>
  </w:p>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7F22FE"/>
    <w:multiLevelType w:val="singleLevel"/>
    <w:tmpl w:val="FC7F22F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J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zvft256rw2f5erppypr0voez5sw0990r02&quot;&gt;NewPAFCXforv9&lt;record-ids&gt;&lt;item&gt;6098&lt;/item&gt;&lt;/record-ids&gt;&lt;/item&gt;&lt;/Libraries&gt;"/>
  </w:docVars>
  <w:rsids>
    <w:rsidRoot w:val="0095519B"/>
    <w:rsid w:val="00000D76"/>
    <w:rsid w:val="000019C0"/>
    <w:rsid w:val="00002F96"/>
    <w:rsid w:val="00003F2B"/>
    <w:rsid w:val="00004793"/>
    <w:rsid w:val="00004F22"/>
    <w:rsid w:val="00005478"/>
    <w:rsid w:val="00005F58"/>
    <w:rsid w:val="000100DF"/>
    <w:rsid w:val="00011D1E"/>
    <w:rsid w:val="0001292C"/>
    <w:rsid w:val="00013BA0"/>
    <w:rsid w:val="00013F08"/>
    <w:rsid w:val="00014D58"/>
    <w:rsid w:val="00015E99"/>
    <w:rsid w:val="00016451"/>
    <w:rsid w:val="00016A41"/>
    <w:rsid w:val="00017568"/>
    <w:rsid w:val="00017E56"/>
    <w:rsid w:val="0002033F"/>
    <w:rsid w:val="00021A4B"/>
    <w:rsid w:val="00021E38"/>
    <w:rsid w:val="00021F85"/>
    <w:rsid w:val="000226C7"/>
    <w:rsid w:val="00024F5B"/>
    <w:rsid w:val="000258F9"/>
    <w:rsid w:val="00026C8A"/>
    <w:rsid w:val="00027179"/>
    <w:rsid w:val="00027249"/>
    <w:rsid w:val="00027645"/>
    <w:rsid w:val="000276BA"/>
    <w:rsid w:val="000314C8"/>
    <w:rsid w:val="0003154F"/>
    <w:rsid w:val="000320F9"/>
    <w:rsid w:val="00032B47"/>
    <w:rsid w:val="00035137"/>
    <w:rsid w:val="00036543"/>
    <w:rsid w:val="00036E1A"/>
    <w:rsid w:val="00037461"/>
    <w:rsid w:val="0003794E"/>
    <w:rsid w:val="00037B4D"/>
    <w:rsid w:val="00037F11"/>
    <w:rsid w:val="000415C3"/>
    <w:rsid w:val="00041AA3"/>
    <w:rsid w:val="00041BA9"/>
    <w:rsid w:val="00041D85"/>
    <w:rsid w:val="00041EE0"/>
    <w:rsid w:val="0004276F"/>
    <w:rsid w:val="00042B91"/>
    <w:rsid w:val="000431CB"/>
    <w:rsid w:val="0004373F"/>
    <w:rsid w:val="0004479A"/>
    <w:rsid w:val="00044805"/>
    <w:rsid w:val="0004497A"/>
    <w:rsid w:val="0004572B"/>
    <w:rsid w:val="00045753"/>
    <w:rsid w:val="000460CF"/>
    <w:rsid w:val="000465B0"/>
    <w:rsid w:val="0004662D"/>
    <w:rsid w:val="000472C2"/>
    <w:rsid w:val="00050150"/>
    <w:rsid w:val="00052ABA"/>
    <w:rsid w:val="0005325D"/>
    <w:rsid w:val="00053464"/>
    <w:rsid w:val="00054B37"/>
    <w:rsid w:val="000551A2"/>
    <w:rsid w:val="000554F3"/>
    <w:rsid w:val="00055BD0"/>
    <w:rsid w:val="0005694F"/>
    <w:rsid w:val="00056AAC"/>
    <w:rsid w:val="00057606"/>
    <w:rsid w:val="00057A52"/>
    <w:rsid w:val="00057AA1"/>
    <w:rsid w:val="00062061"/>
    <w:rsid w:val="000621FB"/>
    <w:rsid w:val="0006220C"/>
    <w:rsid w:val="0006344E"/>
    <w:rsid w:val="000644B9"/>
    <w:rsid w:val="00064525"/>
    <w:rsid w:val="0006485A"/>
    <w:rsid w:val="00064908"/>
    <w:rsid w:val="0006502B"/>
    <w:rsid w:val="0006522B"/>
    <w:rsid w:val="000656D3"/>
    <w:rsid w:val="000658B9"/>
    <w:rsid w:val="00065CA2"/>
    <w:rsid w:val="00066304"/>
    <w:rsid w:val="00066380"/>
    <w:rsid w:val="00067E16"/>
    <w:rsid w:val="000711A7"/>
    <w:rsid w:val="000720C6"/>
    <w:rsid w:val="0007256B"/>
    <w:rsid w:val="0007301B"/>
    <w:rsid w:val="00073077"/>
    <w:rsid w:val="00073E28"/>
    <w:rsid w:val="00074C98"/>
    <w:rsid w:val="00076157"/>
    <w:rsid w:val="000765DB"/>
    <w:rsid w:val="00077699"/>
    <w:rsid w:val="00077F0B"/>
    <w:rsid w:val="000809EC"/>
    <w:rsid w:val="00081607"/>
    <w:rsid w:val="00081759"/>
    <w:rsid w:val="00082579"/>
    <w:rsid w:val="00083A46"/>
    <w:rsid w:val="00083AE2"/>
    <w:rsid w:val="00083C8D"/>
    <w:rsid w:val="00084F6C"/>
    <w:rsid w:val="00085F8A"/>
    <w:rsid w:val="00086290"/>
    <w:rsid w:val="0008643F"/>
    <w:rsid w:val="00086D67"/>
    <w:rsid w:val="000905CA"/>
    <w:rsid w:val="0009143E"/>
    <w:rsid w:val="00092464"/>
    <w:rsid w:val="000925D5"/>
    <w:rsid w:val="000925F5"/>
    <w:rsid w:val="00094126"/>
    <w:rsid w:val="000964A7"/>
    <w:rsid w:val="000A0092"/>
    <w:rsid w:val="000A02E2"/>
    <w:rsid w:val="000A077C"/>
    <w:rsid w:val="000A1255"/>
    <w:rsid w:val="000A21F8"/>
    <w:rsid w:val="000A368E"/>
    <w:rsid w:val="000A3DC8"/>
    <w:rsid w:val="000A4199"/>
    <w:rsid w:val="000A4A23"/>
    <w:rsid w:val="000A4B60"/>
    <w:rsid w:val="000A5759"/>
    <w:rsid w:val="000A5EB0"/>
    <w:rsid w:val="000A7A31"/>
    <w:rsid w:val="000A7D5D"/>
    <w:rsid w:val="000B0F4B"/>
    <w:rsid w:val="000B22D0"/>
    <w:rsid w:val="000B23C3"/>
    <w:rsid w:val="000B4157"/>
    <w:rsid w:val="000B5161"/>
    <w:rsid w:val="000B58B9"/>
    <w:rsid w:val="000B5B79"/>
    <w:rsid w:val="000B75B2"/>
    <w:rsid w:val="000C080A"/>
    <w:rsid w:val="000C2BAA"/>
    <w:rsid w:val="000C2C29"/>
    <w:rsid w:val="000C522C"/>
    <w:rsid w:val="000C52AD"/>
    <w:rsid w:val="000C6402"/>
    <w:rsid w:val="000C6784"/>
    <w:rsid w:val="000C69F7"/>
    <w:rsid w:val="000C6DB5"/>
    <w:rsid w:val="000C7294"/>
    <w:rsid w:val="000D0FBF"/>
    <w:rsid w:val="000D12E1"/>
    <w:rsid w:val="000D20F2"/>
    <w:rsid w:val="000D219F"/>
    <w:rsid w:val="000D25D5"/>
    <w:rsid w:val="000D2653"/>
    <w:rsid w:val="000D27D9"/>
    <w:rsid w:val="000D3CC6"/>
    <w:rsid w:val="000D4584"/>
    <w:rsid w:val="000D496A"/>
    <w:rsid w:val="000D4F12"/>
    <w:rsid w:val="000D628F"/>
    <w:rsid w:val="000D6A67"/>
    <w:rsid w:val="000D79B7"/>
    <w:rsid w:val="000E0D1C"/>
    <w:rsid w:val="000E0E96"/>
    <w:rsid w:val="000E2645"/>
    <w:rsid w:val="000E2A9B"/>
    <w:rsid w:val="000E3100"/>
    <w:rsid w:val="000E4BC3"/>
    <w:rsid w:val="000E4E23"/>
    <w:rsid w:val="000E5081"/>
    <w:rsid w:val="000E6C49"/>
    <w:rsid w:val="000F10DB"/>
    <w:rsid w:val="000F2D5B"/>
    <w:rsid w:val="000F2D76"/>
    <w:rsid w:val="000F6372"/>
    <w:rsid w:val="000F70EE"/>
    <w:rsid w:val="000F73FE"/>
    <w:rsid w:val="000F78A0"/>
    <w:rsid w:val="001005AB"/>
    <w:rsid w:val="00100D51"/>
    <w:rsid w:val="001023BF"/>
    <w:rsid w:val="00104F4F"/>
    <w:rsid w:val="00106B02"/>
    <w:rsid w:val="00106C60"/>
    <w:rsid w:val="00106D80"/>
    <w:rsid w:val="00107623"/>
    <w:rsid w:val="00107F6E"/>
    <w:rsid w:val="0011019C"/>
    <w:rsid w:val="00110AF1"/>
    <w:rsid w:val="00110F33"/>
    <w:rsid w:val="00111B66"/>
    <w:rsid w:val="00111E73"/>
    <w:rsid w:val="0011325C"/>
    <w:rsid w:val="00113293"/>
    <w:rsid w:val="0011337F"/>
    <w:rsid w:val="00113648"/>
    <w:rsid w:val="00113DF9"/>
    <w:rsid w:val="00114682"/>
    <w:rsid w:val="00115483"/>
    <w:rsid w:val="0011573E"/>
    <w:rsid w:val="001161C5"/>
    <w:rsid w:val="0011643A"/>
    <w:rsid w:val="00116F9F"/>
    <w:rsid w:val="00120D50"/>
    <w:rsid w:val="00121198"/>
    <w:rsid w:val="00121267"/>
    <w:rsid w:val="00121650"/>
    <w:rsid w:val="0012173C"/>
    <w:rsid w:val="00121F5D"/>
    <w:rsid w:val="001226EB"/>
    <w:rsid w:val="00122AF9"/>
    <w:rsid w:val="00123A1C"/>
    <w:rsid w:val="00124233"/>
    <w:rsid w:val="00124F35"/>
    <w:rsid w:val="001254E9"/>
    <w:rsid w:val="00125A11"/>
    <w:rsid w:val="00125E85"/>
    <w:rsid w:val="00127745"/>
    <w:rsid w:val="001277DC"/>
    <w:rsid w:val="0013106D"/>
    <w:rsid w:val="0013188F"/>
    <w:rsid w:val="00131DBE"/>
    <w:rsid w:val="00131E52"/>
    <w:rsid w:val="0013283A"/>
    <w:rsid w:val="00133685"/>
    <w:rsid w:val="0013371E"/>
    <w:rsid w:val="00135F98"/>
    <w:rsid w:val="0013666B"/>
    <w:rsid w:val="00136DD2"/>
    <w:rsid w:val="00137EEF"/>
    <w:rsid w:val="00140D34"/>
    <w:rsid w:val="00141521"/>
    <w:rsid w:val="0014193F"/>
    <w:rsid w:val="0014196C"/>
    <w:rsid w:val="00142A8B"/>
    <w:rsid w:val="001440B6"/>
    <w:rsid w:val="0014470F"/>
    <w:rsid w:val="001450FA"/>
    <w:rsid w:val="00145297"/>
    <w:rsid w:val="00145A9C"/>
    <w:rsid w:val="00145B4F"/>
    <w:rsid w:val="0014633A"/>
    <w:rsid w:val="00146DB4"/>
    <w:rsid w:val="001472A5"/>
    <w:rsid w:val="00147513"/>
    <w:rsid w:val="0014777B"/>
    <w:rsid w:val="0015228E"/>
    <w:rsid w:val="00152FB6"/>
    <w:rsid w:val="001535B5"/>
    <w:rsid w:val="001542FA"/>
    <w:rsid w:val="00154349"/>
    <w:rsid w:val="00154690"/>
    <w:rsid w:val="00154A54"/>
    <w:rsid w:val="00155206"/>
    <w:rsid w:val="001554DA"/>
    <w:rsid w:val="001556C8"/>
    <w:rsid w:val="00155709"/>
    <w:rsid w:val="00155ACF"/>
    <w:rsid w:val="001562E5"/>
    <w:rsid w:val="001565A3"/>
    <w:rsid w:val="001569E5"/>
    <w:rsid w:val="00156B36"/>
    <w:rsid w:val="00156F1E"/>
    <w:rsid w:val="00160020"/>
    <w:rsid w:val="0016123F"/>
    <w:rsid w:val="00161965"/>
    <w:rsid w:val="001628D5"/>
    <w:rsid w:val="00162A77"/>
    <w:rsid w:val="00163047"/>
    <w:rsid w:val="001630BB"/>
    <w:rsid w:val="0016357D"/>
    <w:rsid w:val="001636A3"/>
    <w:rsid w:val="00164D91"/>
    <w:rsid w:val="001656A7"/>
    <w:rsid w:val="00165FA2"/>
    <w:rsid w:val="0017003B"/>
    <w:rsid w:val="0017037B"/>
    <w:rsid w:val="00170EF7"/>
    <w:rsid w:val="001721FD"/>
    <w:rsid w:val="00173A6A"/>
    <w:rsid w:val="0017409D"/>
    <w:rsid w:val="00175D92"/>
    <w:rsid w:val="00176C2A"/>
    <w:rsid w:val="00176E14"/>
    <w:rsid w:val="00176EC3"/>
    <w:rsid w:val="0017773F"/>
    <w:rsid w:val="00177E37"/>
    <w:rsid w:val="00177F38"/>
    <w:rsid w:val="001807DE"/>
    <w:rsid w:val="00180D02"/>
    <w:rsid w:val="00180FB6"/>
    <w:rsid w:val="001823BC"/>
    <w:rsid w:val="00184156"/>
    <w:rsid w:val="00184686"/>
    <w:rsid w:val="00184C36"/>
    <w:rsid w:val="00185028"/>
    <w:rsid w:val="00186150"/>
    <w:rsid w:val="001868A9"/>
    <w:rsid w:val="00186D79"/>
    <w:rsid w:val="00190E11"/>
    <w:rsid w:val="001913F0"/>
    <w:rsid w:val="0019335B"/>
    <w:rsid w:val="001934C9"/>
    <w:rsid w:val="00193799"/>
    <w:rsid w:val="00194632"/>
    <w:rsid w:val="00194BEC"/>
    <w:rsid w:val="00196A6D"/>
    <w:rsid w:val="00196ED7"/>
    <w:rsid w:val="001A0765"/>
    <w:rsid w:val="001A079C"/>
    <w:rsid w:val="001A1BC0"/>
    <w:rsid w:val="001A1E0E"/>
    <w:rsid w:val="001A1FEE"/>
    <w:rsid w:val="001A2050"/>
    <w:rsid w:val="001A27B3"/>
    <w:rsid w:val="001A5391"/>
    <w:rsid w:val="001A558F"/>
    <w:rsid w:val="001A764D"/>
    <w:rsid w:val="001B0569"/>
    <w:rsid w:val="001B24E5"/>
    <w:rsid w:val="001B26E8"/>
    <w:rsid w:val="001B2D9B"/>
    <w:rsid w:val="001B3EBA"/>
    <w:rsid w:val="001B4290"/>
    <w:rsid w:val="001B4650"/>
    <w:rsid w:val="001B4CAF"/>
    <w:rsid w:val="001B50ED"/>
    <w:rsid w:val="001B62F7"/>
    <w:rsid w:val="001B6924"/>
    <w:rsid w:val="001B6DCD"/>
    <w:rsid w:val="001B6F82"/>
    <w:rsid w:val="001B7688"/>
    <w:rsid w:val="001C010F"/>
    <w:rsid w:val="001C0C63"/>
    <w:rsid w:val="001C1117"/>
    <w:rsid w:val="001C13AC"/>
    <w:rsid w:val="001C157D"/>
    <w:rsid w:val="001C1919"/>
    <w:rsid w:val="001C2549"/>
    <w:rsid w:val="001C3EC0"/>
    <w:rsid w:val="001C54AB"/>
    <w:rsid w:val="001C5A2D"/>
    <w:rsid w:val="001C6175"/>
    <w:rsid w:val="001C66F9"/>
    <w:rsid w:val="001C7FB0"/>
    <w:rsid w:val="001D123B"/>
    <w:rsid w:val="001D17AE"/>
    <w:rsid w:val="001D1885"/>
    <w:rsid w:val="001D205A"/>
    <w:rsid w:val="001D26DC"/>
    <w:rsid w:val="001D2B1C"/>
    <w:rsid w:val="001D2C3A"/>
    <w:rsid w:val="001D4800"/>
    <w:rsid w:val="001D4816"/>
    <w:rsid w:val="001D484B"/>
    <w:rsid w:val="001D547F"/>
    <w:rsid w:val="001D59CA"/>
    <w:rsid w:val="001D60E6"/>
    <w:rsid w:val="001D61CB"/>
    <w:rsid w:val="001D7142"/>
    <w:rsid w:val="001D7DB2"/>
    <w:rsid w:val="001D7EBC"/>
    <w:rsid w:val="001E0BA2"/>
    <w:rsid w:val="001E3A1F"/>
    <w:rsid w:val="001E3B95"/>
    <w:rsid w:val="001E4EE3"/>
    <w:rsid w:val="001E65A6"/>
    <w:rsid w:val="001E69E4"/>
    <w:rsid w:val="001E7816"/>
    <w:rsid w:val="001E782A"/>
    <w:rsid w:val="001F1CEE"/>
    <w:rsid w:val="001F27B7"/>
    <w:rsid w:val="001F2B94"/>
    <w:rsid w:val="001F3020"/>
    <w:rsid w:val="001F3C00"/>
    <w:rsid w:val="001F3D00"/>
    <w:rsid w:val="001F3DB4"/>
    <w:rsid w:val="001F3E33"/>
    <w:rsid w:val="001F5CBF"/>
    <w:rsid w:val="001F66A6"/>
    <w:rsid w:val="001F72E8"/>
    <w:rsid w:val="001F748E"/>
    <w:rsid w:val="001F771F"/>
    <w:rsid w:val="001F78F2"/>
    <w:rsid w:val="001F7FB1"/>
    <w:rsid w:val="002000C2"/>
    <w:rsid w:val="00200312"/>
    <w:rsid w:val="00201DD2"/>
    <w:rsid w:val="002020A6"/>
    <w:rsid w:val="00204C3E"/>
    <w:rsid w:val="002056FC"/>
    <w:rsid w:val="00205AB3"/>
    <w:rsid w:val="002061E2"/>
    <w:rsid w:val="00206695"/>
    <w:rsid w:val="002069A8"/>
    <w:rsid w:val="00207FAC"/>
    <w:rsid w:val="00210DA3"/>
    <w:rsid w:val="00211106"/>
    <w:rsid w:val="00211AA5"/>
    <w:rsid w:val="00211BD8"/>
    <w:rsid w:val="00211F7B"/>
    <w:rsid w:val="00212000"/>
    <w:rsid w:val="002125BA"/>
    <w:rsid w:val="00212C54"/>
    <w:rsid w:val="00214925"/>
    <w:rsid w:val="0021591B"/>
    <w:rsid w:val="00215B17"/>
    <w:rsid w:val="002165AC"/>
    <w:rsid w:val="00216FA5"/>
    <w:rsid w:val="002176F3"/>
    <w:rsid w:val="00217B06"/>
    <w:rsid w:val="00217FFC"/>
    <w:rsid w:val="0022060F"/>
    <w:rsid w:val="00221F4F"/>
    <w:rsid w:val="002220BC"/>
    <w:rsid w:val="002222D9"/>
    <w:rsid w:val="002239E0"/>
    <w:rsid w:val="002242E6"/>
    <w:rsid w:val="002249F3"/>
    <w:rsid w:val="00226AB6"/>
    <w:rsid w:val="00226B87"/>
    <w:rsid w:val="00227A53"/>
    <w:rsid w:val="002303EC"/>
    <w:rsid w:val="00230F8A"/>
    <w:rsid w:val="00231056"/>
    <w:rsid w:val="00231289"/>
    <w:rsid w:val="002320B4"/>
    <w:rsid w:val="002327CE"/>
    <w:rsid w:val="00232E68"/>
    <w:rsid w:val="00232FB0"/>
    <w:rsid w:val="002339F6"/>
    <w:rsid w:val="00233DA5"/>
    <w:rsid w:val="00234CC4"/>
    <w:rsid w:val="00234E22"/>
    <w:rsid w:val="0023534C"/>
    <w:rsid w:val="00236065"/>
    <w:rsid w:val="00236190"/>
    <w:rsid w:val="0023633F"/>
    <w:rsid w:val="00236BBD"/>
    <w:rsid w:val="00236EED"/>
    <w:rsid w:val="00237255"/>
    <w:rsid w:val="00240FD1"/>
    <w:rsid w:val="002411C9"/>
    <w:rsid w:val="002412C6"/>
    <w:rsid w:val="00242801"/>
    <w:rsid w:val="00242D95"/>
    <w:rsid w:val="00242DFF"/>
    <w:rsid w:val="0024335C"/>
    <w:rsid w:val="0024352A"/>
    <w:rsid w:val="0024363B"/>
    <w:rsid w:val="00243DC2"/>
    <w:rsid w:val="00245159"/>
    <w:rsid w:val="00246568"/>
    <w:rsid w:val="00246746"/>
    <w:rsid w:val="00247201"/>
    <w:rsid w:val="00250AED"/>
    <w:rsid w:val="0025182C"/>
    <w:rsid w:val="00251AC8"/>
    <w:rsid w:val="00251FB4"/>
    <w:rsid w:val="002522D1"/>
    <w:rsid w:val="002525DF"/>
    <w:rsid w:val="0025260B"/>
    <w:rsid w:val="00252E44"/>
    <w:rsid w:val="00252F46"/>
    <w:rsid w:val="00254CD1"/>
    <w:rsid w:val="00254DE1"/>
    <w:rsid w:val="0025604C"/>
    <w:rsid w:val="0025686B"/>
    <w:rsid w:val="0026020C"/>
    <w:rsid w:val="00260DEE"/>
    <w:rsid w:val="00261AFF"/>
    <w:rsid w:val="00264948"/>
    <w:rsid w:val="0026575A"/>
    <w:rsid w:val="0026687B"/>
    <w:rsid w:val="0026752F"/>
    <w:rsid w:val="00267A54"/>
    <w:rsid w:val="0027053B"/>
    <w:rsid w:val="00271819"/>
    <w:rsid w:val="00271886"/>
    <w:rsid w:val="00271FA2"/>
    <w:rsid w:val="0027262F"/>
    <w:rsid w:val="002748BD"/>
    <w:rsid w:val="00274F46"/>
    <w:rsid w:val="00275406"/>
    <w:rsid w:val="002764EB"/>
    <w:rsid w:val="0027782F"/>
    <w:rsid w:val="00277F68"/>
    <w:rsid w:val="002813DF"/>
    <w:rsid w:val="00281767"/>
    <w:rsid w:val="002836FD"/>
    <w:rsid w:val="00283720"/>
    <w:rsid w:val="00283BFB"/>
    <w:rsid w:val="0028471E"/>
    <w:rsid w:val="002856A0"/>
    <w:rsid w:val="00286025"/>
    <w:rsid w:val="00286A5D"/>
    <w:rsid w:val="00286AC6"/>
    <w:rsid w:val="00287BC3"/>
    <w:rsid w:val="00290C9E"/>
    <w:rsid w:val="00291EBE"/>
    <w:rsid w:val="00292DEC"/>
    <w:rsid w:val="00293E7A"/>
    <w:rsid w:val="002947AF"/>
    <w:rsid w:val="002951CC"/>
    <w:rsid w:val="002956C6"/>
    <w:rsid w:val="00295D5D"/>
    <w:rsid w:val="00297555"/>
    <w:rsid w:val="002A1941"/>
    <w:rsid w:val="002A2245"/>
    <w:rsid w:val="002A23F2"/>
    <w:rsid w:val="002A2B36"/>
    <w:rsid w:val="002A5215"/>
    <w:rsid w:val="002A6100"/>
    <w:rsid w:val="002A624A"/>
    <w:rsid w:val="002A6E2D"/>
    <w:rsid w:val="002A6FB4"/>
    <w:rsid w:val="002A7985"/>
    <w:rsid w:val="002B02CB"/>
    <w:rsid w:val="002B08B4"/>
    <w:rsid w:val="002B0F36"/>
    <w:rsid w:val="002B1DD7"/>
    <w:rsid w:val="002B2587"/>
    <w:rsid w:val="002B2F06"/>
    <w:rsid w:val="002B35E2"/>
    <w:rsid w:val="002B3A0D"/>
    <w:rsid w:val="002B3A6B"/>
    <w:rsid w:val="002B53E4"/>
    <w:rsid w:val="002B55C5"/>
    <w:rsid w:val="002B5993"/>
    <w:rsid w:val="002B6E36"/>
    <w:rsid w:val="002B7B2C"/>
    <w:rsid w:val="002B7C52"/>
    <w:rsid w:val="002C097B"/>
    <w:rsid w:val="002C245A"/>
    <w:rsid w:val="002C2B3D"/>
    <w:rsid w:val="002C2CD0"/>
    <w:rsid w:val="002C31C1"/>
    <w:rsid w:val="002C3297"/>
    <w:rsid w:val="002C3C1C"/>
    <w:rsid w:val="002C5565"/>
    <w:rsid w:val="002C5568"/>
    <w:rsid w:val="002C60DD"/>
    <w:rsid w:val="002C7E97"/>
    <w:rsid w:val="002D109F"/>
    <w:rsid w:val="002D2008"/>
    <w:rsid w:val="002D2431"/>
    <w:rsid w:val="002D282A"/>
    <w:rsid w:val="002D2A87"/>
    <w:rsid w:val="002D4EF5"/>
    <w:rsid w:val="002D4EFD"/>
    <w:rsid w:val="002D655E"/>
    <w:rsid w:val="002D74AE"/>
    <w:rsid w:val="002D7CE4"/>
    <w:rsid w:val="002D7F67"/>
    <w:rsid w:val="002E0304"/>
    <w:rsid w:val="002E1179"/>
    <w:rsid w:val="002E20B7"/>
    <w:rsid w:val="002E2C75"/>
    <w:rsid w:val="002E2FCE"/>
    <w:rsid w:val="002E3113"/>
    <w:rsid w:val="002E43B9"/>
    <w:rsid w:val="002E444E"/>
    <w:rsid w:val="002E4559"/>
    <w:rsid w:val="002E5D5C"/>
    <w:rsid w:val="002F0DB3"/>
    <w:rsid w:val="002F1C1F"/>
    <w:rsid w:val="002F2079"/>
    <w:rsid w:val="002F22EF"/>
    <w:rsid w:val="002F22FC"/>
    <w:rsid w:val="002F2A1B"/>
    <w:rsid w:val="002F3B24"/>
    <w:rsid w:val="002F4EA0"/>
    <w:rsid w:val="002F5094"/>
    <w:rsid w:val="002F557F"/>
    <w:rsid w:val="002F5808"/>
    <w:rsid w:val="002F6944"/>
    <w:rsid w:val="002F6E9F"/>
    <w:rsid w:val="00300B6B"/>
    <w:rsid w:val="00300D90"/>
    <w:rsid w:val="00302BBF"/>
    <w:rsid w:val="003035D8"/>
    <w:rsid w:val="00303FAE"/>
    <w:rsid w:val="0030419E"/>
    <w:rsid w:val="00304624"/>
    <w:rsid w:val="0030472E"/>
    <w:rsid w:val="00304827"/>
    <w:rsid w:val="00305009"/>
    <w:rsid w:val="003056AA"/>
    <w:rsid w:val="00305BCD"/>
    <w:rsid w:val="00305CA0"/>
    <w:rsid w:val="00306369"/>
    <w:rsid w:val="00306AE5"/>
    <w:rsid w:val="0030781B"/>
    <w:rsid w:val="00311502"/>
    <w:rsid w:val="003138E7"/>
    <w:rsid w:val="003138F0"/>
    <w:rsid w:val="00313C08"/>
    <w:rsid w:val="00316B22"/>
    <w:rsid w:val="00316B4F"/>
    <w:rsid w:val="00317533"/>
    <w:rsid w:val="0031757F"/>
    <w:rsid w:val="003208F3"/>
    <w:rsid w:val="00320D00"/>
    <w:rsid w:val="0032117D"/>
    <w:rsid w:val="00322F32"/>
    <w:rsid w:val="00323D79"/>
    <w:rsid w:val="00324585"/>
    <w:rsid w:val="003249B8"/>
    <w:rsid w:val="00324D80"/>
    <w:rsid w:val="0032535B"/>
    <w:rsid w:val="00325D9F"/>
    <w:rsid w:val="003261A2"/>
    <w:rsid w:val="0032655F"/>
    <w:rsid w:val="00327EC3"/>
    <w:rsid w:val="0033054B"/>
    <w:rsid w:val="003309E3"/>
    <w:rsid w:val="003314AA"/>
    <w:rsid w:val="00331AB4"/>
    <w:rsid w:val="00332DFD"/>
    <w:rsid w:val="003351B7"/>
    <w:rsid w:val="00336528"/>
    <w:rsid w:val="003373D7"/>
    <w:rsid w:val="00340A7A"/>
    <w:rsid w:val="003411CA"/>
    <w:rsid w:val="00341495"/>
    <w:rsid w:val="00341690"/>
    <w:rsid w:val="00342DC2"/>
    <w:rsid w:val="003431DA"/>
    <w:rsid w:val="00344492"/>
    <w:rsid w:val="00344EA7"/>
    <w:rsid w:val="00344F17"/>
    <w:rsid w:val="0034584D"/>
    <w:rsid w:val="00346012"/>
    <w:rsid w:val="003506FA"/>
    <w:rsid w:val="00350FF2"/>
    <w:rsid w:val="003511B0"/>
    <w:rsid w:val="0035121A"/>
    <w:rsid w:val="00351497"/>
    <w:rsid w:val="00351775"/>
    <w:rsid w:val="00351926"/>
    <w:rsid w:val="00352080"/>
    <w:rsid w:val="00352ABE"/>
    <w:rsid w:val="003534C9"/>
    <w:rsid w:val="00353919"/>
    <w:rsid w:val="003542DE"/>
    <w:rsid w:val="00354930"/>
    <w:rsid w:val="00354D6F"/>
    <w:rsid w:val="00356CB1"/>
    <w:rsid w:val="003574F7"/>
    <w:rsid w:val="00357743"/>
    <w:rsid w:val="00357D57"/>
    <w:rsid w:val="00360750"/>
    <w:rsid w:val="003609F0"/>
    <w:rsid w:val="00360BD6"/>
    <w:rsid w:val="003613A5"/>
    <w:rsid w:val="003624A3"/>
    <w:rsid w:val="0036293D"/>
    <w:rsid w:val="00362A62"/>
    <w:rsid w:val="00363A96"/>
    <w:rsid w:val="00363E30"/>
    <w:rsid w:val="00364500"/>
    <w:rsid w:val="0036525E"/>
    <w:rsid w:val="00366B60"/>
    <w:rsid w:val="00366E57"/>
    <w:rsid w:val="00370956"/>
    <w:rsid w:val="003710ED"/>
    <w:rsid w:val="00371B29"/>
    <w:rsid w:val="0037299D"/>
    <w:rsid w:val="003735A5"/>
    <w:rsid w:val="00373BF0"/>
    <w:rsid w:val="00374274"/>
    <w:rsid w:val="003748B7"/>
    <w:rsid w:val="003749EE"/>
    <w:rsid w:val="003754B2"/>
    <w:rsid w:val="003755A5"/>
    <w:rsid w:val="00375E38"/>
    <w:rsid w:val="00376A68"/>
    <w:rsid w:val="00376E67"/>
    <w:rsid w:val="0037721F"/>
    <w:rsid w:val="003778AF"/>
    <w:rsid w:val="0038125B"/>
    <w:rsid w:val="003821FA"/>
    <w:rsid w:val="0038366F"/>
    <w:rsid w:val="00384059"/>
    <w:rsid w:val="00384C35"/>
    <w:rsid w:val="00384FC3"/>
    <w:rsid w:val="00385DF5"/>
    <w:rsid w:val="00386B0A"/>
    <w:rsid w:val="00386D18"/>
    <w:rsid w:val="00386E04"/>
    <w:rsid w:val="00386E9D"/>
    <w:rsid w:val="003876F0"/>
    <w:rsid w:val="00387D40"/>
    <w:rsid w:val="003901AA"/>
    <w:rsid w:val="00391081"/>
    <w:rsid w:val="00392835"/>
    <w:rsid w:val="00392F3D"/>
    <w:rsid w:val="00393A8D"/>
    <w:rsid w:val="0039452B"/>
    <w:rsid w:val="00394569"/>
    <w:rsid w:val="003947F3"/>
    <w:rsid w:val="00394940"/>
    <w:rsid w:val="00394F94"/>
    <w:rsid w:val="003953C8"/>
    <w:rsid w:val="003954A2"/>
    <w:rsid w:val="00395EA8"/>
    <w:rsid w:val="003965C7"/>
    <w:rsid w:val="00396980"/>
    <w:rsid w:val="00396F1F"/>
    <w:rsid w:val="003973DE"/>
    <w:rsid w:val="003A0B07"/>
    <w:rsid w:val="003A1940"/>
    <w:rsid w:val="003A2F38"/>
    <w:rsid w:val="003A3232"/>
    <w:rsid w:val="003A3313"/>
    <w:rsid w:val="003A5237"/>
    <w:rsid w:val="003A5DC7"/>
    <w:rsid w:val="003A60EB"/>
    <w:rsid w:val="003A65E0"/>
    <w:rsid w:val="003A7CFD"/>
    <w:rsid w:val="003B079A"/>
    <w:rsid w:val="003B1527"/>
    <w:rsid w:val="003B1D1E"/>
    <w:rsid w:val="003B3228"/>
    <w:rsid w:val="003B34D5"/>
    <w:rsid w:val="003B3F73"/>
    <w:rsid w:val="003B3F9C"/>
    <w:rsid w:val="003B415D"/>
    <w:rsid w:val="003B494F"/>
    <w:rsid w:val="003B49C8"/>
    <w:rsid w:val="003B5142"/>
    <w:rsid w:val="003B7C20"/>
    <w:rsid w:val="003C06FF"/>
    <w:rsid w:val="003C0919"/>
    <w:rsid w:val="003C2A1E"/>
    <w:rsid w:val="003C2A67"/>
    <w:rsid w:val="003C3E1D"/>
    <w:rsid w:val="003C4C78"/>
    <w:rsid w:val="003C4DB2"/>
    <w:rsid w:val="003C6607"/>
    <w:rsid w:val="003C7178"/>
    <w:rsid w:val="003C77AA"/>
    <w:rsid w:val="003D0103"/>
    <w:rsid w:val="003D039D"/>
    <w:rsid w:val="003D1A81"/>
    <w:rsid w:val="003D26ED"/>
    <w:rsid w:val="003D2CC9"/>
    <w:rsid w:val="003D2CEA"/>
    <w:rsid w:val="003D33C5"/>
    <w:rsid w:val="003D52E0"/>
    <w:rsid w:val="003D640B"/>
    <w:rsid w:val="003D66CE"/>
    <w:rsid w:val="003D6E47"/>
    <w:rsid w:val="003D71B9"/>
    <w:rsid w:val="003E2090"/>
    <w:rsid w:val="003E20CC"/>
    <w:rsid w:val="003E2A5F"/>
    <w:rsid w:val="003E2DEC"/>
    <w:rsid w:val="003E3175"/>
    <w:rsid w:val="003E4278"/>
    <w:rsid w:val="003E57D8"/>
    <w:rsid w:val="003E7600"/>
    <w:rsid w:val="003E7AAC"/>
    <w:rsid w:val="003F04FC"/>
    <w:rsid w:val="003F0A90"/>
    <w:rsid w:val="003F174C"/>
    <w:rsid w:val="003F1C9B"/>
    <w:rsid w:val="003F2560"/>
    <w:rsid w:val="003F315C"/>
    <w:rsid w:val="003F377D"/>
    <w:rsid w:val="003F3DDB"/>
    <w:rsid w:val="003F3FA2"/>
    <w:rsid w:val="003F3FDC"/>
    <w:rsid w:val="003F410C"/>
    <w:rsid w:val="003F4644"/>
    <w:rsid w:val="003F4728"/>
    <w:rsid w:val="003F5725"/>
    <w:rsid w:val="003F588C"/>
    <w:rsid w:val="003F67D7"/>
    <w:rsid w:val="003F70F4"/>
    <w:rsid w:val="00400B1E"/>
    <w:rsid w:val="00402875"/>
    <w:rsid w:val="004030E9"/>
    <w:rsid w:val="00403DDF"/>
    <w:rsid w:val="00404ABC"/>
    <w:rsid w:val="00405567"/>
    <w:rsid w:val="00405D3B"/>
    <w:rsid w:val="00406004"/>
    <w:rsid w:val="00407502"/>
    <w:rsid w:val="004104E7"/>
    <w:rsid w:val="0041073C"/>
    <w:rsid w:val="0041117F"/>
    <w:rsid w:val="004124F3"/>
    <w:rsid w:val="00412AAE"/>
    <w:rsid w:val="00414FBD"/>
    <w:rsid w:val="0041646B"/>
    <w:rsid w:val="00422FAB"/>
    <w:rsid w:val="00423441"/>
    <w:rsid w:val="00423AF3"/>
    <w:rsid w:val="00425160"/>
    <w:rsid w:val="004252A7"/>
    <w:rsid w:val="0042572E"/>
    <w:rsid w:val="00425788"/>
    <w:rsid w:val="00427C3E"/>
    <w:rsid w:val="00427D3C"/>
    <w:rsid w:val="0043187F"/>
    <w:rsid w:val="004318C9"/>
    <w:rsid w:val="00433F0A"/>
    <w:rsid w:val="004378F0"/>
    <w:rsid w:val="004408CF"/>
    <w:rsid w:val="00441DDA"/>
    <w:rsid w:val="00443AD9"/>
    <w:rsid w:val="00443B09"/>
    <w:rsid w:val="00443C94"/>
    <w:rsid w:val="00443D1C"/>
    <w:rsid w:val="00444476"/>
    <w:rsid w:val="00444913"/>
    <w:rsid w:val="00444E8A"/>
    <w:rsid w:val="00445AB1"/>
    <w:rsid w:val="00447449"/>
    <w:rsid w:val="0044786F"/>
    <w:rsid w:val="004478BC"/>
    <w:rsid w:val="00450949"/>
    <w:rsid w:val="00451D56"/>
    <w:rsid w:val="0045262D"/>
    <w:rsid w:val="004526C5"/>
    <w:rsid w:val="004535D9"/>
    <w:rsid w:val="004558E9"/>
    <w:rsid w:val="00456704"/>
    <w:rsid w:val="0045670E"/>
    <w:rsid w:val="004574DE"/>
    <w:rsid w:val="00457A42"/>
    <w:rsid w:val="00457D6F"/>
    <w:rsid w:val="004622BF"/>
    <w:rsid w:val="00466ED1"/>
    <w:rsid w:val="004709EB"/>
    <w:rsid w:val="00470F63"/>
    <w:rsid w:val="0047174E"/>
    <w:rsid w:val="00472307"/>
    <w:rsid w:val="00473250"/>
    <w:rsid w:val="004739AD"/>
    <w:rsid w:val="004743BD"/>
    <w:rsid w:val="00475744"/>
    <w:rsid w:val="0047592F"/>
    <w:rsid w:val="00475E1F"/>
    <w:rsid w:val="00477124"/>
    <w:rsid w:val="00477389"/>
    <w:rsid w:val="00477BC6"/>
    <w:rsid w:val="00480446"/>
    <w:rsid w:val="004804B8"/>
    <w:rsid w:val="004808D5"/>
    <w:rsid w:val="004808FF"/>
    <w:rsid w:val="004811F2"/>
    <w:rsid w:val="00481BEF"/>
    <w:rsid w:val="00482D9B"/>
    <w:rsid w:val="00482F6D"/>
    <w:rsid w:val="00483DE1"/>
    <w:rsid w:val="00485019"/>
    <w:rsid w:val="004850FF"/>
    <w:rsid w:val="00486586"/>
    <w:rsid w:val="00487120"/>
    <w:rsid w:val="004873EF"/>
    <w:rsid w:val="004919D6"/>
    <w:rsid w:val="00493A8D"/>
    <w:rsid w:val="00493BB4"/>
    <w:rsid w:val="00493CA1"/>
    <w:rsid w:val="00494346"/>
    <w:rsid w:val="004944B6"/>
    <w:rsid w:val="00494AB9"/>
    <w:rsid w:val="00496C2B"/>
    <w:rsid w:val="0049774F"/>
    <w:rsid w:val="004A0CEA"/>
    <w:rsid w:val="004A10CF"/>
    <w:rsid w:val="004A1E8C"/>
    <w:rsid w:val="004A2584"/>
    <w:rsid w:val="004A35C0"/>
    <w:rsid w:val="004A3EEF"/>
    <w:rsid w:val="004A5A38"/>
    <w:rsid w:val="004A651C"/>
    <w:rsid w:val="004A655A"/>
    <w:rsid w:val="004A6EE3"/>
    <w:rsid w:val="004A729C"/>
    <w:rsid w:val="004B087F"/>
    <w:rsid w:val="004B0E91"/>
    <w:rsid w:val="004B0F8A"/>
    <w:rsid w:val="004B120B"/>
    <w:rsid w:val="004B22F4"/>
    <w:rsid w:val="004B3CB6"/>
    <w:rsid w:val="004B4656"/>
    <w:rsid w:val="004B4B43"/>
    <w:rsid w:val="004B4C7D"/>
    <w:rsid w:val="004B4E6A"/>
    <w:rsid w:val="004B4E93"/>
    <w:rsid w:val="004B5AD3"/>
    <w:rsid w:val="004B602A"/>
    <w:rsid w:val="004B712D"/>
    <w:rsid w:val="004B72FD"/>
    <w:rsid w:val="004B7648"/>
    <w:rsid w:val="004B7F3A"/>
    <w:rsid w:val="004C099B"/>
    <w:rsid w:val="004C17EC"/>
    <w:rsid w:val="004C193F"/>
    <w:rsid w:val="004C310A"/>
    <w:rsid w:val="004C46E0"/>
    <w:rsid w:val="004C47B3"/>
    <w:rsid w:val="004C47BA"/>
    <w:rsid w:val="004C4C51"/>
    <w:rsid w:val="004C6091"/>
    <w:rsid w:val="004C6535"/>
    <w:rsid w:val="004C7068"/>
    <w:rsid w:val="004C7362"/>
    <w:rsid w:val="004D0785"/>
    <w:rsid w:val="004D19C0"/>
    <w:rsid w:val="004D36FE"/>
    <w:rsid w:val="004D4EFB"/>
    <w:rsid w:val="004D507C"/>
    <w:rsid w:val="004D625D"/>
    <w:rsid w:val="004D6DFA"/>
    <w:rsid w:val="004E08A7"/>
    <w:rsid w:val="004E0AAD"/>
    <w:rsid w:val="004E11C4"/>
    <w:rsid w:val="004E1934"/>
    <w:rsid w:val="004E283B"/>
    <w:rsid w:val="004E2B5D"/>
    <w:rsid w:val="004E44D3"/>
    <w:rsid w:val="004E505E"/>
    <w:rsid w:val="004E5433"/>
    <w:rsid w:val="004E55D7"/>
    <w:rsid w:val="004E5D37"/>
    <w:rsid w:val="004E6075"/>
    <w:rsid w:val="004E64BC"/>
    <w:rsid w:val="004E6666"/>
    <w:rsid w:val="004E6A6E"/>
    <w:rsid w:val="004E7478"/>
    <w:rsid w:val="004F0EA9"/>
    <w:rsid w:val="004F1B08"/>
    <w:rsid w:val="004F1B45"/>
    <w:rsid w:val="004F1D35"/>
    <w:rsid w:val="004F228D"/>
    <w:rsid w:val="004F2917"/>
    <w:rsid w:val="004F2C2D"/>
    <w:rsid w:val="004F31B3"/>
    <w:rsid w:val="004F4C5D"/>
    <w:rsid w:val="004F5476"/>
    <w:rsid w:val="004F7AE2"/>
    <w:rsid w:val="004F7F8F"/>
    <w:rsid w:val="00500136"/>
    <w:rsid w:val="00500147"/>
    <w:rsid w:val="00501BEF"/>
    <w:rsid w:val="00502AA4"/>
    <w:rsid w:val="00503136"/>
    <w:rsid w:val="0050369F"/>
    <w:rsid w:val="00504219"/>
    <w:rsid w:val="005046C1"/>
    <w:rsid w:val="005068EF"/>
    <w:rsid w:val="00506F71"/>
    <w:rsid w:val="00510394"/>
    <w:rsid w:val="005104FE"/>
    <w:rsid w:val="0051113F"/>
    <w:rsid w:val="00511F01"/>
    <w:rsid w:val="0051202C"/>
    <w:rsid w:val="00512441"/>
    <w:rsid w:val="00513728"/>
    <w:rsid w:val="005143CD"/>
    <w:rsid w:val="00515989"/>
    <w:rsid w:val="00516037"/>
    <w:rsid w:val="00516782"/>
    <w:rsid w:val="005177A7"/>
    <w:rsid w:val="00517B8B"/>
    <w:rsid w:val="00520ED9"/>
    <w:rsid w:val="0052204F"/>
    <w:rsid w:val="00522C8D"/>
    <w:rsid w:val="0052393E"/>
    <w:rsid w:val="00523966"/>
    <w:rsid w:val="00524EC5"/>
    <w:rsid w:val="0052507D"/>
    <w:rsid w:val="005265F0"/>
    <w:rsid w:val="00526A1D"/>
    <w:rsid w:val="00526F8C"/>
    <w:rsid w:val="00527EAA"/>
    <w:rsid w:val="00530A2B"/>
    <w:rsid w:val="005312FF"/>
    <w:rsid w:val="00534788"/>
    <w:rsid w:val="005347EC"/>
    <w:rsid w:val="005358AE"/>
    <w:rsid w:val="00535A93"/>
    <w:rsid w:val="005368E4"/>
    <w:rsid w:val="00536D2B"/>
    <w:rsid w:val="00536E39"/>
    <w:rsid w:val="005372B5"/>
    <w:rsid w:val="00537A3B"/>
    <w:rsid w:val="0054087D"/>
    <w:rsid w:val="00541244"/>
    <w:rsid w:val="00542924"/>
    <w:rsid w:val="00542D1C"/>
    <w:rsid w:val="00542F9B"/>
    <w:rsid w:val="00545078"/>
    <w:rsid w:val="005452BE"/>
    <w:rsid w:val="005456ED"/>
    <w:rsid w:val="00545A05"/>
    <w:rsid w:val="0054775A"/>
    <w:rsid w:val="005479D9"/>
    <w:rsid w:val="005479EB"/>
    <w:rsid w:val="00547B4D"/>
    <w:rsid w:val="005507A3"/>
    <w:rsid w:val="0055091F"/>
    <w:rsid w:val="00552317"/>
    <w:rsid w:val="00552331"/>
    <w:rsid w:val="00553188"/>
    <w:rsid w:val="00553293"/>
    <w:rsid w:val="0055367A"/>
    <w:rsid w:val="0055377A"/>
    <w:rsid w:val="00553922"/>
    <w:rsid w:val="00553B1A"/>
    <w:rsid w:val="00553B5A"/>
    <w:rsid w:val="00553E81"/>
    <w:rsid w:val="005547B0"/>
    <w:rsid w:val="00554B2F"/>
    <w:rsid w:val="00554FBA"/>
    <w:rsid w:val="00555CF4"/>
    <w:rsid w:val="00555F29"/>
    <w:rsid w:val="00556684"/>
    <w:rsid w:val="005568DC"/>
    <w:rsid w:val="00560065"/>
    <w:rsid w:val="005601AD"/>
    <w:rsid w:val="00560D28"/>
    <w:rsid w:val="00560DCC"/>
    <w:rsid w:val="00561C89"/>
    <w:rsid w:val="005635DC"/>
    <w:rsid w:val="00564A1E"/>
    <w:rsid w:val="005652B8"/>
    <w:rsid w:val="00565F9D"/>
    <w:rsid w:val="0056617B"/>
    <w:rsid w:val="00566421"/>
    <w:rsid w:val="005668AC"/>
    <w:rsid w:val="00567A6F"/>
    <w:rsid w:val="00567F5F"/>
    <w:rsid w:val="005711F9"/>
    <w:rsid w:val="00571F20"/>
    <w:rsid w:val="00574874"/>
    <w:rsid w:val="005752C2"/>
    <w:rsid w:val="005762DB"/>
    <w:rsid w:val="005774EB"/>
    <w:rsid w:val="00577F9F"/>
    <w:rsid w:val="00580328"/>
    <w:rsid w:val="0058084B"/>
    <w:rsid w:val="00581E0C"/>
    <w:rsid w:val="00582104"/>
    <w:rsid w:val="005822B9"/>
    <w:rsid w:val="00587680"/>
    <w:rsid w:val="00587D0F"/>
    <w:rsid w:val="00590595"/>
    <w:rsid w:val="00590ED7"/>
    <w:rsid w:val="00590FC6"/>
    <w:rsid w:val="00591D4B"/>
    <w:rsid w:val="00592244"/>
    <w:rsid w:val="005941CE"/>
    <w:rsid w:val="005947F0"/>
    <w:rsid w:val="00595B26"/>
    <w:rsid w:val="00596411"/>
    <w:rsid w:val="00596658"/>
    <w:rsid w:val="005966B3"/>
    <w:rsid w:val="005A1A6E"/>
    <w:rsid w:val="005A1D3C"/>
    <w:rsid w:val="005A2572"/>
    <w:rsid w:val="005A29C7"/>
    <w:rsid w:val="005A2A7D"/>
    <w:rsid w:val="005A4EE2"/>
    <w:rsid w:val="005A557D"/>
    <w:rsid w:val="005A7902"/>
    <w:rsid w:val="005B0E98"/>
    <w:rsid w:val="005B16DE"/>
    <w:rsid w:val="005B21B7"/>
    <w:rsid w:val="005B21BF"/>
    <w:rsid w:val="005B3555"/>
    <w:rsid w:val="005B3D97"/>
    <w:rsid w:val="005B5137"/>
    <w:rsid w:val="005B5BDD"/>
    <w:rsid w:val="005B5E38"/>
    <w:rsid w:val="005B6004"/>
    <w:rsid w:val="005B6768"/>
    <w:rsid w:val="005B69E2"/>
    <w:rsid w:val="005B6AE1"/>
    <w:rsid w:val="005B7AF0"/>
    <w:rsid w:val="005B7DF8"/>
    <w:rsid w:val="005C0560"/>
    <w:rsid w:val="005C08A4"/>
    <w:rsid w:val="005C1CED"/>
    <w:rsid w:val="005C2351"/>
    <w:rsid w:val="005C24DB"/>
    <w:rsid w:val="005C443B"/>
    <w:rsid w:val="005C4567"/>
    <w:rsid w:val="005C661C"/>
    <w:rsid w:val="005C6A61"/>
    <w:rsid w:val="005C6EC7"/>
    <w:rsid w:val="005D1109"/>
    <w:rsid w:val="005D14E7"/>
    <w:rsid w:val="005D1684"/>
    <w:rsid w:val="005D1802"/>
    <w:rsid w:val="005D423E"/>
    <w:rsid w:val="005D5306"/>
    <w:rsid w:val="005D545F"/>
    <w:rsid w:val="005D54C9"/>
    <w:rsid w:val="005D58F4"/>
    <w:rsid w:val="005D5B5E"/>
    <w:rsid w:val="005D60CD"/>
    <w:rsid w:val="005D6A40"/>
    <w:rsid w:val="005D7569"/>
    <w:rsid w:val="005E08BE"/>
    <w:rsid w:val="005E0ED5"/>
    <w:rsid w:val="005E286B"/>
    <w:rsid w:val="005E30B4"/>
    <w:rsid w:val="005E3267"/>
    <w:rsid w:val="005E36A2"/>
    <w:rsid w:val="005E3AFF"/>
    <w:rsid w:val="005E40AA"/>
    <w:rsid w:val="005E40EC"/>
    <w:rsid w:val="005E5BC0"/>
    <w:rsid w:val="005E62B8"/>
    <w:rsid w:val="005F0A07"/>
    <w:rsid w:val="005F1BC5"/>
    <w:rsid w:val="005F2F96"/>
    <w:rsid w:val="005F4ABA"/>
    <w:rsid w:val="005F4BE5"/>
    <w:rsid w:val="005F5B94"/>
    <w:rsid w:val="005F6574"/>
    <w:rsid w:val="005F6BF7"/>
    <w:rsid w:val="00600945"/>
    <w:rsid w:val="00601A50"/>
    <w:rsid w:val="00602890"/>
    <w:rsid w:val="00602E33"/>
    <w:rsid w:val="0060366E"/>
    <w:rsid w:val="00604231"/>
    <w:rsid w:val="00604D4C"/>
    <w:rsid w:val="00604F5C"/>
    <w:rsid w:val="0060698F"/>
    <w:rsid w:val="00606DF9"/>
    <w:rsid w:val="00607BC7"/>
    <w:rsid w:val="00607C95"/>
    <w:rsid w:val="00610C78"/>
    <w:rsid w:val="00610D74"/>
    <w:rsid w:val="006114D3"/>
    <w:rsid w:val="00611D5A"/>
    <w:rsid w:val="00612BD6"/>
    <w:rsid w:val="00613566"/>
    <w:rsid w:val="00614700"/>
    <w:rsid w:val="0061488B"/>
    <w:rsid w:val="00615A50"/>
    <w:rsid w:val="0061655C"/>
    <w:rsid w:val="0061749D"/>
    <w:rsid w:val="00617BDA"/>
    <w:rsid w:val="00617D64"/>
    <w:rsid w:val="00621AC1"/>
    <w:rsid w:val="006224AE"/>
    <w:rsid w:val="00622E74"/>
    <w:rsid w:val="006234A0"/>
    <w:rsid w:val="00624CAC"/>
    <w:rsid w:val="0062512E"/>
    <w:rsid w:val="006251BE"/>
    <w:rsid w:val="00625387"/>
    <w:rsid w:val="006254CB"/>
    <w:rsid w:val="00625E83"/>
    <w:rsid w:val="006303CB"/>
    <w:rsid w:val="00632B4E"/>
    <w:rsid w:val="006348ED"/>
    <w:rsid w:val="006352AF"/>
    <w:rsid w:val="00636CAD"/>
    <w:rsid w:val="00637C06"/>
    <w:rsid w:val="00640255"/>
    <w:rsid w:val="006440A8"/>
    <w:rsid w:val="006441D3"/>
    <w:rsid w:val="00644555"/>
    <w:rsid w:val="006447C4"/>
    <w:rsid w:val="0064685B"/>
    <w:rsid w:val="00646D31"/>
    <w:rsid w:val="006521F9"/>
    <w:rsid w:val="006525DC"/>
    <w:rsid w:val="006525FA"/>
    <w:rsid w:val="00653506"/>
    <w:rsid w:val="00653803"/>
    <w:rsid w:val="006544D0"/>
    <w:rsid w:val="0065492F"/>
    <w:rsid w:val="00654A89"/>
    <w:rsid w:val="0065560F"/>
    <w:rsid w:val="0065586E"/>
    <w:rsid w:val="006559F2"/>
    <w:rsid w:val="00656965"/>
    <w:rsid w:val="00657715"/>
    <w:rsid w:val="00660F28"/>
    <w:rsid w:val="0066129C"/>
    <w:rsid w:val="00661AA9"/>
    <w:rsid w:val="00661EE9"/>
    <w:rsid w:val="006623E4"/>
    <w:rsid w:val="0066253D"/>
    <w:rsid w:val="00663750"/>
    <w:rsid w:val="00664088"/>
    <w:rsid w:val="00665E8E"/>
    <w:rsid w:val="006662E2"/>
    <w:rsid w:val="006662FC"/>
    <w:rsid w:val="00666796"/>
    <w:rsid w:val="00666C8E"/>
    <w:rsid w:val="006678C5"/>
    <w:rsid w:val="00671A40"/>
    <w:rsid w:val="00672045"/>
    <w:rsid w:val="00672A5A"/>
    <w:rsid w:val="00673B8D"/>
    <w:rsid w:val="006743FE"/>
    <w:rsid w:val="00674DFE"/>
    <w:rsid w:val="006750CF"/>
    <w:rsid w:val="006750FD"/>
    <w:rsid w:val="0067668A"/>
    <w:rsid w:val="00680EA3"/>
    <w:rsid w:val="00681D4C"/>
    <w:rsid w:val="00682394"/>
    <w:rsid w:val="00682962"/>
    <w:rsid w:val="006831AF"/>
    <w:rsid w:val="006839F6"/>
    <w:rsid w:val="0068544A"/>
    <w:rsid w:val="00686460"/>
    <w:rsid w:val="006874B7"/>
    <w:rsid w:val="00687BB0"/>
    <w:rsid w:val="00690982"/>
    <w:rsid w:val="00690EA7"/>
    <w:rsid w:val="00691E0B"/>
    <w:rsid w:val="00692713"/>
    <w:rsid w:val="00694833"/>
    <w:rsid w:val="00694F91"/>
    <w:rsid w:val="006951A1"/>
    <w:rsid w:val="00695B72"/>
    <w:rsid w:val="00696531"/>
    <w:rsid w:val="00697AEB"/>
    <w:rsid w:val="006A08DA"/>
    <w:rsid w:val="006A1562"/>
    <w:rsid w:val="006A2D43"/>
    <w:rsid w:val="006A416A"/>
    <w:rsid w:val="006A474E"/>
    <w:rsid w:val="006A4CA1"/>
    <w:rsid w:val="006A4D74"/>
    <w:rsid w:val="006A4FA2"/>
    <w:rsid w:val="006A5552"/>
    <w:rsid w:val="006A60E9"/>
    <w:rsid w:val="006A67ED"/>
    <w:rsid w:val="006A6AA6"/>
    <w:rsid w:val="006A6D70"/>
    <w:rsid w:val="006A7E21"/>
    <w:rsid w:val="006B1F86"/>
    <w:rsid w:val="006B2ADC"/>
    <w:rsid w:val="006B2ADF"/>
    <w:rsid w:val="006B3D1C"/>
    <w:rsid w:val="006B49B1"/>
    <w:rsid w:val="006B4C3E"/>
    <w:rsid w:val="006B4EB0"/>
    <w:rsid w:val="006B65DC"/>
    <w:rsid w:val="006B7210"/>
    <w:rsid w:val="006B7869"/>
    <w:rsid w:val="006C0127"/>
    <w:rsid w:val="006C0825"/>
    <w:rsid w:val="006C1107"/>
    <w:rsid w:val="006C15F8"/>
    <w:rsid w:val="006C1753"/>
    <w:rsid w:val="006C1D54"/>
    <w:rsid w:val="006C2C2E"/>
    <w:rsid w:val="006C32EF"/>
    <w:rsid w:val="006C3661"/>
    <w:rsid w:val="006C3B05"/>
    <w:rsid w:val="006C41C4"/>
    <w:rsid w:val="006C432F"/>
    <w:rsid w:val="006C5036"/>
    <w:rsid w:val="006C5B9E"/>
    <w:rsid w:val="006C5D22"/>
    <w:rsid w:val="006D0D03"/>
    <w:rsid w:val="006D2048"/>
    <w:rsid w:val="006D2DE3"/>
    <w:rsid w:val="006D2E5A"/>
    <w:rsid w:val="006D34A5"/>
    <w:rsid w:val="006E12F9"/>
    <w:rsid w:val="006E2F56"/>
    <w:rsid w:val="006E3D17"/>
    <w:rsid w:val="006E40D4"/>
    <w:rsid w:val="006E4676"/>
    <w:rsid w:val="006E4914"/>
    <w:rsid w:val="006E599B"/>
    <w:rsid w:val="006F11D0"/>
    <w:rsid w:val="006F19A4"/>
    <w:rsid w:val="006F32EE"/>
    <w:rsid w:val="006F5075"/>
    <w:rsid w:val="006F53D5"/>
    <w:rsid w:val="006F5B37"/>
    <w:rsid w:val="006F6C9A"/>
    <w:rsid w:val="006F6F17"/>
    <w:rsid w:val="006F76DE"/>
    <w:rsid w:val="006F76FD"/>
    <w:rsid w:val="0070014E"/>
    <w:rsid w:val="0070063A"/>
    <w:rsid w:val="00700E78"/>
    <w:rsid w:val="007011CC"/>
    <w:rsid w:val="00701420"/>
    <w:rsid w:val="007019BC"/>
    <w:rsid w:val="00701D9C"/>
    <w:rsid w:val="007024AC"/>
    <w:rsid w:val="00702DBB"/>
    <w:rsid w:val="00704CA7"/>
    <w:rsid w:val="00704E28"/>
    <w:rsid w:val="007050A9"/>
    <w:rsid w:val="00706787"/>
    <w:rsid w:val="007069D4"/>
    <w:rsid w:val="00707194"/>
    <w:rsid w:val="00707581"/>
    <w:rsid w:val="00707636"/>
    <w:rsid w:val="007100B2"/>
    <w:rsid w:val="00710F3E"/>
    <w:rsid w:val="0071118A"/>
    <w:rsid w:val="007116F9"/>
    <w:rsid w:val="0071246B"/>
    <w:rsid w:val="00712B9B"/>
    <w:rsid w:val="0071387C"/>
    <w:rsid w:val="00715261"/>
    <w:rsid w:val="007155DD"/>
    <w:rsid w:val="0071586C"/>
    <w:rsid w:val="00715E93"/>
    <w:rsid w:val="00716B66"/>
    <w:rsid w:val="0071715C"/>
    <w:rsid w:val="007205F7"/>
    <w:rsid w:val="00720B63"/>
    <w:rsid w:val="007212F6"/>
    <w:rsid w:val="007219B3"/>
    <w:rsid w:val="007228C8"/>
    <w:rsid w:val="007228FB"/>
    <w:rsid w:val="00723BC4"/>
    <w:rsid w:val="00724553"/>
    <w:rsid w:val="007260B2"/>
    <w:rsid w:val="00726173"/>
    <w:rsid w:val="00726609"/>
    <w:rsid w:val="00726611"/>
    <w:rsid w:val="00726AAB"/>
    <w:rsid w:val="00727DCE"/>
    <w:rsid w:val="0073031A"/>
    <w:rsid w:val="007315BB"/>
    <w:rsid w:val="007315E9"/>
    <w:rsid w:val="007317BE"/>
    <w:rsid w:val="007319A0"/>
    <w:rsid w:val="0073369A"/>
    <w:rsid w:val="007340A1"/>
    <w:rsid w:val="00734930"/>
    <w:rsid w:val="0073560D"/>
    <w:rsid w:val="00735DF5"/>
    <w:rsid w:val="00736A54"/>
    <w:rsid w:val="007372D9"/>
    <w:rsid w:val="007405A6"/>
    <w:rsid w:val="00741FE8"/>
    <w:rsid w:val="007423EC"/>
    <w:rsid w:val="00742775"/>
    <w:rsid w:val="007441BC"/>
    <w:rsid w:val="007445B3"/>
    <w:rsid w:val="00744B94"/>
    <w:rsid w:val="0074572D"/>
    <w:rsid w:val="00746346"/>
    <w:rsid w:val="00747140"/>
    <w:rsid w:val="007475E7"/>
    <w:rsid w:val="007476ED"/>
    <w:rsid w:val="007502AC"/>
    <w:rsid w:val="00750E85"/>
    <w:rsid w:val="00751AC0"/>
    <w:rsid w:val="00751E13"/>
    <w:rsid w:val="0075210E"/>
    <w:rsid w:val="007531CB"/>
    <w:rsid w:val="0075341F"/>
    <w:rsid w:val="00753F08"/>
    <w:rsid w:val="00754507"/>
    <w:rsid w:val="007548C7"/>
    <w:rsid w:val="00754A24"/>
    <w:rsid w:val="007550C2"/>
    <w:rsid w:val="00757089"/>
    <w:rsid w:val="00757BA4"/>
    <w:rsid w:val="00761889"/>
    <w:rsid w:val="0076279A"/>
    <w:rsid w:val="00763F7D"/>
    <w:rsid w:val="00764B18"/>
    <w:rsid w:val="00764C52"/>
    <w:rsid w:val="007654F2"/>
    <w:rsid w:val="00765F63"/>
    <w:rsid w:val="00765F94"/>
    <w:rsid w:val="0076799C"/>
    <w:rsid w:val="00770185"/>
    <w:rsid w:val="00772097"/>
    <w:rsid w:val="00772528"/>
    <w:rsid w:val="0077256F"/>
    <w:rsid w:val="0077261F"/>
    <w:rsid w:val="0077302D"/>
    <w:rsid w:val="007730CC"/>
    <w:rsid w:val="00775305"/>
    <w:rsid w:val="00776663"/>
    <w:rsid w:val="0077673F"/>
    <w:rsid w:val="0077717F"/>
    <w:rsid w:val="00780141"/>
    <w:rsid w:val="00780DD6"/>
    <w:rsid w:val="007824C4"/>
    <w:rsid w:val="00783E46"/>
    <w:rsid w:val="00785C79"/>
    <w:rsid w:val="00786109"/>
    <w:rsid w:val="00786BE1"/>
    <w:rsid w:val="00787BC5"/>
    <w:rsid w:val="00790831"/>
    <w:rsid w:val="00791002"/>
    <w:rsid w:val="00791386"/>
    <w:rsid w:val="00791B0A"/>
    <w:rsid w:val="00791DCB"/>
    <w:rsid w:val="00792112"/>
    <w:rsid w:val="007936BE"/>
    <w:rsid w:val="007957B2"/>
    <w:rsid w:val="007A0459"/>
    <w:rsid w:val="007A046E"/>
    <w:rsid w:val="007A072B"/>
    <w:rsid w:val="007A2985"/>
    <w:rsid w:val="007A386E"/>
    <w:rsid w:val="007A3F01"/>
    <w:rsid w:val="007A4E61"/>
    <w:rsid w:val="007A5C50"/>
    <w:rsid w:val="007A6262"/>
    <w:rsid w:val="007A6BB2"/>
    <w:rsid w:val="007A6C2B"/>
    <w:rsid w:val="007A7F90"/>
    <w:rsid w:val="007B0F11"/>
    <w:rsid w:val="007B2065"/>
    <w:rsid w:val="007B21EA"/>
    <w:rsid w:val="007B2ACA"/>
    <w:rsid w:val="007B39EB"/>
    <w:rsid w:val="007B3E92"/>
    <w:rsid w:val="007B5571"/>
    <w:rsid w:val="007B6C59"/>
    <w:rsid w:val="007C0FF0"/>
    <w:rsid w:val="007C10AC"/>
    <w:rsid w:val="007C1142"/>
    <w:rsid w:val="007C146F"/>
    <w:rsid w:val="007C1ECB"/>
    <w:rsid w:val="007C31D2"/>
    <w:rsid w:val="007C3CB7"/>
    <w:rsid w:val="007C3E3E"/>
    <w:rsid w:val="007C5F63"/>
    <w:rsid w:val="007C6557"/>
    <w:rsid w:val="007C6817"/>
    <w:rsid w:val="007D0523"/>
    <w:rsid w:val="007D073F"/>
    <w:rsid w:val="007D0A4B"/>
    <w:rsid w:val="007D0EE0"/>
    <w:rsid w:val="007D1D47"/>
    <w:rsid w:val="007D2730"/>
    <w:rsid w:val="007D273E"/>
    <w:rsid w:val="007D3AC2"/>
    <w:rsid w:val="007D3CA8"/>
    <w:rsid w:val="007D3D89"/>
    <w:rsid w:val="007D53A6"/>
    <w:rsid w:val="007D5676"/>
    <w:rsid w:val="007D61E0"/>
    <w:rsid w:val="007D6A4B"/>
    <w:rsid w:val="007D7450"/>
    <w:rsid w:val="007D7827"/>
    <w:rsid w:val="007E080C"/>
    <w:rsid w:val="007E10F3"/>
    <w:rsid w:val="007E2F59"/>
    <w:rsid w:val="007E3752"/>
    <w:rsid w:val="007E4355"/>
    <w:rsid w:val="007E506B"/>
    <w:rsid w:val="007E5301"/>
    <w:rsid w:val="007E5455"/>
    <w:rsid w:val="007E55AE"/>
    <w:rsid w:val="007E582F"/>
    <w:rsid w:val="007E5B68"/>
    <w:rsid w:val="007E6064"/>
    <w:rsid w:val="007E7A5C"/>
    <w:rsid w:val="007E7AF8"/>
    <w:rsid w:val="007F04BA"/>
    <w:rsid w:val="007F1189"/>
    <w:rsid w:val="007F12F5"/>
    <w:rsid w:val="007F31E8"/>
    <w:rsid w:val="007F402E"/>
    <w:rsid w:val="007F4B76"/>
    <w:rsid w:val="007F6644"/>
    <w:rsid w:val="007F6DB6"/>
    <w:rsid w:val="007F6ED8"/>
    <w:rsid w:val="007F7A39"/>
    <w:rsid w:val="007F7D5C"/>
    <w:rsid w:val="007F7E3F"/>
    <w:rsid w:val="0080127E"/>
    <w:rsid w:val="00802709"/>
    <w:rsid w:val="00804FD7"/>
    <w:rsid w:val="008052DD"/>
    <w:rsid w:val="00805B1D"/>
    <w:rsid w:val="00807435"/>
    <w:rsid w:val="008077ED"/>
    <w:rsid w:val="0080797A"/>
    <w:rsid w:val="00810E7A"/>
    <w:rsid w:val="00810F68"/>
    <w:rsid w:val="00810F9F"/>
    <w:rsid w:val="00811363"/>
    <w:rsid w:val="008115C7"/>
    <w:rsid w:val="00811E99"/>
    <w:rsid w:val="0081251A"/>
    <w:rsid w:val="00812864"/>
    <w:rsid w:val="00812D4E"/>
    <w:rsid w:val="00813B18"/>
    <w:rsid w:val="0081501C"/>
    <w:rsid w:val="0081502A"/>
    <w:rsid w:val="00815705"/>
    <w:rsid w:val="008164A1"/>
    <w:rsid w:val="0081727E"/>
    <w:rsid w:val="00817AB8"/>
    <w:rsid w:val="00820661"/>
    <w:rsid w:val="008212D4"/>
    <w:rsid w:val="008218CA"/>
    <w:rsid w:val="00821B0B"/>
    <w:rsid w:val="00822CD7"/>
    <w:rsid w:val="00823197"/>
    <w:rsid w:val="008231BC"/>
    <w:rsid w:val="00823682"/>
    <w:rsid w:val="00823A25"/>
    <w:rsid w:val="00823D28"/>
    <w:rsid w:val="00823E8E"/>
    <w:rsid w:val="008245F5"/>
    <w:rsid w:val="00824B5C"/>
    <w:rsid w:val="00825061"/>
    <w:rsid w:val="008253FE"/>
    <w:rsid w:val="00826859"/>
    <w:rsid w:val="008277B9"/>
    <w:rsid w:val="00827BBC"/>
    <w:rsid w:val="008306B2"/>
    <w:rsid w:val="008311B4"/>
    <w:rsid w:val="0083172E"/>
    <w:rsid w:val="008323C0"/>
    <w:rsid w:val="008328A6"/>
    <w:rsid w:val="00832F78"/>
    <w:rsid w:val="008330F0"/>
    <w:rsid w:val="00833304"/>
    <w:rsid w:val="008333E3"/>
    <w:rsid w:val="00833D35"/>
    <w:rsid w:val="008351CD"/>
    <w:rsid w:val="0083582B"/>
    <w:rsid w:val="008358A8"/>
    <w:rsid w:val="00835974"/>
    <w:rsid w:val="00835C89"/>
    <w:rsid w:val="00835DAA"/>
    <w:rsid w:val="00837287"/>
    <w:rsid w:val="00837970"/>
    <w:rsid w:val="00837C3A"/>
    <w:rsid w:val="008401AC"/>
    <w:rsid w:val="00840BC2"/>
    <w:rsid w:val="00841813"/>
    <w:rsid w:val="00841D7E"/>
    <w:rsid w:val="00844047"/>
    <w:rsid w:val="00844086"/>
    <w:rsid w:val="00844918"/>
    <w:rsid w:val="00845230"/>
    <w:rsid w:val="0084648E"/>
    <w:rsid w:val="00847094"/>
    <w:rsid w:val="00850D70"/>
    <w:rsid w:val="0085120C"/>
    <w:rsid w:val="00852093"/>
    <w:rsid w:val="00852460"/>
    <w:rsid w:val="00853136"/>
    <w:rsid w:val="0085349E"/>
    <w:rsid w:val="00853EBE"/>
    <w:rsid w:val="00854667"/>
    <w:rsid w:val="008546D8"/>
    <w:rsid w:val="0085511F"/>
    <w:rsid w:val="00855516"/>
    <w:rsid w:val="0085553E"/>
    <w:rsid w:val="00855A27"/>
    <w:rsid w:val="00861971"/>
    <w:rsid w:val="00863455"/>
    <w:rsid w:val="00864D84"/>
    <w:rsid w:val="00866DD2"/>
    <w:rsid w:val="008701F6"/>
    <w:rsid w:val="0087099B"/>
    <w:rsid w:val="00872134"/>
    <w:rsid w:val="008737E6"/>
    <w:rsid w:val="00874622"/>
    <w:rsid w:val="00874CAB"/>
    <w:rsid w:val="0087680C"/>
    <w:rsid w:val="00876A41"/>
    <w:rsid w:val="0087745E"/>
    <w:rsid w:val="008776F2"/>
    <w:rsid w:val="0087787A"/>
    <w:rsid w:val="00877A8A"/>
    <w:rsid w:val="008800CA"/>
    <w:rsid w:val="00884507"/>
    <w:rsid w:val="008848BB"/>
    <w:rsid w:val="00884B4E"/>
    <w:rsid w:val="00884C95"/>
    <w:rsid w:val="00885F69"/>
    <w:rsid w:val="00890034"/>
    <w:rsid w:val="00890145"/>
    <w:rsid w:val="008906A6"/>
    <w:rsid w:val="008926EB"/>
    <w:rsid w:val="00893623"/>
    <w:rsid w:val="00893ADB"/>
    <w:rsid w:val="008943B9"/>
    <w:rsid w:val="00895486"/>
    <w:rsid w:val="00895599"/>
    <w:rsid w:val="008968CD"/>
    <w:rsid w:val="00897A4C"/>
    <w:rsid w:val="008A3FA8"/>
    <w:rsid w:val="008A41BF"/>
    <w:rsid w:val="008A49C6"/>
    <w:rsid w:val="008A4C34"/>
    <w:rsid w:val="008A5F03"/>
    <w:rsid w:val="008A6315"/>
    <w:rsid w:val="008A65D0"/>
    <w:rsid w:val="008A7962"/>
    <w:rsid w:val="008B035D"/>
    <w:rsid w:val="008B09CE"/>
    <w:rsid w:val="008B275D"/>
    <w:rsid w:val="008B28A9"/>
    <w:rsid w:val="008B4B2F"/>
    <w:rsid w:val="008B6D81"/>
    <w:rsid w:val="008B7297"/>
    <w:rsid w:val="008B7515"/>
    <w:rsid w:val="008B7632"/>
    <w:rsid w:val="008C0A83"/>
    <w:rsid w:val="008C0BD6"/>
    <w:rsid w:val="008C16E7"/>
    <w:rsid w:val="008C230C"/>
    <w:rsid w:val="008C241C"/>
    <w:rsid w:val="008C2766"/>
    <w:rsid w:val="008C285C"/>
    <w:rsid w:val="008C2BE1"/>
    <w:rsid w:val="008C32D3"/>
    <w:rsid w:val="008C3708"/>
    <w:rsid w:val="008C38FC"/>
    <w:rsid w:val="008C512F"/>
    <w:rsid w:val="008C54FB"/>
    <w:rsid w:val="008C5DD4"/>
    <w:rsid w:val="008C7A8F"/>
    <w:rsid w:val="008D103A"/>
    <w:rsid w:val="008D166D"/>
    <w:rsid w:val="008D1F1F"/>
    <w:rsid w:val="008D31C8"/>
    <w:rsid w:val="008D3B5E"/>
    <w:rsid w:val="008D4537"/>
    <w:rsid w:val="008D5B96"/>
    <w:rsid w:val="008D6698"/>
    <w:rsid w:val="008D6719"/>
    <w:rsid w:val="008E0B32"/>
    <w:rsid w:val="008E1570"/>
    <w:rsid w:val="008E5833"/>
    <w:rsid w:val="008E5BCF"/>
    <w:rsid w:val="008E5D4F"/>
    <w:rsid w:val="008F013B"/>
    <w:rsid w:val="008F0CAF"/>
    <w:rsid w:val="008F19D8"/>
    <w:rsid w:val="008F23BE"/>
    <w:rsid w:val="008F36B1"/>
    <w:rsid w:val="008F4441"/>
    <w:rsid w:val="008F6F17"/>
    <w:rsid w:val="009002DC"/>
    <w:rsid w:val="00900BB3"/>
    <w:rsid w:val="0090210B"/>
    <w:rsid w:val="00904816"/>
    <w:rsid w:val="00904F9C"/>
    <w:rsid w:val="009060FA"/>
    <w:rsid w:val="009065E8"/>
    <w:rsid w:val="00906AE6"/>
    <w:rsid w:val="009070DE"/>
    <w:rsid w:val="0090752E"/>
    <w:rsid w:val="009078DF"/>
    <w:rsid w:val="00907C95"/>
    <w:rsid w:val="0091322B"/>
    <w:rsid w:val="0091387D"/>
    <w:rsid w:val="00913E6B"/>
    <w:rsid w:val="009141F9"/>
    <w:rsid w:val="0091444E"/>
    <w:rsid w:val="00915545"/>
    <w:rsid w:val="00916412"/>
    <w:rsid w:val="009200E9"/>
    <w:rsid w:val="00920EE1"/>
    <w:rsid w:val="009225DC"/>
    <w:rsid w:val="009229E2"/>
    <w:rsid w:val="00922D2E"/>
    <w:rsid w:val="00922EEF"/>
    <w:rsid w:val="00924CFD"/>
    <w:rsid w:val="00924F08"/>
    <w:rsid w:val="009250C4"/>
    <w:rsid w:val="00925195"/>
    <w:rsid w:val="0092571C"/>
    <w:rsid w:val="00927370"/>
    <w:rsid w:val="00927FBD"/>
    <w:rsid w:val="00931793"/>
    <w:rsid w:val="009330E5"/>
    <w:rsid w:val="00933212"/>
    <w:rsid w:val="0094160C"/>
    <w:rsid w:val="00941CBC"/>
    <w:rsid w:val="009426D2"/>
    <w:rsid w:val="009430C6"/>
    <w:rsid w:val="009431C2"/>
    <w:rsid w:val="0094383F"/>
    <w:rsid w:val="00944E69"/>
    <w:rsid w:val="009451E6"/>
    <w:rsid w:val="00947113"/>
    <w:rsid w:val="00950753"/>
    <w:rsid w:val="0095098F"/>
    <w:rsid w:val="009517CF"/>
    <w:rsid w:val="00951BBF"/>
    <w:rsid w:val="00951F5F"/>
    <w:rsid w:val="00952A74"/>
    <w:rsid w:val="0095347A"/>
    <w:rsid w:val="009534F6"/>
    <w:rsid w:val="009539D0"/>
    <w:rsid w:val="00954741"/>
    <w:rsid w:val="0095519B"/>
    <w:rsid w:val="00955C3B"/>
    <w:rsid w:val="009564BE"/>
    <w:rsid w:val="00956A8C"/>
    <w:rsid w:val="00956C24"/>
    <w:rsid w:val="00956E90"/>
    <w:rsid w:val="009575D3"/>
    <w:rsid w:val="00957639"/>
    <w:rsid w:val="00960255"/>
    <w:rsid w:val="009602E7"/>
    <w:rsid w:val="00960326"/>
    <w:rsid w:val="009609DE"/>
    <w:rsid w:val="009612B6"/>
    <w:rsid w:val="00961653"/>
    <w:rsid w:val="00961B62"/>
    <w:rsid w:val="00961FF3"/>
    <w:rsid w:val="00963AEF"/>
    <w:rsid w:val="0096487A"/>
    <w:rsid w:val="00964AF5"/>
    <w:rsid w:val="00965CB1"/>
    <w:rsid w:val="00966382"/>
    <w:rsid w:val="009669CA"/>
    <w:rsid w:val="00966CC7"/>
    <w:rsid w:val="00967E59"/>
    <w:rsid w:val="009708D4"/>
    <w:rsid w:val="00970B1F"/>
    <w:rsid w:val="00970E41"/>
    <w:rsid w:val="009732AB"/>
    <w:rsid w:val="00973676"/>
    <w:rsid w:val="009742CA"/>
    <w:rsid w:val="009747A6"/>
    <w:rsid w:val="00974B3C"/>
    <w:rsid w:val="0097531A"/>
    <w:rsid w:val="00975DA4"/>
    <w:rsid w:val="009760DF"/>
    <w:rsid w:val="009765C2"/>
    <w:rsid w:val="00976A97"/>
    <w:rsid w:val="00976BD7"/>
    <w:rsid w:val="00976DBE"/>
    <w:rsid w:val="009803BA"/>
    <w:rsid w:val="00980A09"/>
    <w:rsid w:val="00981082"/>
    <w:rsid w:val="00982028"/>
    <w:rsid w:val="00983171"/>
    <w:rsid w:val="00983209"/>
    <w:rsid w:val="0098395E"/>
    <w:rsid w:val="009847FF"/>
    <w:rsid w:val="0098541E"/>
    <w:rsid w:val="00986BC0"/>
    <w:rsid w:val="0098797B"/>
    <w:rsid w:val="00990DBB"/>
    <w:rsid w:val="0099143A"/>
    <w:rsid w:val="00991CCC"/>
    <w:rsid w:val="00992773"/>
    <w:rsid w:val="009927CC"/>
    <w:rsid w:val="009928F2"/>
    <w:rsid w:val="00994553"/>
    <w:rsid w:val="009953E6"/>
    <w:rsid w:val="00995C4D"/>
    <w:rsid w:val="00996661"/>
    <w:rsid w:val="009971C5"/>
    <w:rsid w:val="009974F2"/>
    <w:rsid w:val="00997EF2"/>
    <w:rsid w:val="009A0559"/>
    <w:rsid w:val="009A2554"/>
    <w:rsid w:val="009A3A7C"/>
    <w:rsid w:val="009A4632"/>
    <w:rsid w:val="009A643C"/>
    <w:rsid w:val="009A66BF"/>
    <w:rsid w:val="009A7D70"/>
    <w:rsid w:val="009B2445"/>
    <w:rsid w:val="009B36B8"/>
    <w:rsid w:val="009B37D1"/>
    <w:rsid w:val="009B3BF9"/>
    <w:rsid w:val="009B580D"/>
    <w:rsid w:val="009B6348"/>
    <w:rsid w:val="009B665E"/>
    <w:rsid w:val="009B67D8"/>
    <w:rsid w:val="009B720D"/>
    <w:rsid w:val="009C0B53"/>
    <w:rsid w:val="009C0BA4"/>
    <w:rsid w:val="009C1354"/>
    <w:rsid w:val="009C1B88"/>
    <w:rsid w:val="009C325E"/>
    <w:rsid w:val="009C3A36"/>
    <w:rsid w:val="009C48A1"/>
    <w:rsid w:val="009C51ED"/>
    <w:rsid w:val="009C6591"/>
    <w:rsid w:val="009C7854"/>
    <w:rsid w:val="009C7941"/>
    <w:rsid w:val="009C7D8C"/>
    <w:rsid w:val="009D0DA4"/>
    <w:rsid w:val="009D1549"/>
    <w:rsid w:val="009D1688"/>
    <w:rsid w:val="009D1692"/>
    <w:rsid w:val="009D1C45"/>
    <w:rsid w:val="009D262E"/>
    <w:rsid w:val="009D2649"/>
    <w:rsid w:val="009D2A57"/>
    <w:rsid w:val="009D35E3"/>
    <w:rsid w:val="009D5D64"/>
    <w:rsid w:val="009D60A8"/>
    <w:rsid w:val="009D787E"/>
    <w:rsid w:val="009D7F65"/>
    <w:rsid w:val="009E11B3"/>
    <w:rsid w:val="009E22B8"/>
    <w:rsid w:val="009E3B0A"/>
    <w:rsid w:val="009E3EB7"/>
    <w:rsid w:val="009E4E09"/>
    <w:rsid w:val="009E6B00"/>
    <w:rsid w:val="009E7B36"/>
    <w:rsid w:val="009F12F3"/>
    <w:rsid w:val="009F3550"/>
    <w:rsid w:val="009F4928"/>
    <w:rsid w:val="009F5355"/>
    <w:rsid w:val="009F5788"/>
    <w:rsid w:val="009F5C54"/>
    <w:rsid w:val="009F6307"/>
    <w:rsid w:val="009F687A"/>
    <w:rsid w:val="009F6D87"/>
    <w:rsid w:val="009F704F"/>
    <w:rsid w:val="00A00380"/>
    <w:rsid w:val="00A007C7"/>
    <w:rsid w:val="00A009D9"/>
    <w:rsid w:val="00A0282E"/>
    <w:rsid w:val="00A028EF"/>
    <w:rsid w:val="00A02DBD"/>
    <w:rsid w:val="00A03722"/>
    <w:rsid w:val="00A042AC"/>
    <w:rsid w:val="00A04C1C"/>
    <w:rsid w:val="00A04F9B"/>
    <w:rsid w:val="00A0504E"/>
    <w:rsid w:val="00A05EAC"/>
    <w:rsid w:val="00A07801"/>
    <w:rsid w:val="00A07CE5"/>
    <w:rsid w:val="00A07DE2"/>
    <w:rsid w:val="00A1186F"/>
    <w:rsid w:val="00A12619"/>
    <w:rsid w:val="00A13D4D"/>
    <w:rsid w:val="00A13FD4"/>
    <w:rsid w:val="00A14869"/>
    <w:rsid w:val="00A14B7B"/>
    <w:rsid w:val="00A153F7"/>
    <w:rsid w:val="00A15672"/>
    <w:rsid w:val="00A15690"/>
    <w:rsid w:val="00A159F0"/>
    <w:rsid w:val="00A15A0F"/>
    <w:rsid w:val="00A162B9"/>
    <w:rsid w:val="00A1635A"/>
    <w:rsid w:val="00A16E39"/>
    <w:rsid w:val="00A170F7"/>
    <w:rsid w:val="00A17848"/>
    <w:rsid w:val="00A20414"/>
    <w:rsid w:val="00A218E2"/>
    <w:rsid w:val="00A2233B"/>
    <w:rsid w:val="00A22ECB"/>
    <w:rsid w:val="00A23B18"/>
    <w:rsid w:val="00A24323"/>
    <w:rsid w:val="00A2437E"/>
    <w:rsid w:val="00A250BA"/>
    <w:rsid w:val="00A25C08"/>
    <w:rsid w:val="00A2721E"/>
    <w:rsid w:val="00A27671"/>
    <w:rsid w:val="00A3200B"/>
    <w:rsid w:val="00A32CAE"/>
    <w:rsid w:val="00A32F64"/>
    <w:rsid w:val="00A34C11"/>
    <w:rsid w:val="00A35088"/>
    <w:rsid w:val="00A3530A"/>
    <w:rsid w:val="00A35AF0"/>
    <w:rsid w:val="00A35D28"/>
    <w:rsid w:val="00A35ECE"/>
    <w:rsid w:val="00A3603C"/>
    <w:rsid w:val="00A36D09"/>
    <w:rsid w:val="00A37A5D"/>
    <w:rsid w:val="00A40FFD"/>
    <w:rsid w:val="00A4131A"/>
    <w:rsid w:val="00A414D5"/>
    <w:rsid w:val="00A4166F"/>
    <w:rsid w:val="00A418AD"/>
    <w:rsid w:val="00A41B22"/>
    <w:rsid w:val="00A41EA0"/>
    <w:rsid w:val="00A4206C"/>
    <w:rsid w:val="00A420FA"/>
    <w:rsid w:val="00A42667"/>
    <w:rsid w:val="00A43647"/>
    <w:rsid w:val="00A43722"/>
    <w:rsid w:val="00A438E4"/>
    <w:rsid w:val="00A44D23"/>
    <w:rsid w:val="00A4591F"/>
    <w:rsid w:val="00A459A4"/>
    <w:rsid w:val="00A4648B"/>
    <w:rsid w:val="00A4760A"/>
    <w:rsid w:val="00A50531"/>
    <w:rsid w:val="00A50C5E"/>
    <w:rsid w:val="00A524CC"/>
    <w:rsid w:val="00A52F3C"/>
    <w:rsid w:val="00A53033"/>
    <w:rsid w:val="00A5356F"/>
    <w:rsid w:val="00A54C5B"/>
    <w:rsid w:val="00A556F9"/>
    <w:rsid w:val="00A55897"/>
    <w:rsid w:val="00A558A2"/>
    <w:rsid w:val="00A56B37"/>
    <w:rsid w:val="00A56B60"/>
    <w:rsid w:val="00A56FA6"/>
    <w:rsid w:val="00A606C5"/>
    <w:rsid w:val="00A60864"/>
    <w:rsid w:val="00A610F4"/>
    <w:rsid w:val="00A614D6"/>
    <w:rsid w:val="00A616D5"/>
    <w:rsid w:val="00A62252"/>
    <w:rsid w:val="00A626D7"/>
    <w:rsid w:val="00A64892"/>
    <w:rsid w:val="00A659AC"/>
    <w:rsid w:val="00A66033"/>
    <w:rsid w:val="00A660E7"/>
    <w:rsid w:val="00A66596"/>
    <w:rsid w:val="00A66EC8"/>
    <w:rsid w:val="00A70C42"/>
    <w:rsid w:val="00A70FDE"/>
    <w:rsid w:val="00A71190"/>
    <w:rsid w:val="00A71E93"/>
    <w:rsid w:val="00A72BDB"/>
    <w:rsid w:val="00A7357F"/>
    <w:rsid w:val="00A73B71"/>
    <w:rsid w:val="00A74943"/>
    <w:rsid w:val="00A74F04"/>
    <w:rsid w:val="00A759AC"/>
    <w:rsid w:val="00A75F4B"/>
    <w:rsid w:val="00A76074"/>
    <w:rsid w:val="00A76545"/>
    <w:rsid w:val="00A76F85"/>
    <w:rsid w:val="00A8062D"/>
    <w:rsid w:val="00A80C6E"/>
    <w:rsid w:val="00A8151A"/>
    <w:rsid w:val="00A81751"/>
    <w:rsid w:val="00A818D4"/>
    <w:rsid w:val="00A81E57"/>
    <w:rsid w:val="00A83444"/>
    <w:rsid w:val="00A84AFE"/>
    <w:rsid w:val="00A84DB2"/>
    <w:rsid w:val="00A8506D"/>
    <w:rsid w:val="00A8618F"/>
    <w:rsid w:val="00A86A71"/>
    <w:rsid w:val="00A86F80"/>
    <w:rsid w:val="00A87051"/>
    <w:rsid w:val="00A8707C"/>
    <w:rsid w:val="00A90A76"/>
    <w:rsid w:val="00A9128C"/>
    <w:rsid w:val="00A9201D"/>
    <w:rsid w:val="00A922F3"/>
    <w:rsid w:val="00A93BD8"/>
    <w:rsid w:val="00A95806"/>
    <w:rsid w:val="00A96E32"/>
    <w:rsid w:val="00A9743A"/>
    <w:rsid w:val="00A97744"/>
    <w:rsid w:val="00AA01DD"/>
    <w:rsid w:val="00AA0A3A"/>
    <w:rsid w:val="00AA0E4B"/>
    <w:rsid w:val="00AA13A5"/>
    <w:rsid w:val="00AA2734"/>
    <w:rsid w:val="00AA2863"/>
    <w:rsid w:val="00AA4012"/>
    <w:rsid w:val="00AA52D5"/>
    <w:rsid w:val="00AA5814"/>
    <w:rsid w:val="00AA5B7D"/>
    <w:rsid w:val="00AA6757"/>
    <w:rsid w:val="00AA6E20"/>
    <w:rsid w:val="00AB04F6"/>
    <w:rsid w:val="00AB0BD9"/>
    <w:rsid w:val="00AB1A8A"/>
    <w:rsid w:val="00AB4752"/>
    <w:rsid w:val="00AB60B1"/>
    <w:rsid w:val="00AC0065"/>
    <w:rsid w:val="00AC1DBD"/>
    <w:rsid w:val="00AC287F"/>
    <w:rsid w:val="00AC2C37"/>
    <w:rsid w:val="00AC3021"/>
    <w:rsid w:val="00AC3269"/>
    <w:rsid w:val="00AC353A"/>
    <w:rsid w:val="00AC3C2E"/>
    <w:rsid w:val="00AC3E61"/>
    <w:rsid w:val="00AC4C92"/>
    <w:rsid w:val="00AC5019"/>
    <w:rsid w:val="00AC61A5"/>
    <w:rsid w:val="00AC640A"/>
    <w:rsid w:val="00AD173B"/>
    <w:rsid w:val="00AD2516"/>
    <w:rsid w:val="00AD2F76"/>
    <w:rsid w:val="00AD2FDC"/>
    <w:rsid w:val="00AD32C4"/>
    <w:rsid w:val="00AD41D1"/>
    <w:rsid w:val="00AD4FF4"/>
    <w:rsid w:val="00AD5771"/>
    <w:rsid w:val="00AD5AEE"/>
    <w:rsid w:val="00AD63FA"/>
    <w:rsid w:val="00AE0422"/>
    <w:rsid w:val="00AE0B41"/>
    <w:rsid w:val="00AE0EF5"/>
    <w:rsid w:val="00AE30EA"/>
    <w:rsid w:val="00AE338D"/>
    <w:rsid w:val="00AE648D"/>
    <w:rsid w:val="00AE667D"/>
    <w:rsid w:val="00AE6AD4"/>
    <w:rsid w:val="00AE6F18"/>
    <w:rsid w:val="00AF0822"/>
    <w:rsid w:val="00AF0B08"/>
    <w:rsid w:val="00AF0FD9"/>
    <w:rsid w:val="00AF1C70"/>
    <w:rsid w:val="00AF3519"/>
    <w:rsid w:val="00AF3E76"/>
    <w:rsid w:val="00AF5866"/>
    <w:rsid w:val="00AF5B64"/>
    <w:rsid w:val="00AF66BF"/>
    <w:rsid w:val="00AF6871"/>
    <w:rsid w:val="00AF695D"/>
    <w:rsid w:val="00AF793F"/>
    <w:rsid w:val="00AF7F1F"/>
    <w:rsid w:val="00B0108A"/>
    <w:rsid w:val="00B0293E"/>
    <w:rsid w:val="00B0421E"/>
    <w:rsid w:val="00B06170"/>
    <w:rsid w:val="00B068DB"/>
    <w:rsid w:val="00B071C9"/>
    <w:rsid w:val="00B07B35"/>
    <w:rsid w:val="00B10D6D"/>
    <w:rsid w:val="00B11109"/>
    <w:rsid w:val="00B1125B"/>
    <w:rsid w:val="00B1201D"/>
    <w:rsid w:val="00B12202"/>
    <w:rsid w:val="00B124A9"/>
    <w:rsid w:val="00B12950"/>
    <w:rsid w:val="00B13578"/>
    <w:rsid w:val="00B14259"/>
    <w:rsid w:val="00B1444D"/>
    <w:rsid w:val="00B14DFA"/>
    <w:rsid w:val="00B14EC3"/>
    <w:rsid w:val="00B1526B"/>
    <w:rsid w:val="00B1577B"/>
    <w:rsid w:val="00B15891"/>
    <w:rsid w:val="00B15DF4"/>
    <w:rsid w:val="00B16420"/>
    <w:rsid w:val="00B16F0D"/>
    <w:rsid w:val="00B175D8"/>
    <w:rsid w:val="00B17F41"/>
    <w:rsid w:val="00B203DF"/>
    <w:rsid w:val="00B20664"/>
    <w:rsid w:val="00B21640"/>
    <w:rsid w:val="00B21998"/>
    <w:rsid w:val="00B219F5"/>
    <w:rsid w:val="00B225A6"/>
    <w:rsid w:val="00B2314E"/>
    <w:rsid w:val="00B2336D"/>
    <w:rsid w:val="00B2341D"/>
    <w:rsid w:val="00B24BDB"/>
    <w:rsid w:val="00B262A1"/>
    <w:rsid w:val="00B263CE"/>
    <w:rsid w:val="00B264F5"/>
    <w:rsid w:val="00B26B3E"/>
    <w:rsid w:val="00B2761F"/>
    <w:rsid w:val="00B277FF"/>
    <w:rsid w:val="00B31246"/>
    <w:rsid w:val="00B343D2"/>
    <w:rsid w:val="00B35CB3"/>
    <w:rsid w:val="00B366D5"/>
    <w:rsid w:val="00B36C64"/>
    <w:rsid w:val="00B40A7D"/>
    <w:rsid w:val="00B41BF8"/>
    <w:rsid w:val="00B41FC7"/>
    <w:rsid w:val="00B4234E"/>
    <w:rsid w:val="00B424BA"/>
    <w:rsid w:val="00B425A6"/>
    <w:rsid w:val="00B4281E"/>
    <w:rsid w:val="00B42A58"/>
    <w:rsid w:val="00B43851"/>
    <w:rsid w:val="00B44693"/>
    <w:rsid w:val="00B454C4"/>
    <w:rsid w:val="00B5064E"/>
    <w:rsid w:val="00B50A09"/>
    <w:rsid w:val="00B50E5A"/>
    <w:rsid w:val="00B50FDF"/>
    <w:rsid w:val="00B510EE"/>
    <w:rsid w:val="00B528E6"/>
    <w:rsid w:val="00B53429"/>
    <w:rsid w:val="00B541E6"/>
    <w:rsid w:val="00B556A1"/>
    <w:rsid w:val="00B56454"/>
    <w:rsid w:val="00B567CF"/>
    <w:rsid w:val="00B577A9"/>
    <w:rsid w:val="00B60219"/>
    <w:rsid w:val="00B62BE7"/>
    <w:rsid w:val="00B651CD"/>
    <w:rsid w:val="00B65AAE"/>
    <w:rsid w:val="00B65EB8"/>
    <w:rsid w:val="00B66A5E"/>
    <w:rsid w:val="00B678D9"/>
    <w:rsid w:val="00B67DD9"/>
    <w:rsid w:val="00B7024A"/>
    <w:rsid w:val="00B706C2"/>
    <w:rsid w:val="00B70C85"/>
    <w:rsid w:val="00B710EE"/>
    <w:rsid w:val="00B71271"/>
    <w:rsid w:val="00B720B5"/>
    <w:rsid w:val="00B72ABB"/>
    <w:rsid w:val="00B72E39"/>
    <w:rsid w:val="00B7324A"/>
    <w:rsid w:val="00B74481"/>
    <w:rsid w:val="00B753B8"/>
    <w:rsid w:val="00B75574"/>
    <w:rsid w:val="00B7669C"/>
    <w:rsid w:val="00B769E6"/>
    <w:rsid w:val="00B77E5D"/>
    <w:rsid w:val="00B80303"/>
    <w:rsid w:val="00B804C8"/>
    <w:rsid w:val="00B80EC5"/>
    <w:rsid w:val="00B8431B"/>
    <w:rsid w:val="00B843E5"/>
    <w:rsid w:val="00B84AB3"/>
    <w:rsid w:val="00B84C48"/>
    <w:rsid w:val="00B85C40"/>
    <w:rsid w:val="00B86CDA"/>
    <w:rsid w:val="00B8707D"/>
    <w:rsid w:val="00B8714B"/>
    <w:rsid w:val="00B9099F"/>
    <w:rsid w:val="00B913B0"/>
    <w:rsid w:val="00B91434"/>
    <w:rsid w:val="00B91CF4"/>
    <w:rsid w:val="00B91D7E"/>
    <w:rsid w:val="00B926FB"/>
    <w:rsid w:val="00B940E5"/>
    <w:rsid w:val="00B94AA1"/>
    <w:rsid w:val="00B94DC2"/>
    <w:rsid w:val="00B950EE"/>
    <w:rsid w:val="00B97771"/>
    <w:rsid w:val="00B97C12"/>
    <w:rsid w:val="00BA0EDA"/>
    <w:rsid w:val="00BA1B02"/>
    <w:rsid w:val="00BA240A"/>
    <w:rsid w:val="00BA2BCC"/>
    <w:rsid w:val="00BA36A0"/>
    <w:rsid w:val="00BA4D27"/>
    <w:rsid w:val="00BA5B9C"/>
    <w:rsid w:val="00BA5D59"/>
    <w:rsid w:val="00BA5F46"/>
    <w:rsid w:val="00BA686F"/>
    <w:rsid w:val="00BA7D1B"/>
    <w:rsid w:val="00BB0184"/>
    <w:rsid w:val="00BB075B"/>
    <w:rsid w:val="00BB09F5"/>
    <w:rsid w:val="00BB1146"/>
    <w:rsid w:val="00BB1159"/>
    <w:rsid w:val="00BB1167"/>
    <w:rsid w:val="00BB1297"/>
    <w:rsid w:val="00BB209C"/>
    <w:rsid w:val="00BB2F82"/>
    <w:rsid w:val="00BB32DA"/>
    <w:rsid w:val="00BB4BC5"/>
    <w:rsid w:val="00BB625C"/>
    <w:rsid w:val="00BB636A"/>
    <w:rsid w:val="00BC193F"/>
    <w:rsid w:val="00BC1A0E"/>
    <w:rsid w:val="00BC1FCF"/>
    <w:rsid w:val="00BC2E2C"/>
    <w:rsid w:val="00BC36A3"/>
    <w:rsid w:val="00BC4422"/>
    <w:rsid w:val="00BC5E5D"/>
    <w:rsid w:val="00BC6751"/>
    <w:rsid w:val="00BD0464"/>
    <w:rsid w:val="00BD0D27"/>
    <w:rsid w:val="00BD1224"/>
    <w:rsid w:val="00BD149F"/>
    <w:rsid w:val="00BD2768"/>
    <w:rsid w:val="00BD33FB"/>
    <w:rsid w:val="00BD5299"/>
    <w:rsid w:val="00BD56BB"/>
    <w:rsid w:val="00BD6418"/>
    <w:rsid w:val="00BD692F"/>
    <w:rsid w:val="00BD7706"/>
    <w:rsid w:val="00BD7B77"/>
    <w:rsid w:val="00BE09A8"/>
    <w:rsid w:val="00BE1250"/>
    <w:rsid w:val="00BE271B"/>
    <w:rsid w:val="00BE2AD4"/>
    <w:rsid w:val="00BE36AB"/>
    <w:rsid w:val="00BE3B79"/>
    <w:rsid w:val="00BE4027"/>
    <w:rsid w:val="00BE5187"/>
    <w:rsid w:val="00BE64CA"/>
    <w:rsid w:val="00BE7973"/>
    <w:rsid w:val="00BE7B9E"/>
    <w:rsid w:val="00BE7D93"/>
    <w:rsid w:val="00BF16C8"/>
    <w:rsid w:val="00BF1805"/>
    <w:rsid w:val="00BF23D0"/>
    <w:rsid w:val="00BF2A19"/>
    <w:rsid w:val="00BF3A1E"/>
    <w:rsid w:val="00BF3F83"/>
    <w:rsid w:val="00BF3FE0"/>
    <w:rsid w:val="00BF442F"/>
    <w:rsid w:val="00BF445C"/>
    <w:rsid w:val="00BF4FBE"/>
    <w:rsid w:val="00BF567F"/>
    <w:rsid w:val="00BF5F28"/>
    <w:rsid w:val="00BF6EDB"/>
    <w:rsid w:val="00BF78C9"/>
    <w:rsid w:val="00C0089B"/>
    <w:rsid w:val="00C0097D"/>
    <w:rsid w:val="00C00A22"/>
    <w:rsid w:val="00C00CA6"/>
    <w:rsid w:val="00C01D07"/>
    <w:rsid w:val="00C022A8"/>
    <w:rsid w:val="00C02A4E"/>
    <w:rsid w:val="00C03D5E"/>
    <w:rsid w:val="00C03E8B"/>
    <w:rsid w:val="00C046B4"/>
    <w:rsid w:val="00C0493C"/>
    <w:rsid w:val="00C0535E"/>
    <w:rsid w:val="00C056F5"/>
    <w:rsid w:val="00C060C2"/>
    <w:rsid w:val="00C06C0D"/>
    <w:rsid w:val="00C07B6B"/>
    <w:rsid w:val="00C07E77"/>
    <w:rsid w:val="00C103C2"/>
    <w:rsid w:val="00C10802"/>
    <w:rsid w:val="00C118CF"/>
    <w:rsid w:val="00C12392"/>
    <w:rsid w:val="00C13AE1"/>
    <w:rsid w:val="00C13B6A"/>
    <w:rsid w:val="00C15B64"/>
    <w:rsid w:val="00C15CF7"/>
    <w:rsid w:val="00C15EB9"/>
    <w:rsid w:val="00C164AB"/>
    <w:rsid w:val="00C20618"/>
    <w:rsid w:val="00C2063E"/>
    <w:rsid w:val="00C20A87"/>
    <w:rsid w:val="00C21F6E"/>
    <w:rsid w:val="00C2276C"/>
    <w:rsid w:val="00C231BB"/>
    <w:rsid w:val="00C23291"/>
    <w:rsid w:val="00C23B72"/>
    <w:rsid w:val="00C23DB8"/>
    <w:rsid w:val="00C25FFE"/>
    <w:rsid w:val="00C2704A"/>
    <w:rsid w:val="00C30310"/>
    <w:rsid w:val="00C308F8"/>
    <w:rsid w:val="00C30D11"/>
    <w:rsid w:val="00C317EF"/>
    <w:rsid w:val="00C324A3"/>
    <w:rsid w:val="00C32F52"/>
    <w:rsid w:val="00C33A23"/>
    <w:rsid w:val="00C34431"/>
    <w:rsid w:val="00C34794"/>
    <w:rsid w:val="00C35412"/>
    <w:rsid w:val="00C35A9E"/>
    <w:rsid w:val="00C35F3F"/>
    <w:rsid w:val="00C36F93"/>
    <w:rsid w:val="00C37CA2"/>
    <w:rsid w:val="00C40342"/>
    <w:rsid w:val="00C40F49"/>
    <w:rsid w:val="00C4139B"/>
    <w:rsid w:val="00C4194D"/>
    <w:rsid w:val="00C422B0"/>
    <w:rsid w:val="00C426A7"/>
    <w:rsid w:val="00C4465C"/>
    <w:rsid w:val="00C44F9F"/>
    <w:rsid w:val="00C45554"/>
    <w:rsid w:val="00C457B1"/>
    <w:rsid w:val="00C46372"/>
    <w:rsid w:val="00C47962"/>
    <w:rsid w:val="00C500BB"/>
    <w:rsid w:val="00C50647"/>
    <w:rsid w:val="00C50861"/>
    <w:rsid w:val="00C52D0C"/>
    <w:rsid w:val="00C5466B"/>
    <w:rsid w:val="00C5554B"/>
    <w:rsid w:val="00C61FD0"/>
    <w:rsid w:val="00C622DA"/>
    <w:rsid w:val="00C626B0"/>
    <w:rsid w:val="00C62C49"/>
    <w:rsid w:val="00C637A2"/>
    <w:rsid w:val="00C63817"/>
    <w:rsid w:val="00C651BE"/>
    <w:rsid w:val="00C6530A"/>
    <w:rsid w:val="00C65AE5"/>
    <w:rsid w:val="00C65EDD"/>
    <w:rsid w:val="00C668BD"/>
    <w:rsid w:val="00C70520"/>
    <w:rsid w:val="00C70B32"/>
    <w:rsid w:val="00C72085"/>
    <w:rsid w:val="00C727A3"/>
    <w:rsid w:val="00C72997"/>
    <w:rsid w:val="00C72ADB"/>
    <w:rsid w:val="00C74D33"/>
    <w:rsid w:val="00C77741"/>
    <w:rsid w:val="00C803C9"/>
    <w:rsid w:val="00C8175E"/>
    <w:rsid w:val="00C82DE0"/>
    <w:rsid w:val="00C83ACA"/>
    <w:rsid w:val="00C846FD"/>
    <w:rsid w:val="00C851E7"/>
    <w:rsid w:val="00C85ED5"/>
    <w:rsid w:val="00C87126"/>
    <w:rsid w:val="00C9000A"/>
    <w:rsid w:val="00C906D8"/>
    <w:rsid w:val="00C90991"/>
    <w:rsid w:val="00C91A78"/>
    <w:rsid w:val="00C92BAB"/>
    <w:rsid w:val="00C92C00"/>
    <w:rsid w:val="00C93ADF"/>
    <w:rsid w:val="00C95A1C"/>
    <w:rsid w:val="00C95D12"/>
    <w:rsid w:val="00C95E08"/>
    <w:rsid w:val="00C96099"/>
    <w:rsid w:val="00C97AE2"/>
    <w:rsid w:val="00CA01EE"/>
    <w:rsid w:val="00CA041E"/>
    <w:rsid w:val="00CA16B2"/>
    <w:rsid w:val="00CA1795"/>
    <w:rsid w:val="00CA2690"/>
    <w:rsid w:val="00CA375E"/>
    <w:rsid w:val="00CA3C47"/>
    <w:rsid w:val="00CA4E23"/>
    <w:rsid w:val="00CA5549"/>
    <w:rsid w:val="00CA6A34"/>
    <w:rsid w:val="00CA7152"/>
    <w:rsid w:val="00CA75DC"/>
    <w:rsid w:val="00CA7F1C"/>
    <w:rsid w:val="00CB0178"/>
    <w:rsid w:val="00CB04D3"/>
    <w:rsid w:val="00CB087A"/>
    <w:rsid w:val="00CB091B"/>
    <w:rsid w:val="00CB0F2D"/>
    <w:rsid w:val="00CB1958"/>
    <w:rsid w:val="00CB4C8C"/>
    <w:rsid w:val="00CB4CFE"/>
    <w:rsid w:val="00CB6375"/>
    <w:rsid w:val="00CB6548"/>
    <w:rsid w:val="00CB6F3B"/>
    <w:rsid w:val="00CC04CB"/>
    <w:rsid w:val="00CC0555"/>
    <w:rsid w:val="00CC2AEE"/>
    <w:rsid w:val="00CC3748"/>
    <w:rsid w:val="00CC458F"/>
    <w:rsid w:val="00CC4670"/>
    <w:rsid w:val="00CC4AA9"/>
    <w:rsid w:val="00CC64E1"/>
    <w:rsid w:val="00CD0F51"/>
    <w:rsid w:val="00CD1836"/>
    <w:rsid w:val="00CD274E"/>
    <w:rsid w:val="00CD2781"/>
    <w:rsid w:val="00CD32F1"/>
    <w:rsid w:val="00CD379A"/>
    <w:rsid w:val="00CD4883"/>
    <w:rsid w:val="00CD5FEF"/>
    <w:rsid w:val="00CD713A"/>
    <w:rsid w:val="00CD7D52"/>
    <w:rsid w:val="00CE0E27"/>
    <w:rsid w:val="00CE1E61"/>
    <w:rsid w:val="00CE1F85"/>
    <w:rsid w:val="00CE3E13"/>
    <w:rsid w:val="00CE4944"/>
    <w:rsid w:val="00CE49AE"/>
    <w:rsid w:val="00CE4C59"/>
    <w:rsid w:val="00CE5E37"/>
    <w:rsid w:val="00CE7050"/>
    <w:rsid w:val="00CE7327"/>
    <w:rsid w:val="00CF077B"/>
    <w:rsid w:val="00CF0F0E"/>
    <w:rsid w:val="00CF1B9E"/>
    <w:rsid w:val="00CF1CAF"/>
    <w:rsid w:val="00CF1F1C"/>
    <w:rsid w:val="00CF20A0"/>
    <w:rsid w:val="00CF32B3"/>
    <w:rsid w:val="00CF400A"/>
    <w:rsid w:val="00CF429D"/>
    <w:rsid w:val="00CF42B7"/>
    <w:rsid w:val="00CF4F54"/>
    <w:rsid w:val="00CF5FB9"/>
    <w:rsid w:val="00CF60B6"/>
    <w:rsid w:val="00CF7314"/>
    <w:rsid w:val="00CF751B"/>
    <w:rsid w:val="00D00005"/>
    <w:rsid w:val="00D00041"/>
    <w:rsid w:val="00D003C7"/>
    <w:rsid w:val="00D003E5"/>
    <w:rsid w:val="00D00C63"/>
    <w:rsid w:val="00D01584"/>
    <w:rsid w:val="00D01628"/>
    <w:rsid w:val="00D0179B"/>
    <w:rsid w:val="00D01F6B"/>
    <w:rsid w:val="00D01FC8"/>
    <w:rsid w:val="00D0215F"/>
    <w:rsid w:val="00D02757"/>
    <w:rsid w:val="00D03BF7"/>
    <w:rsid w:val="00D05180"/>
    <w:rsid w:val="00D062E2"/>
    <w:rsid w:val="00D06920"/>
    <w:rsid w:val="00D06B8C"/>
    <w:rsid w:val="00D06CCC"/>
    <w:rsid w:val="00D072F3"/>
    <w:rsid w:val="00D07549"/>
    <w:rsid w:val="00D07ACB"/>
    <w:rsid w:val="00D10465"/>
    <w:rsid w:val="00D10995"/>
    <w:rsid w:val="00D116AA"/>
    <w:rsid w:val="00D13291"/>
    <w:rsid w:val="00D1369E"/>
    <w:rsid w:val="00D13A03"/>
    <w:rsid w:val="00D13C1C"/>
    <w:rsid w:val="00D13F3C"/>
    <w:rsid w:val="00D15489"/>
    <w:rsid w:val="00D17176"/>
    <w:rsid w:val="00D172D7"/>
    <w:rsid w:val="00D17524"/>
    <w:rsid w:val="00D2256E"/>
    <w:rsid w:val="00D22865"/>
    <w:rsid w:val="00D22EF7"/>
    <w:rsid w:val="00D23AC8"/>
    <w:rsid w:val="00D2559B"/>
    <w:rsid w:val="00D259CB"/>
    <w:rsid w:val="00D25C49"/>
    <w:rsid w:val="00D25E61"/>
    <w:rsid w:val="00D2620C"/>
    <w:rsid w:val="00D26E33"/>
    <w:rsid w:val="00D27075"/>
    <w:rsid w:val="00D27FD5"/>
    <w:rsid w:val="00D307DD"/>
    <w:rsid w:val="00D30F1B"/>
    <w:rsid w:val="00D310C3"/>
    <w:rsid w:val="00D31409"/>
    <w:rsid w:val="00D33D6D"/>
    <w:rsid w:val="00D3462A"/>
    <w:rsid w:val="00D35B7D"/>
    <w:rsid w:val="00D35D11"/>
    <w:rsid w:val="00D35E90"/>
    <w:rsid w:val="00D36D81"/>
    <w:rsid w:val="00D373B3"/>
    <w:rsid w:val="00D377A0"/>
    <w:rsid w:val="00D37AEA"/>
    <w:rsid w:val="00D37B61"/>
    <w:rsid w:val="00D40B7F"/>
    <w:rsid w:val="00D43C8A"/>
    <w:rsid w:val="00D44C8A"/>
    <w:rsid w:val="00D4601C"/>
    <w:rsid w:val="00D466C9"/>
    <w:rsid w:val="00D46CB7"/>
    <w:rsid w:val="00D470CA"/>
    <w:rsid w:val="00D47BE4"/>
    <w:rsid w:val="00D500BD"/>
    <w:rsid w:val="00D510D6"/>
    <w:rsid w:val="00D52981"/>
    <w:rsid w:val="00D52F39"/>
    <w:rsid w:val="00D533A1"/>
    <w:rsid w:val="00D53E92"/>
    <w:rsid w:val="00D53EB1"/>
    <w:rsid w:val="00D540B0"/>
    <w:rsid w:val="00D547F9"/>
    <w:rsid w:val="00D5509C"/>
    <w:rsid w:val="00D55F32"/>
    <w:rsid w:val="00D56699"/>
    <w:rsid w:val="00D573C5"/>
    <w:rsid w:val="00D61510"/>
    <w:rsid w:val="00D631E7"/>
    <w:rsid w:val="00D6375B"/>
    <w:rsid w:val="00D63F9A"/>
    <w:rsid w:val="00D64F27"/>
    <w:rsid w:val="00D67150"/>
    <w:rsid w:val="00D67B82"/>
    <w:rsid w:val="00D71D2E"/>
    <w:rsid w:val="00D731FD"/>
    <w:rsid w:val="00D7427D"/>
    <w:rsid w:val="00D74CED"/>
    <w:rsid w:val="00D754D7"/>
    <w:rsid w:val="00D757CF"/>
    <w:rsid w:val="00D763E9"/>
    <w:rsid w:val="00D80833"/>
    <w:rsid w:val="00D80A40"/>
    <w:rsid w:val="00D80AA3"/>
    <w:rsid w:val="00D814DB"/>
    <w:rsid w:val="00D81AFD"/>
    <w:rsid w:val="00D81E4B"/>
    <w:rsid w:val="00D820B9"/>
    <w:rsid w:val="00D82B35"/>
    <w:rsid w:val="00D82F5B"/>
    <w:rsid w:val="00D83265"/>
    <w:rsid w:val="00D837C4"/>
    <w:rsid w:val="00D85CC6"/>
    <w:rsid w:val="00D90CFB"/>
    <w:rsid w:val="00D91CA0"/>
    <w:rsid w:val="00D92E0A"/>
    <w:rsid w:val="00D9444D"/>
    <w:rsid w:val="00D95EC1"/>
    <w:rsid w:val="00D96348"/>
    <w:rsid w:val="00D96A17"/>
    <w:rsid w:val="00D96ECF"/>
    <w:rsid w:val="00D97761"/>
    <w:rsid w:val="00DA0DDA"/>
    <w:rsid w:val="00DA13FD"/>
    <w:rsid w:val="00DA2142"/>
    <w:rsid w:val="00DA237F"/>
    <w:rsid w:val="00DA2B92"/>
    <w:rsid w:val="00DA3F46"/>
    <w:rsid w:val="00DA41A3"/>
    <w:rsid w:val="00DA44E9"/>
    <w:rsid w:val="00DA492F"/>
    <w:rsid w:val="00DA5EE8"/>
    <w:rsid w:val="00DA6883"/>
    <w:rsid w:val="00DA6EA9"/>
    <w:rsid w:val="00DB0B42"/>
    <w:rsid w:val="00DB106A"/>
    <w:rsid w:val="00DB3DEF"/>
    <w:rsid w:val="00DB4133"/>
    <w:rsid w:val="00DB49F5"/>
    <w:rsid w:val="00DB4B4E"/>
    <w:rsid w:val="00DB559A"/>
    <w:rsid w:val="00DB6D7C"/>
    <w:rsid w:val="00DB729D"/>
    <w:rsid w:val="00DB7DC6"/>
    <w:rsid w:val="00DC0273"/>
    <w:rsid w:val="00DC18C7"/>
    <w:rsid w:val="00DC1BAB"/>
    <w:rsid w:val="00DC1CCE"/>
    <w:rsid w:val="00DC1E4E"/>
    <w:rsid w:val="00DC257E"/>
    <w:rsid w:val="00DC2A1B"/>
    <w:rsid w:val="00DC3489"/>
    <w:rsid w:val="00DC38E8"/>
    <w:rsid w:val="00DC42ED"/>
    <w:rsid w:val="00DC479E"/>
    <w:rsid w:val="00DC5381"/>
    <w:rsid w:val="00DC5605"/>
    <w:rsid w:val="00DC7050"/>
    <w:rsid w:val="00DC76D7"/>
    <w:rsid w:val="00DD00F7"/>
    <w:rsid w:val="00DD147A"/>
    <w:rsid w:val="00DD43EF"/>
    <w:rsid w:val="00DD4B79"/>
    <w:rsid w:val="00DD5372"/>
    <w:rsid w:val="00DE04AE"/>
    <w:rsid w:val="00DE0638"/>
    <w:rsid w:val="00DE0E2E"/>
    <w:rsid w:val="00DE2A61"/>
    <w:rsid w:val="00DE2B63"/>
    <w:rsid w:val="00DE4300"/>
    <w:rsid w:val="00DE4593"/>
    <w:rsid w:val="00DE472B"/>
    <w:rsid w:val="00DE47FA"/>
    <w:rsid w:val="00DE6184"/>
    <w:rsid w:val="00DE79C2"/>
    <w:rsid w:val="00DF06FE"/>
    <w:rsid w:val="00DF0D8B"/>
    <w:rsid w:val="00DF0E06"/>
    <w:rsid w:val="00DF1737"/>
    <w:rsid w:val="00DF1886"/>
    <w:rsid w:val="00DF1901"/>
    <w:rsid w:val="00DF1E5D"/>
    <w:rsid w:val="00DF2DC0"/>
    <w:rsid w:val="00DF477D"/>
    <w:rsid w:val="00DF4D8B"/>
    <w:rsid w:val="00DF5322"/>
    <w:rsid w:val="00DF5912"/>
    <w:rsid w:val="00DF5C77"/>
    <w:rsid w:val="00DF5F00"/>
    <w:rsid w:val="00DF76B0"/>
    <w:rsid w:val="00E0024E"/>
    <w:rsid w:val="00E003F2"/>
    <w:rsid w:val="00E012B9"/>
    <w:rsid w:val="00E018AC"/>
    <w:rsid w:val="00E02E38"/>
    <w:rsid w:val="00E03502"/>
    <w:rsid w:val="00E03C4B"/>
    <w:rsid w:val="00E06464"/>
    <w:rsid w:val="00E0757A"/>
    <w:rsid w:val="00E078AD"/>
    <w:rsid w:val="00E078D5"/>
    <w:rsid w:val="00E07AD3"/>
    <w:rsid w:val="00E07EC3"/>
    <w:rsid w:val="00E10488"/>
    <w:rsid w:val="00E1057E"/>
    <w:rsid w:val="00E11119"/>
    <w:rsid w:val="00E114FF"/>
    <w:rsid w:val="00E12964"/>
    <w:rsid w:val="00E13661"/>
    <w:rsid w:val="00E16F46"/>
    <w:rsid w:val="00E171FB"/>
    <w:rsid w:val="00E200AC"/>
    <w:rsid w:val="00E2231F"/>
    <w:rsid w:val="00E227F4"/>
    <w:rsid w:val="00E23E2B"/>
    <w:rsid w:val="00E24BF0"/>
    <w:rsid w:val="00E25470"/>
    <w:rsid w:val="00E26734"/>
    <w:rsid w:val="00E2727C"/>
    <w:rsid w:val="00E274F2"/>
    <w:rsid w:val="00E27F13"/>
    <w:rsid w:val="00E31650"/>
    <w:rsid w:val="00E31A18"/>
    <w:rsid w:val="00E31B44"/>
    <w:rsid w:val="00E320C6"/>
    <w:rsid w:val="00E32CB7"/>
    <w:rsid w:val="00E330B8"/>
    <w:rsid w:val="00E35089"/>
    <w:rsid w:val="00E353D3"/>
    <w:rsid w:val="00E36A0F"/>
    <w:rsid w:val="00E37906"/>
    <w:rsid w:val="00E37EFF"/>
    <w:rsid w:val="00E414F4"/>
    <w:rsid w:val="00E42179"/>
    <w:rsid w:val="00E42722"/>
    <w:rsid w:val="00E42921"/>
    <w:rsid w:val="00E43561"/>
    <w:rsid w:val="00E43590"/>
    <w:rsid w:val="00E436AC"/>
    <w:rsid w:val="00E471A5"/>
    <w:rsid w:val="00E47388"/>
    <w:rsid w:val="00E478AF"/>
    <w:rsid w:val="00E47919"/>
    <w:rsid w:val="00E510FD"/>
    <w:rsid w:val="00E5169F"/>
    <w:rsid w:val="00E52546"/>
    <w:rsid w:val="00E53726"/>
    <w:rsid w:val="00E53CBA"/>
    <w:rsid w:val="00E54746"/>
    <w:rsid w:val="00E54E7A"/>
    <w:rsid w:val="00E562CF"/>
    <w:rsid w:val="00E61B4A"/>
    <w:rsid w:val="00E61E3C"/>
    <w:rsid w:val="00E61ECF"/>
    <w:rsid w:val="00E6227D"/>
    <w:rsid w:val="00E62B75"/>
    <w:rsid w:val="00E63581"/>
    <w:rsid w:val="00E63738"/>
    <w:rsid w:val="00E63F6E"/>
    <w:rsid w:val="00E640EE"/>
    <w:rsid w:val="00E644B5"/>
    <w:rsid w:val="00E64661"/>
    <w:rsid w:val="00E6548C"/>
    <w:rsid w:val="00E660D1"/>
    <w:rsid w:val="00E7162D"/>
    <w:rsid w:val="00E71A2E"/>
    <w:rsid w:val="00E71AA5"/>
    <w:rsid w:val="00E721A6"/>
    <w:rsid w:val="00E73670"/>
    <w:rsid w:val="00E7452C"/>
    <w:rsid w:val="00E74F6B"/>
    <w:rsid w:val="00E77F90"/>
    <w:rsid w:val="00E80098"/>
    <w:rsid w:val="00E81236"/>
    <w:rsid w:val="00E81EF0"/>
    <w:rsid w:val="00E827E8"/>
    <w:rsid w:val="00E830C6"/>
    <w:rsid w:val="00E8392E"/>
    <w:rsid w:val="00E840F6"/>
    <w:rsid w:val="00E84B20"/>
    <w:rsid w:val="00E8578E"/>
    <w:rsid w:val="00E868B9"/>
    <w:rsid w:val="00E877AD"/>
    <w:rsid w:val="00E87C25"/>
    <w:rsid w:val="00E87EE4"/>
    <w:rsid w:val="00E917CB"/>
    <w:rsid w:val="00E92C07"/>
    <w:rsid w:val="00E949E3"/>
    <w:rsid w:val="00E94E74"/>
    <w:rsid w:val="00E96DAE"/>
    <w:rsid w:val="00E97AFA"/>
    <w:rsid w:val="00EA039B"/>
    <w:rsid w:val="00EA1C16"/>
    <w:rsid w:val="00EA2C95"/>
    <w:rsid w:val="00EA3577"/>
    <w:rsid w:val="00EA3BF5"/>
    <w:rsid w:val="00EA402E"/>
    <w:rsid w:val="00EA6885"/>
    <w:rsid w:val="00EA6D4A"/>
    <w:rsid w:val="00EA6FCA"/>
    <w:rsid w:val="00EB05F1"/>
    <w:rsid w:val="00EB084E"/>
    <w:rsid w:val="00EB0AF7"/>
    <w:rsid w:val="00EB1C22"/>
    <w:rsid w:val="00EB1CD7"/>
    <w:rsid w:val="00EB221A"/>
    <w:rsid w:val="00EB301A"/>
    <w:rsid w:val="00EB32AA"/>
    <w:rsid w:val="00EB34F4"/>
    <w:rsid w:val="00EB496B"/>
    <w:rsid w:val="00EB6BD7"/>
    <w:rsid w:val="00EB6CDF"/>
    <w:rsid w:val="00EC0BAE"/>
    <w:rsid w:val="00EC0C1D"/>
    <w:rsid w:val="00EC10B5"/>
    <w:rsid w:val="00EC2281"/>
    <w:rsid w:val="00EC2C44"/>
    <w:rsid w:val="00EC2E12"/>
    <w:rsid w:val="00EC3603"/>
    <w:rsid w:val="00EC4174"/>
    <w:rsid w:val="00EC4E97"/>
    <w:rsid w:val="00EC6AA1"/>
    <w:rsid w:val="00EC72DE"/>
    <w:rsid w:val="00EC72E6"/>
    <w:rsid w:val="00EC75EE"/>
    <w:rsid w:val="00ED013F"/>
    <w:rsid w:val="00ED07EA"/>
    <w:rsid w:val="00ED081F"/>
    <w:rsid w:val="00ED0934"/>
    <w:rsid w:val="00ED0C80"/>
    <w:rsid w:val="00ED14F1"/>
    <w:rsid w:val="00ED1A5F"/>
    <w:rsid w:val="00ED275D"/>
    <w:rsid w:val="00ED2BC4"/>
    <w:rsid w:val="00ED2E68"/>
    <w:rsid w:val="00ED3034"/>
    <w:rsid w:val="00ED3334"/>
    <w:rsid w:val="00ED5640"/>
    <w:rsid w:val="00ED6966"/>
    <w:rsid w:val="00EE0527"/>
    <w:rsid w:val="00EE088A"/>
    <w:rsid w:val="00EE0BA8"/>
    <w:rsid w:val="00EE0F66"/>
    <w:rsid w:val="00EE107D"/>
    <w:rsid w:val="00EE2C7C"/>
    <w:rsid w:val="00EE349F"/>
    <w:rsid w:val="00EE3712"/>
    <w:rsid w:val="00EE40C6"/>
    <w:rsid w:val="00EE551D"/>
    <w:rsid w:val="00EE5882"/>
    <w:rsid w:val="00EE5ED5"/>
    <w:rsid w:val="00EE688E"/>
    <w:rsid w:val="00EE7125"/>
    <w:rsid w:val="00EF098E"/>
    <w:rsid w:val="00EF0EDB"/>
    <w:rsid w:val="00EF1503"/>
    <w:rsid w:val="00EF1BB9"/>
    <w:rsid w:val="00EF2AB0"/>
    <w:rsid w:val="00EF4B77"/>
    <w:rsid w:val="00EF534A"/>
    <w:rsid w:val="00EF555F"/>
    <w:rsid w:val="00EF71AF"/>
    <w:rsid w:val="00EF780A"/>
    <w:rsid w:val="00EF7DCA"/>
    <w:rsid w:val="00F00844"/>
    <w:rsid w:val="00F018A1"/>
    <w:rsid w:val="00F0387A"/>
    <w:rsid w:val="00F03F2C"/>
    <w:rsid w:val="00F04AC3"/>
    <w:rsid w:val="00F04FB7"/>
    <w:rsid w:val="00F05F78"/>
    <w:rsid w:val="00F06392"/>
    <w:rsid w:val="00F07B5E"/>
    <w:rsid w:val="00F07DD5"/>
    <w:rsid w:val="00F1136D"/>
    <w:rsid w:val="00F123D5"/>
    <w:rsid w:val="00F126D9"/>
    <w:rsid w:val="00F12A43"/>
    <w:rsid w:val="00F13DE9"/>
    <w:rsid w:val="00F145CE"/>
    <w:rsid w:val="00F14D79"/>
    <w:rsid w:val="00F14D98"/>
    <w:rsid w:val="00F1654F"/>
    <w:rsid w:val="00F17B6E"/>
    <w:rsid w:val="00F207A7"/>
    <w:rsid w:val="00F2097B"/>
    <w:rsid w:val="00F20D00"/>
    <w:rsid w:val="00F21A11"/>
    <w:rsid w:val="00F22CDF"/>
    <w:rsid w:val="00F23565"/>
    <w:rsid w:val="00F237DF"/>
    <w:rsid w:val="00F246C0"/>
    <w:rsid w:val="00F2482D"/>
    <w:rsid w:val="00F24CF1"/>
    <w:rsid w:val="00F25F82"/>
    <w:rsid w:val="00F26AFD"/>
    <w:rsid w:val="00F26E7A"/>
    <w:rsid w:val="00F327B4"/>
    <w:rsid w:val="00F3435C"/>
    <w:rsid w:val="00F347E9"/>
    <w:rsid w:val="00F3552C"/>
    <w:rsid w:val="00F355D2"/>
    <w:rsid w:val="00F35A9D"/>
    <w:rsid w:val="00F37003"/>
    <w:rsid w:val="00F40276"/>
    <w:rsid w:val="00F403C5"/>
    <w:rsid w:val="00F419F9"/>
    <w:rsid w:val="00F42761"/>
    <w:rsid w:val="00F46006"/>
    <w:rsid w:val="00F469FE"/>
    <w:rsid w:val="00F473CE"/>
    <w:rsid w:val="00F5011C"/>
    <w:rsid w:val="00F50581"/>
    <w:rsid w:val="00F50D56"/>
    <w:rsid w:val="00F537D4"/>
    <w:rsid w:val="00F545F2"/>
    <w:rsid w:val="00F548BA"/>
    <w:rsid w:val="00F5565E"/>
    <w:rsid w:val="00F55D9E"/>
    <w:rsid w:val="00F611EB"/>
    <w:rsid w:val="00F615F3"/>
    <w:rsid w:val="00F643FD"/>
    <w:rsid w:val="00F65D91"/>
    <w:rsid w:val="00F70353"/>
    <w:rsid w:val="00F70BAE"/>
    <w:rsid w:val="00F70BAF"/>
    <w:rsid w:val="00F71269"/>
    <w:rsid w:val="00F7183C"/>
    <w:rsid w:val="00F71DD4"/>
    <w:rsid w:val="00F71F57"/>
    <w:rsid w:val="00F72D7C"/>
    <w:rsid w:val="00F7327B"/>
    <w:rsid w:val="00F7342C"/>
    <w:rsid w:val="00F73446"/>
    <w:rsid w:val="00F7395A"/>
    <w:rsid w:val="00F73C93"/>
    <w:rsid w:val="00F749E5"/>
    <w:rsid w:val="00F74EDD"/>
    <w:rsid w:val="00F7532A"/>
    <w:rsid w:val="00F7548F"/>
    <w:rsid w:val="00F778B9"/>
    <w:rsid w:val="00F8044B"/>
    <w:rsid w:val="00F81B6B"/>
    <w:rsid w:val="00F829EC"/>
    <w:rsid w:val="00F82B2F"/>
    <w:rsid w:val="00F831EE"/>
    <w:rsid w:val="00F8351E"/>
    <w:rsid w:val="00F84754"/>
    <w:rsid w:val="00F84E06"/>
    <w:rsid w:val="00F85E42"/>
    <w:rsid w:val="00F86CBE"/>
    <w:rsid w:val="00F874DA"/>
    <w:rsid w:val="00F87D41"/>
    <w:rsid w:val="00F927F9"/>
    <w:rsid w:val="00F92E33"/>
    <w:rsid w:val="00F933E8"/>
    <w:rsid w:val="00F9368A"/>
    <w:rsid w:val="00F93F68"/>
    <w:rsid w:val="00F94269"/>
    <w:rsid w:val="00F94405"/>
    <w:rsid w:val="00F944D5"/>
    <w:rsid w:val="00F950E7"/>
    <w:rsid w:val="00F9639E"/>
    <w:rsid w:val="00F965BE"/>
    <w:rsid w:val="00F96E4B"/>
    <w:rsid w:val="00F979AD"/>
    <w:rsid w:val="00FA0708"/>
    <w:rsid w:val="00FA0891"/>
    <w:rsid w:val="00FA0A21"/>
    <w:rsid w:val="00FA1E39"/>
    <w:rsid w:val="00FA23FD"/>
    <w:rsid w:val="00FA3598"/>
    <w:rsid w:val="00FA45A2"/>
    <w:rsid w:val="00FA54D8"/>
    <w:rsid w:val="00FA564B"/>
    <w:rsid w:val="00FA5C05"/>
    <w:rsid w:val="00FA6D0E"/>
    <w:rsid w:val="00FA6E81"/>
    <w:rsid w:val="00FA71EB"/>
    <w:rsid w:val="00FB1874"/>
    <w:rsid w:val="00FB2005"/>
    <w:rsid w:val="00FB200A"/>
    <w:rsid w:val="00FB3466"/>
    <w:rsid w:val="00FB3585"/>
    <w:rsid w:val="00FB5C20"/>
    <w:rsid w:val="00FB668D"/>
    <w:rsid w:val="00FB7AB6"/>
    <w:rsid w:val="00FC06D4"/>
    <w:rsid w:val="00FC07CB"/>
    <w:rsid w:val="00FC199B"/>
    <w:rsid w:val="00FC30CD"/>
    <w:rsid w:val="00FC3D85"/>
    <w:rsid w:val="00FC4A9C"/>
    <w:rsid w:val="00FC4D6A"/>
    <w:rsid w:val="00FC54A1"/>
    <w:rsid w:val="00FC5E33"/>
    <w:rsid w:val="00FC5E56"/>
    <w:rsid w:val="00FC71F0"/>
    <w:rsid w:val="00FC7A4F"/>
    <w:rsid w:val="00FD1F43"/>
    <w:rsid w:val="00FD4C14"/>
    <w:rsid w:val="00FD5520"/>
    <w:rsid w:val="00FD5662"/>
    <w:rsid w:val="00FD573C"/>
    <w:rsid w:val="00FD622C"/>
    <w:rsid w:val="00FD6C7C"/>
    <w:rsid w:val="00FE0670"/>
    <w:rsid w:val="00FE1402"/>
    <w:rsid w:val="00FE1537"/>
    <w:rsid w:val="00FE1740"/>
    <w:rsid w:val="00FE2C61"/>
    <w:rsid w:val="00FE32A0"/>
    <w:rsid w:val="00FE3561"/>
    <w:rsid w:val="00FE365F"/>
    <w:rsid w:val="00FE3CBF"/>
    <w:rsid w:val="00FE3D12"/>
    <w:rsid w:val="00FE4B89"/>
    <w:rsid w:val="00FE4DA6"/>
    <w:rsid w:val="00FE4E0F"/>
    <w:rsid w:val="00FE5199"/>
    <w:rsid w:val="00FE6D73"/>
    <w:rsid w:val="00FE7748"/>
    <w:rsid w:val="00FF1029"/>
    <w:rsid w:val="00FF1BFE"/>
    <w:rsid w:val="00FF29F5"/>
    <w:rsid w:val="00FF2A2A"/>
    <w:rsid w:val="00FF33D2"/>
    <w:rsid w:val="00FF3883"/>
    <w:rsid w:val="00FF42D6"/>
    <w:rsid w:val="00FF483F"/>
    <w:rsid w:val="00FF4BEC"/>
    <w:rsid w:val="00FF4F17"/>
    <w:rsid w:val="00FF527B"/>
    <w:rsid w:val="00FF5B5E"/>
    <w:rsid w:val="00FF6E60"/>
    <w:rsid w:val="00FF79FC"/>
    <w:rsid w:val="04AF300D"/>
    <w:rsid w:val="0DBE9DB0"/>
    <w:rsid w:val="2D97DE55"/>
    <w:rsid w:val="3EFC8835"/>
    <w:rsid w:val="63B74652"/>
    <w:rsid w:val="6FFF0FF3"/>
    <w:rsid w:val="7BCDF802"/>
    <w:rsid w:val="7CFF6FA9"/>
    <w:rsid w:val="7CFFEA67"/>
    <w:rsid w:val="AFFEAF11"/>
    <w:rsid w:val="FFE7B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cs="Arial" w:eastAsiaTheme="minorHAnsi"/>
      <w:color w:val="000000"/>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pPr>
  </w:style>
  <w:style w:type="paragraph" w:styleId="5">
    <w:name w:val="header"/>
    <w:basedOn w:val="1"/>
    <w:link w:val="6"/>
    <w:unhideWhenUsed/>
    <w:qFormat/>
    <w:uiPriority w:val="99"/>
    <w:pPr>
      <w:tabs>
        <w:tab w:val="center" w:pos="4680"/>
        <w:tab w:val="right" w:pos="9360"/>
      </w:tabs>
    </w:pPr>
  </w:style>
  <w:style w:type="character" w:customStyle="1" w:styleId="6">
    <w:name w:val="Header Char"/>
    <w:basedOn w:val="2"/>
    <w:link w:val="5"/>
    <w:qFormat/>
    <w:uiPriority w:val="99"/>
  </w:style>
  <w:style w:type="character" w:customStyle="1" w:styleId="7">
    <w:name w:val="Footer Char"/>
    <w:basedOn w:val="2"/>
    <w:link w:val="4"/>
    <w:qFormat/>
    <w:uiPriority w:val="99"/>
  </w:style>
  <w:style w:type="paragraph" w:customStyle="1" w:styleId="8">
    <w:name w:val="EndNote Bibliography Title"/>
    <w:basedOn w:val="1"/>
    <w:link w:val="9"/>
    <w:qFormat/>
    <w:uiPriority w:val="0"/>
    <w:pPr>
      <w:jc w:val="center"/>
    </w:pPr>
  </w:style>
  <w:style w:type="character" w:customStyle="1" w:styleId="9">
    <w:name w:val="EndNote Bibliography Title Char"/>
    <w:basedOn w:val="2"/>
    <w:link w:val="8"/>
    <w:qFormat/>
    <w:uiPriority w:val="0"/>
  </w:style>
  <w:style w:type="paragraph" w:customStyle="1" w:styleId="10">
    <w:name w:val="EndNote Bibliography"/>
    <w:basedOn w:val="1"/>
    <w:link w:val="11"/>
    <w:qFormat/>
    <w:uiPriority w:val="0"/>
  </w:style>
  <w:style w:type="character" w:customStyle="1" w:styleId="11">
    <w:name w:val="EndNote Bibliography Char"/>
    <w:basedOn w:val="2"/>
    <w:link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341</Words>
  <Characters>1948</Characters>
  <Lines>16</Lines>
  <Paragraphs>4</Paragraphs>
  <TotalTime>9</TotalTime>
  <ScaleCrop>false</ScaleCrop>
  <LinksUpToDate>false</LinksUpToDate>
  <CharactersWithSpaces>2285</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2020-11-23T09:44:00Z</dcterms:created>
  <dc:creator>Neurolipidomics</dc:creator>
  <cp:lastModifiedBy>le</cp:lastModifiedBy>
  <dcterms:modified xsi:type="dcterms:W3CDTF">2020-11-23T17:00:26Z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