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0"/>
      </w:pPr>
    </w:p>
    <w:p>
      <w:pPr>
        <w:spacing w:before="0" w:after="60"/>
        <w:jc w:val="right"/>
      </w:pPr>
      <w:r>
        <w:rPr>
          <w:rFonts w:ascii="Arial" w:cs="Arial" w:eastAsia="Arial" w:hAnsi="Arial"/>
          <w:b w:val="false"/>
          <w:bCs w:val="false"/>
          <w:color w:val="4A4A4A"/>
          <w:sz w:val="18"/>
          <w:szCs w:val="18"/>
        </w:rPr>
        <w:t xml:space="preserve">MASTER CARMA</w:t>
      </w:r>
    </w:p>
    <w:p>
      <w:pPr>
        <w:pBdr>
          <w:bottom w:val="single" w:color="B5451B" w:sz="8" w:space="6"/>
        </w:pBdr>
        <w:spacing w:before="0" w:after="320"/>
        <w:jc w:val="right"/>
      </w:pPr>
      <w:r>
        <w:rPr>
          <w:rFonts w:ascii="Arial" w:cs="Arial" w:eastAsia="Arial" w:hAnsi="Arial"/>
          <w:b/>
          <w:bCs/>
          <w:color w:val="1C1C1C"/>
          <w:sz w:val="56"/>
          <w:szCs w:val="56"/>
        </w:rPr>
        <w:t xml:space="preserve">Projet Pédagogique</w:t>
      </w:r>
    </w:p>
    <w:p>
      <w:pPr>
        <w:spacing w:before="0" w:after="200"/>
      </w:pPr>
    </w:p>
    <w:p>
      <w:pPr>
        <w:spacing w:before="0" w:after="80"/>
        <w:jc w:val="right"/>
      </w:pPr>
      <w:r>
        <w:rPr>
          <w:rFonts w:ascii="Garamond" w:cs="Garamond" w:eastAsia="Garamond" w:hAnsi="Garamond"/>
          <w:i/>
          <w:iCs/>
          <w:color w:val="B5451B"/>
          <w:sz w:val="28"/>
          <w:szCs w:val="28"/>
        </w:rPr>
        <w:t xml:space="preserve">Atelier Création-Exposition</w:t>
      </w:r>
    </w:p>
    <w:p>
      <w:pPr>
        <w:spacing w:before="0" w:after="80"/>
        <w:jc w:val="right"/>
      </w:pPr>
      <w:r>
        <w:rPr>
          <w:rFonts w:ascii="Garamond" w:cs="Garamond" w:eastAsia="Garamond" w:hAnsi="Garamond"/>
          <w:color w:val="4A4A4A"/>
          <w:sz w:val="22"/>
          <w:szCs w:val="22"/>
        </w:rPr>
        <w:t xml:space="preserve">Formation universitaire LMD — Cycle Master</w:t>
      </w:r>
    </w:p>
    <w:p>
      <w:pPr>
        <w:spacing w:before="0" w:after="3000"/>
      </w:pPr>
    </w:p>
    <w:p>
      <w:pPr>
        <w:jc w:val="right"/>
      </w:pPr>
      <w:r>
        <w:rPr>
          <w:rFonts w:ascii="Arial" w:cs="Arial" w:eastAsia="Arial" w:hAnsi="Arial"/>
          <w:color w:val="D9C9BE"/>
          <w:sz w:val="18"/>
          <w:szCs w:val="18"/>
        </w:rPr>
        <w:t xml:space="preserve">Version 6</w:t>
      </w:r>
    </w:p>
    <w:p>
      <w:r>
        <w:br w:type="page"/>
      </w:r>
    </w:p>
    <w:p>
      <w:pPr>
        <w:sectPr>
          <w:pgSz w:w="11906" w:h="16838" w:orient="portrait"/>
          <w:pgMar w:top="1440" w:right="1440" w:bottom="1440" w:left="1440" w:header="708" w:footer="708" w:gutter="0"/>
          <w:pgNumType/>
          <w:docGrid w:linePitch="360"/>
        </w:sectPr>
      </w:pPr>
    </w:p>
    <w:p>
      <w:pPr>
        <w:spacing w:before="0" w:after="200"/>
      </w:pPr>
      <w:r>
        <w:rPr>
          <w:rFonts w:ascii="Arial" w:cs="Arial" w:eastAsia="Arial" w:hAnsi="Arial"/>
          <w:b/>
          <w:bCs/>
          <w:color w:val="B5451B"/>
          <w:sz w:val="28"/>
          <w:szCs w:val="28"/>
        </w:rPr>
        <w:t xml:space="preserve">0. Résumé directeur</w:t>
      </w:r>
    </w:p>
    <w:p>
      <w:pPr>
        <w:pBdr>
          <w:bottom w:val="single" w:color="B5451B" w:sz="6" w:space="1"/>
        </w:pBdr>
      </w:pP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451B" w:sz="12"/>
              <w:left w:val="none" w:color="FFFFFF" w:sz="0"/>
              <w:bottom w:val="single" w:color="D9C9BE" w:sz="2"/>
              <w:right w:val="none" w:color="FFFFFF" w:sz="0"/>
            </w:tcBorders>
            <w:shd w:fill="F5F0EB" w:val="clear"/>
            <w:tcMar>
              <w:top w:type="dxa" w:w="240"/>
              <w:left w:type="dxa" w:w="360"/>
              <w:bottom w:type="dxa" w:w="240"/>
              <w:right w:type="dxa" w:w="360"/>
            </w:tcMar>
          </w:tcPr>
          <w:p>
            <w:pPr>
              <w:spacing w:before="0" w:after="0" w:line="290"/>
              <w:jc w:val="both"/>
            </w:pPr>
            <w:r>
              <w:rPr>
                <w:rFonts w:ascii="Garamond" w:cs="Garamond" w:eastAsia="Garamond" w:hAnsi="Garamond"/>
                <w:b/>
                <w:bCs/>
                <w:color w:val="1C1C1C"/>
                <w:sz w:val="22"/>
                <w:szCs w:val="22"/>
              </w:rPr>
              <w:t xml:space="preserve">L'idée centrale du projet pédagogique ancre la création plastique dans les réalités matérielles, économiques et logistiques du monde contemporain. L'université fonctionne comme une plateforme d'activation et un camp de base logistique pour déployer des situations artistiques tangibles. La méthode pédagogique privilégie l'immersion totale par la pratique du chantier et la production collective d'expositions grandeur nature. L'application de la stratégie d'optimisation du « Minmaxing » convertit les contraintes financières et les obstacles spatiaux en puissants leviers de production. Les étudiant·es s'organisent en agence de production nomade pour expérimenter l'infiltration institutionnelle et la résolution de problèmes par l'ingénierie physique. La posture de l'enseignant s'incarne par celle d'un constructeur, d'un régisseur et d'un stratège agissant directement sur le terrain au contact de la matière. Cet accompagnement technique et curatorial pousse la prise de risque et l'adaptation aux espaces d'accueil atypiques. L'objectif principal vise l'acquisition d'une souveraineté professionnelle, technique et administrative absolue pour les diplômé·es. Les jeunes artistes acquièrent les compétences pour générer une économie autonome par des circuits d'échange alternatifs et pour maîtriser les rouages de l'administration culturelle. La formation forge des plasticien·nes capables de fédérer des énergies, de s'implanter solidement dans le réseau de l'art et d'impacter physiquement leur territoire.</w:t>
            </w:r>
          </w:p>
        </w:tc>
      </w:tr>
    </w:tbl>
    <w:p>
      <w:pPr>
        <w:spacing w:before="0" w:after="160"/>
      </w:pPr>
    </w:p>
    <w:p>
      <w:pPr>
        <w:spacing w:before="0" w:after="0" w:line="276"/>
        <w:jc w:val="both"/>
      </w:pPr>
      <w:r>
        <w:rPr>
          <w:rFonts w:ascii="Garamond" w:cs="Garamond" w:eastAsia="Garamond" w:hAnsi="Garamond"/>
          <w:color w:val="1C1C1C"/>
          <w:sz w:val="22"/>
          <w:szCs w:val="22"/>
        </w:rPr>
        <w:t xml:space="preserve">Ce projet pédagogique s'aligne rigoureusement sur les exigences académiques et structurelles du cursus universitaire LMD. Le déploiement de l'atelier selon un syllabus détaillé de douze semaines garantit une progression méthodologique maîtrisée. L'enseignement intègre systématiquement les normes de sécurité inhérentes aux établissements recevant du public pour sécuriser le cadre institutionnel. La méthodologie d'optimisation s'adapte à la diversité des profils étudiants et encadre toutes les typologies de pratiques plastiques. L'approche traduit les expérimentations de terrain en critères d'évaluation objectifs pour l'attribution des crédits ECTS. L'adossement à la recherche s'affirme par la production continue d'archives alimentant directement les travaux du laboratoire LLA Creatis. La transmission des mécanismes de l'administration culturelle consolide les partenariats territoriaux avec les structures de diffusion. L'anticipation d'un cycle de développement triennal assure finalement le rayonnement durable du Master CARMA dans l'écosystème académique et professionnel.</w:t>
      </w:r>
    </w:p>
    <w:p>
      <w:r>
        <w:br w:type="page"/>
      </w:r>
    </w:p>
    <w:p>
      <w:pPr>
        <w:spacing w:before="0" w:after="200"/>
      </w:pPr>
      <w:r>
        <w:rPr>
          <w:rFonts w:ascii="Arial" w:cs="Arial" w:eastAsia="Arial" w:hAnsi="Arial"/>
          <w:b/>
          <w:bCs/>
          <w:color w:val="B5451B"/>
          <w:sz w:val="28"/>
          <w:szCs w:val="28"/>
        </w:rPr>
        <w:t xml:space="preserve">Sommaire</w:t>
      </w:r>
    </w:p>
    <w:p>
      <w:pPr>
        <w:pBdr>
          <w:bottom w:val="single" w:color="B5451B" w:sz="6" w:space="1"/>
        </w:pBdr>
      </w:pPr>
    </w:p>
    <w:p>
      <w:pPr>
        <w:spacing w:before="0" w:after="200"/>
      </w:pPr>
    </w:p>
    <w:p>
      <w:pPr>
        <w:tabs>
          <w:tab w:val="left" w:pos="600"/>
        </w:tabs>
        <w:spacing w:before="60" w:after="60"/>
      </w:pPr>
      <w:r>
        <w:rPr>
          <w:rFonts w:ascii="Arial" w:cs="Arial" w:eastAsia="Arial" w:hAnsi="Arial"/>
          <w:b/>
          <w:bCs/>
          <w:color w:val="B5451B"/>
          <w:sz w:val="22"/>
          <w:szCs w:val="22"/>
        </w:rPr>
        <w:t xml:space="preserve">1.</w:t>
      </w:r>
      <w:r>
        <w:t xml:space="preserve">	</w:t>
      </w:r>
      <w:r>
        <w:rPr>
          <w:rFonts w:ascii="Garamond" w:cs="Garamond" w:eastAsia="Garamond" w:hAnsi="Garamond"/>
          <w:color w:val="1C1C1C"/>
          <w:sz w:val="22"/>
          <w:szCs w:val="22"/>
        </w:rPr>
        <w:t xml:space="preserve">Introduction : Enseigner comme pratique artistique</w:t>
      </w:r>
    </w:p>
    <w:p>
      <w:pPr>
        <w:tabs>
          <w:tab w:val="left" w:pos="600"/>
        </w:tabs>
        <w:spacing w:before="60" w:after="60"/>
      </w:pPr>
      <w:r>
        <w:rPr>
          <w:rFonts w:ascii="Arial" w:cs="Arial" w:eastAsia="Arial" w:hAnsi="Arial"/>
          <w:b/>
          <w:bCs/>
          <w:color w:val="B5451B"/>
          <w:sz w:val="22"/>
          <w:szCs w:val="22"/>
        </w:rPr>
        <w:t xml:space="preserve">2.</w:t>
      </w:r>
      <w:r>
        <w:t xml:space="preserve">	</w:t>
      </w:r>
      <w:r>
        <w:rPr>
          <w:rFonts w:ascii="Garamond" w:cs="Garamond" w:eastAsia="Garamond" w:hAnsi="Garamond"/>
          <w:color w:val="1C1C1C"/>
          <w:sz w:val="22"/>
          <w:szCs w:val="22"/>
        </w:rPr>
        <w:t xml:space="preserve">Positionnement pédagogique : de la matière à la résolution scénographique</w:t>
      </w:r>
    </w:p>
    <w:p>
      <w:pPr>
        <w:tabs>
          <w:tab w:val="left" w:pos="600"/>
        </w:tabs>
        <w:spacing w:before="60" w:after="60"/>
      </w:pPr>
      <w:r>
        <w:rPr>
          <w:rFonts w:ascii="Arial" w:cs="Arial" w:eastAsia="Arial" w:hAnsi="Arial"/>
          <w:b/>
          <w:bCs/>
          <w:color w:val="B5451B"/>
          <w:sz w:val="22"/>
          <w:szCs w:val="22"/>
        </w:rPr>
        <w:t xml:space="preserve">3.</w:t>
      </w:r>
      <w:r>
        <w:t xml:space="preserve">	</w:t>
      </w:r>
      <w:r>
        <w:rPr>
          <w:rFonts w:ascii="Garamond" w:cs="Garamond" w:eastAsia="Garamond" w:hAnsi="Garamond"/>
          <w:color w:val="1C1C1C"/>
          <w:sz w:val="22"/>
          <w:szCs w:val="22"/>
        </w:rPr>
        <w:t xml:space="preserve">L'économie comme matériau plastique : la stratégie du Minmaxing</w:t>
      </w:r>
    </w:p>
    <w:p>
      <w:pPr>
        <w:tabs>
          <w:tab w:val="left" w:pos="600"/>
        </w:tabs>
        <w:spacing w:before="60" w:after="60"/>
      </w:pPr>
      <w:r>
        <w:rPr>
          <w:rFonts w:ascii="Arial" w:cs="Arial" w:eastAsia="Arial" w:hAnsi="Arial"/>
          <w:b/>
          <w:bCs/>
          <w:color w:val="B5451B"/>
          <w:sz w:val="22"/>
          <w:szCs w:val="22"/>
        </w:rPr>
        <w:t xml:space="preserve">4.</w:t>
      </w:r>
      <w:r>
        <w:t xml:space="preserve">	</w:t>
      </w:r>
      <w:r>
        <w:rPr>
          <w:rFonts w:ascii="Garamond" w:cs="Garamond" w:eastAsia="Garamond" w:hAnsi="Garamond"/>
          <w:color w:val="1C1C1C"/>
          <w:sz w:val="22"/>
          <w:szCs w:val="22"/>
        </w:rPr>
        <w:t xml:space="preserve">Protocole d'atelier : l'espace de Master comme dispositif d'action collectif</w:t>
      </w:r>
    </w:p>
    <w:p>
      <w:pPr>
        <w:tabs>
          <w:tab w:val="left" w:pos="600"/>
        </w:tabs>
        <w:spacing w:before="60" w:after="60"/>
      </w:pPr>
      <w:r>
        <w:rPr>
          <w:rFonts w:ascii="Arial" w:cs="Arial" w:eastAsia="Arial" w:hAnsi="Arial"/>
          <w:b/>
          <w:bCs/>
          <w:color w:val="B5451B"/>
          <w:sz w:val="22"/>
          <w:szCs w:val="22"/>
        </w:rPr>
        <w:t xml:space="preserve">5.</w:t>
      </w:r>
      <w:r>
        <w:t xml:space="preserve">	</w:t>
      </w:r>
      <w:r>
        <w:rPr>
          <w:rFonts w:ascii="Garamond" w:cs="Garamond" w:eastAsia="Garamond" w:hAnsi="Garamond"/>
          <w:color w:val="1C1C1C"/>
          <w:sz w:val="22"/>
          <w:szCs w:val="22"/>
        </w:rPr>
        <w:t xml:space="preserve">Syllabus détaillé : Planning pédagogique de production sur 12 semaines</w:t>
      </w:r>
    </w:p>
    <w:p>
      <w:pPr>
        <w:tabs>
          <w:tab w:val="left" w:pos="600"/>
        </w:tabs>
        <w:spacing w:before="60" w:after="60"/>
      </w:pPr>
      <w:r>
        <w:rPr>
          <w:rFonts w:ascii="Arial" w:cs="Arial" w:eastAsia="Arial" w:hAnsi="Arial"/>
          <w:b/>
          <w:bCs/>
          <w:color w:val="B5451B"/>
          <w:sz w:val="22"/>
          <w:szCs w:val="22"/>
        </w:rPr>
        <w:t xml:space="preserve">6.</w:t>
      </w:r>
      <w:r>
        <w:t xml:space="preserve">	</w:t>
      </w:r>
      <w:r>
        <w:rPr>
          <w:rFonts w:ascii="Garamond" w:cs="Garamond" w:eastAsia="Garamond" w:hAnsi="Garamond"/>
          <w:color w:val="1C1C1C"/>
          <w:sz w:val="22"/>
          <w:szCs w:val="22"/>
        </w:rPr>
        <w:t xml:space="preserve">La professionnalisation par l'expérience directe : l'épreuve du réel</w:t>
      </w:r>
    </w:p>
    <w:p>
      <w:pPr>
        <w:tabs>
          <w:tab w:val="left" w:pos="600"/>
        </w:tabs>
        <w:spacing w:before="60" w:after="60"/>
      </w:pPr>
      <w:r>
        <w:rPr>
          <w:rFonts w:ascii="Arial" w:cs="Arial" w:eastAsia="Arial" w:hAnsi="Arial"/>
          <w:b/>
          <w:bCs/>
          <w:color w:val="B5451B"/>
          <w:sz w:val="22"/>
          <w:szCs w:val="22"/>
        </w:rPr>
        <w:t xml:space="preserve">7.</w:t>
      </w:r>
      <w:r>
        <w:t xml:space="preserve">	</w:t>
      </w:r>
      <w:r>
        <w:rPr>
          <w:rFonts w:ascii="Garamond" w:cs="Garamond" w:eastAsia="Garamond" w:hAnsi="Garamond"/>
          <w:color w:val="1C1C1C"/>
          <w:sz w:val="22"/>
          <w:szCs w:val="22"/>
        </w:rPr>
        <w:t xml:space="preserve">La recherche-création : l'enquête active par l'action plastique</w:t>
      </w:r>
    </w:p>
    <w:p>
      <w:pPr>
        <w:tabs>
          <w:tab w:val="left" w:pos="600"/>
        </w:tabs>
        <w:spacing w:before="60" w:after="60"/>
      </w:pPr>
      <w:r>
        <w:rPr>
          <w:rFonts w:ascii="Arial" w:cs="Arial" w:eastAsia="Arial" w:hAnsi="Arial"/>
          <w:b/>
          <w:bCs/>
          <w:color w:val="B5451B"/>
          <w:sz w:val="22"/>
          <w:szCs w:val="22"/>
        </w:rPr>
        <w:t xml:space="preserve">8.</w:t>
      </w:r>
      <w:r>
        <w:t xml:space="preserve">	</w:t>
      </w:r>
      <w:r>
        <w:rPr>
          <w:rFonts w:ascii="Garamond" w:cs="Garamond" w:eastAsia="Garamond" w:hAnsi="Garamond"/>
          <w:color w:val="1C1C1C"/>
          <w:sz w:val="22"/>
          <w:szCs w:val="22"/>
        </w:rPr>
        <w:t xml:space="preserve">Stratégie de partenariats et infiltration territoriale</w:t>
      </w:r>
    </w:p>
    <w:p>
      <w:pPr>
        <w:tabs>
          <w:tab w:val="left" w:pos="600"/>
        </w:tabs>
        <w:spacing w:before="60" w:after="60"/>
      </w:pPr>
      <w:r>
        <w:rPr>
          <w:rFonts w:ascii="Arial" w:cs="Arial" w:eastAsia="Arial" w:hAnsi="Arial"/>
          <w:b/>
          <w:bCs/>
          <w:color w:val="B5451B"/>
          <w:sz w:val="22"/>
          <w:szCs w:val="22"/>
        </w:rPr>
        <w:t xml:space="preserve">9.</w:t>
      </w:r>
      <w:r>
        <w:t xml:space="preserve">	</w:t>
      </w:r>
      <w:r>
        <w:rPr>
          <w:rFonts w:ascii="Garamond" w:cs="Garamond" w:eastAsia="Garamond" w:hAnsi="Garamond"/>
          <w:color w:val="1C1C1C"/>
          <w:sz w:val="22"/>
          <w:szCs w:val="22"/>
        </w:rPr>
        <w:t xml:space="preserve">Modèle d'évaluation : mesurer la capacité d'action</w:t>
      </w:r>
    </w:p>
    <w:p>
      <w:pPr>
        <w:tabs>
          <w:tab w:val="left" w:pos="600"/>
        </w:tabs>
        <w:spacing w:before="60" w:after="60"/>
      </w:pPr>
      <w:r>
        <w:rPr>
          <w:rFonts w:ascii="Arial" w:cs="Arial" w:eastAsia="Arial" w:hAnsi="Arial"/>
          <w:b/>
          <w:bCs/>
          <w:color w:val="B5451B"/>
          <w:sz w:val="22"/>
          <w:szCs w:val="22"/>
        </w:rPr>
        <w:t xml:space="preserve">10.</w:t>
      </w:r>
      <w:r>
        <w:t xml:space="preserve">	</w:t>
      </w:r>
      <w:r>
        <w:rPr>
          <w:rFonts w:ascii="Garamond" w:cs="Garamond" w:eastAsia="Garamond" w:hAnsi="Garamond"/>
          <w:color w:val="1C1C1C"/>
          <w:sz w:val="22"/>
          <w:szCs w:val="22"/>
        </w:rPr>
        <w:t xml:space="preserve">Projection pédagogique à 3 ans : L'atelier comme projet au long cours</w:t>
      </w:r>
    </w:p>
    <w:p>
      <w:r>
        <w:br w:type="page"/>
      </w:r>
    </w:p>
    <w:p>
      <w:pPr>
        <w:spacing w:before="160" w:after="80"/>
      </w:pPr>
      <w:r>
        <w:rPr>
          <w:rFonts w:ascii="Arial" w:cs="Arial" w:eastAsia="Arial" w:hAnsi="Arial"/>
          <w:b/>
          <w:bCs/>
          <w:color w:val="B5451B"/>
          <w:sz w:val="20"/>
          <w:szCs w:val="20"/>
        </w:rPr>
        <w:t xml:space="preserve">1.</w:t>
      </w:r>
    </w:p>
    <w:p>
      <w:pPr>
        <w:pBdr>
          <w:bottom w:val="single" w:color="B5451B" w:sz="6" w:space="4"/>
        </w:pBdr>
        <w:spacing w:before="0" w:after="160"/>
      </w:pPr>
      <w:r>
        <w:rPr>
          <w:rFonts w:ascii="Arial" w:cs="Arial" w:eastAsia="Arial" w:hAnsi="Arial"/>
          <w:b/>
          <w:bCs/>
          <w:color w:val="1C1C1C"/>
          <w:sz w:val="32"/>
          <w:szCs w:val="32"/>
        </w:rPr>
        <w:t xml:space="preserve">Introduction : Enseigner comme pratique artistique</w:t>
      </w:r>
    </w:p>
    <w:p>
      <w:pPr>
        <w:spacing w:before="0" w:after="80"/>
      </w:pPr>
    </w:p>
    <w:p>
      <w:pPr>
        <w:spacing w:before="0" w:after="160" w:line="276"/>
        <w:jc w:val="both"/>
      </w:pPr>
      <w:r>
        <w:rPr>
          <w:rFonts w:ascii="Garamond" w:cs="Garamond" w:eastAsia="Garamond" w:hAnsi="Garamond"/>
          <w:color w:val="1C1C1C"/>
          <w:sz w:val="22"/>
          <w:szCs w:val="22"/>
        </w:rPr>
        <w:t xml:space="preserve">Enseigner l'art constitue une extension directe de l'acte de création. La pédagogie opère comme une zone d'expérimentation concrète, un terrain d'action où la transmission des savoirs fusionne avec la production de formes. J'aborde la fonction d'enseignant depuis ma position de constructeur, de régisseur et de stratège. L'université devient un camp de base logistique, une plateforme d'activation pour déployer des situations artistiques tangibles. Le Master CARMA, avec son exigence de professionnalisation et de recherche-création, requiert cette immersion totale. J'y applique la méthodologie d'optimisation du « Minmaxing » : l'atelier se transforme en un écosystème de production. Les étudiant·es y affrontent la matière, la dynamique de groupe et l'économie avec l'intensité d'un chantier professionnel.</w:t>
      </w:r>
    </w:p>
    <w:p>
      <w:pPr>
        <w:spacing w:before="0" w:after="160" w:line="276"/>
        <w:jc w:val="both"/>
      </w:pPr>
      <w:r>
        <w:rPr>
          <w:rFonts w:ascii="Garamond" w:cs="Garamond" w:eastAsia="Garamond" w:hAnsi="Garamond"/>
          <w:color w:val="1C1C1C"/>
          <w:sz w:val="22"/>
          <w:szCs w:val="22"/>
        </w:rPr>
        <w:t xml:space="preserve">La formation artistique s'accomplit pleinement par la confrontation directe avec les réalités économiques et matérielles du monde contemporain. Ma méthode propulse immédiatement la recherche au cœur de cet environnement complexe. L'université fournit une infrastructure, des espaces, des budgets et une autorité institutionnelle que nous apprenons à investir et à optimiser. J'envisage l'institution et le territoire comme des matériaux plastiques malléables. Les étudiant·es expérimentent l'infiltration spatiale et contextuelle en s'organisant en agence de production nomade. Nous utilisons les bâtiments universitaires, les centres d'art partenaires ou les zones commerciales environnantes comme des espaces d'exposition à l'échelle 1. Le projet Intermartché, réalisé dans les allées d'une grande surface en utilisant des chariots de courses comme architecture, illustre cette capacité à investir des espaces normés pour y faire exister des dispositifs plastiques audacieux.</w:t>
      </w:r>
    </w:p>
    <w:p>
      <w:pPr>
        <w:spacing w:before="0" w:after="160" w:line="276"/>
        <w:jc w:val="both"/>
      </w:pPr>
      <w:r>
        <w:rPr>
          <w:rFonts w:ascii="Garamond" w:cs="Garamond" w:eastAsia="Garamond" w:hAnsi="Garamond"/>
          <w:color w:val="1C1C1C"/>
          <w:sz w:val="22"/>
          <w:szCs w:val="22"/>
        </w:rPr>
        <w:t xml:space="preserve">J'accompagne les promotions dans la conquête de ces territoires. Ils apprennent à négocier avec des directions techniques, à analyser les rouages de l'administration culturelle et à implanter leurs œuvres avec la précision d'une opération d'ingénierie physique. La situation artistique surgit de cette friction directe avec l'espace public, commercial et institutionnel. Cet apprentissage forge des plasticien·nes capables de fédérer des énergies et de s'implanter solidement dans le réseau de l'art. L'école se mue ainsi en un sas de lancement vers l'acquisition d'une souveraineté professionnelle, technique et administrative absolue.</w:t>
      </w:r>
    </w:p>
    <w:p>
      <w:pPr>
        <w:spacing w:before="0" w:after="160" w:line="276"/>
        <w:jc w:val="both"/>
      </w:pPr>
      <w:r>
        <w:rPr>
          <w:rFonts w:ascii="Garamond" w:cs="Garamond" w:eastAsia="Garamond" w:hAnsi="Garamond"/>
          <w:color w:val="1C1C1C"/>
          <w:sz w:val="22"/>
          <w:szCs w:val="22"/>
        </w:rPr>
        <w:t xml:space="preserve">L'approche actualise les enjeux de la critique institutionnelle contemporaine. L'infiltration spatiale des espaces d'accueil normés propose une réappropriation logistique de l'infrastructure académique ou muséale. L'institution cesse d'être un simple réceptacle pour devenir un matériau d'ingénierie physique directement activable par l'agence de production nomade.</w:t>
      </w:r>
    </w:p>
    <w:p>
      <w:pPr>
        <w:spacing w:before="0" w:after="200"/>
      </w:pPr>
    </w:p>
    <w:p>
      <w:pPr>
        <w:spacing w:before="160" w:after="80"/>
      </w:pPr>
      <w:r>
        <w:rPr>
          <w:rFonts w:ascii="Arial" w:cs="Arial" w:eastAsia="Arial" w:hAnsi="Arial"/>
          <w:b/>
          <w:bCs/>
          <w:color w:val="B5451B"/>
          <w:sz w:val="20"/>
          <w:szCs w:val="20"/>
        </w:rPr>
        <w:t xml:space="preserve">2.</w:t>
      </w:r>
    </w:p>
    <w:p>
      <w:pPr>
        <w:pBdr>
          <w:bottom w:val="single" w:color="B5451B" w:sz="6" w:space="4"/>
        </w:pBdr>
        <w:spacing w:before="0" w:after="160"/>
      </w:pPr>
      <w:r>
        <w:rPr>
          <w:rFonts w:ascii="Arial" w:cs="Arial" w:eastAsia="Arial" w:hAnsi="Arial"/>
          <w:b/>
          <w:bCs/>
          <w:color w:val="1C1C1C"/>
          <w:sz w:val="32"/>
          <w:szCs w:val="32"/>
        </w:rPr>
        <w:t xml:space="preserve">Positionnement pédagogique : de la matière à la résolution scénographique</w:t>
      </w:r>
    </w:p>
    <w:p>
      <w:pPr>
        <w:spacing w:before="0" w:after="80"/>
      </w:pPr>
    </w:p>
    <w:p>
      <w:pPr>
        <w:spacing w:before="0" w:after="160" w:line="276"/>
        <w:jc w:val="both"/>
      </w:pPr>
      <w:r>
        <w:rPr>
          <w:rFonts w:ascii="Garamond" w:cs="Garamond" w:eastAsia="Garamond" w:hAnsi="Garamond"/>
          <w:color w:val="1C1C1C"/>
          <w:sz w:val="22"/>
          <w:szCs w:val="22"/>
        </w:rPr>
        <w:t xml:space="preserve">L'enseignement de la création contemporaine exige d'aborder frontalement les réalités matérielles, logistiques et économiques du métier d'artiste. Mon positionnement pédagogique repose sur un principe d'action directe : l'art se fabrique en prise avec le monde, ses contraintes et ses flux. J'incarne une posture de constructeur, de régisseur et de stratège agissant sur le terrain. J'ai structuré ma pratique autour de la stratégie d'optimisation du « Minmaxing », convertissant les obstacles matériels en puissants leviers de production. Je transmets cette friction avec le réel aux étudiant·es pour les accompagner vers l'acquisition d'une souveraineté technique et professionnelle absolue.</w:t>
      </w:r>
    </w:p>
    <w:p>
      <w:pPr>
        <w:spacing w:before="0" w:after="160" w:line="276"/>
        <w:jc w:val="both"/>
      </w:pPr>
      <w:r>
        <w:rPr>
          <w:rFonts w:ascii="Garamond" w:cs="Garamond" w:eastAsia="Garamond" w:hAnsi="Garamond"/>
          <w:color w:val="1C1C1C"/>
          <w:sz w:val="22"/>
          <w:szCs w:val="22"/>
        </w:rPr>
        <w:t xml:space="preserve">La pensée conceptuelle exige un ancrage dans une réalité physique intransigeante. La première dimension de mon enseignement valorise l'expérimentation concrète de l'espace et de la matière. Les étudiant·es en cycle Master possèdent déjà une recherche plastique affirmée. Le défi pédagogique consiste à traduire leurs concepts en dispositifs physiques tangibles et viables. J'aborde la régie d'exposition par le prisme de l'ingénierie. Fort de mon expérience de charpentier et d'assistant au montage de sculptures monumentales pour Tadashi Kawamata, je transforme l'espace de l'atelier en un chantier d'apprentissage intensif.</w:t>
      </w:r>
    </w:p>
    <w:p>
      <w:pPr>
        <w:spacing w:before="0" w:after="160" w:line="276"/>
        <w:jc w:val="both"/>
      </w:pPr>
      <w:r>
        <w:rPr>
          <w:rFonts w:ascii="Garamond" w:cs="Garamond" w:eastAsia="Garamond" w:hAnsi="Garamond"/>
          <w:color w:val="1C1C1C"/>
          <w:sz w:val="22"/>
          <w:szCs w:val="22"/>
        </w:rPr>
        <w:t xml:space="preserve">L'apprentissage passe par la manipulation experte de l'outillage électroportatif, la compréhension des lignes de charge, le travail en hauteur et l'assemblage de structures complexes. Les étudiant·es affrontent la gravité, anticipent les contraintes de poids et sécurisent leurs dispositifs. Nous dépassons l'accrochage frontal du cube blanc conventionnel pour concevoir la scénographie comme une architecture d'accueil. Ma méthode établit le pont entre l'intention de l'œuvre et la réalité des matériaux. Je cherche avec eux des solutions d'ingénierie sur-mesure, en réemployant des matériaux bruts et en concevant la scénographie comme une extension active de leur recherche.</w:t>
      </w:r>
    </w:p>
    <w:p>
      <w:pPr>
        <w:spacing w:before="0" w:after="160" w:line="276"/>
        <w:jc w:val="both"/>
      </w:pPr>
      <w:r>
        <w:rPr>
          <w:rFonts w:ascii="Garamond" w:cs="Garamond" w:eastAsia="Garamond" w:hAnsi="Garamond"/>
          <w:color w:val="1C1C1C"/>
          <w:sz w:val="22"/>
          <w:szCs w:val="22"/>
        </w:rPr>
        <w:t xml:space="preserve">Les œuvres deviennent des modules activables, interactifs et poreux. La construction du flipper grandeur nature avec le collectif Cosmos Merguez démontre cette ambition d'une sculpture pratiquée par le corps et intégrée à une économie de la participation. J'enseigne cette autonomie technique absolue. Les jeunes artistes acquièrent la capacité de forger des objets résistants, capables de tenir l'espace et d'imposer leur présence matérielle avec autorité face aux équipes de régie des lieux de diffusion.</w:t>
      </w:r>
    </w:p>
    <w:p>
      <w:pPr>
        <w:spacing w:before="0" w:after="200"/>
      </w:pPr>
    </w:p>
    <w:p>
      <w:pPr>
        <w:spacing w:before="160" w:after="80"/>
      </w:pPr>
      <w:r>
        <w:rPr>
          <w:rFonts w:ascii="Arial" w:cs="Arial" w:eastAsia="Arial" w:hAnsi="Arial"/>
          <w:b/>
          <w:bCs/>
          <w:color w:val="B5451B"/>
          <w:sz w:val="20"/>
          <w:szCs w:val="20"/>
        </w:rPr>
        <w:t xml:space="preserve">3.</w:t>
      </w:r>
    </w:p>
    <w:p>
      <w:pPr>
        <w:pBdr>
          <w:bottom w:val="single" w:color="B5451B" w:sz="6" w:space="4"/>
        </w:pBdr>
        <w:spacing w:before="0" w:after="160"/>
      </w:pPr>
      <w:r>
        <w:rPr>
          <w:rFonts w:ascii="Arial" w:cs="Arial" w:eastAsia="Arial" w:hAnsi="Arial"/>
          <w:b/>
          <w:bCs/>
          <w:color w:val="1C1C1C"/>
          <w:sz w:val="32"/>
          <w:szCs w:val="32"/>
        </w:rPr>
        <w:t xml:space="preserve">L'économie comme matériau plastique : la stratégie du Minmaxing</w:t>
      </w:r>
    </w:p>
    <w:p>
      <w:pPr>
        <w:spacing w:before="0" w:after="80"/>
      </w:pPr>
    </w:p>
    <w:p>
      <w:pPr>
        <w:spacing w:before="0" w:after="160" w:line="276"/>
        <w:jc w:val="both"/>
      </w:pPr>
      <w:r>
        <w:rPr>
          <w:rFonts w:ascii="Garamond" w:cs="Garamond" w:eastAsia="Garamond" w:hAnsi="Garamond"/>
          <w:color w:val="1C1C1C"/>
          <w:sz w:val="22"/>
          <w:szCs w:val="22"/>
        </w:rPr>
        <w:t xml:space="preserve">La souveraineté d'un artiste s'acquiert par une maîtrise comptable et administrative absolue. Je place l'économie au centre du processus de création. Ce second axe de mon positionnement pédagogique intègre les rouages financiers comme un matériau malléable à part entière. La professionnalisation, exigence centrale du Master CARMA, implique la compréhension totale du système dans lequel l'œuvre va circuler.</w:t>
      </w:r>
    </w:p>
    <w:p>
      <w:pPr>
        <w:spacing w:before="0" w:after="160" w:line="276"/>
        <w:jc w:val="both"/>
      </w:pPr>
      <w:r>
        <w:rPr>
          <w:rFonts w:ascii="Garamond" w:cs="Garamond" w:eastAsia="Garamond" w:hAnsi="Garamond"/>
          <w:color w:val="1C1C1C"/>
          <w:sz w:val="22"/>
          <w:szCs w:val="22"/>
        </w:rPr>
        <w:t xml:space="preserve">J'applique et je transmets la stratégie du « Minmaxing », un principe d'optimisation convertissant les contraintes financières et les temps de latence en puissants leviers de production. Les étudiant·es apprennent à générer leur économie de toutes pièces. Nous transformons la raréfaction des moyens en une opportunité de spéculation autogérée. J'enseigne l'art d'utiliser la complexité budgétaire pour en faire un moteur créatif redoutable.</w:t>
      </w:r>
    </w:p>
    <w:p>
      <w:pPr>
        <w:spacing w:before="0" w:after="160" w:line="276"/>
        <w:jc w:val="both"/>
      </w:pPr>
      <w:r>
        <w:rPr>
          <w:rFonts w:ascii="Garamond" w:cs="Garamond" w:eastAsia="Garamond" w:hAnsi="Garamond"/>
          <w:color w:val="1C1C1C"/>
          <w:sz w:val="22"/>
          <w:szCs w:val="22"/>
        </w:rPr>
        <w:t xml:space="preserve">La série Faux-fric et l'édition Claude Monnaie démontrent l'efficacité de cette méthode : la création de chéquiers dessinés et de monnaies alternatives permet d'acquérir des services, des compétences ou du matériel logistique par le biais d'un troc organisé. J'enseigne l'invention de ces circuits d'échange alternatifs conjointement à la maîtrise des rouages de l'administration culturelle classique. Cette approche passe par une transmission très pragmatique : budgétiser une exposition de A à Z, analyser un contrat de cession de droits, formuler une demande d'Aide Individuelle à la Création (AIC) ou remporter une bourse de production régionale.</w:t>
      </w:r>
    </w:p>
    <w:p>
      <w:pPr>
        <w:spacing w:before="0" w:after="160" w:line="276"/>
        <w:jc w:val="both"/>
      </w:pPr>
      <w:r>
        <w:rPr>
          <w:rFonts w:ascii="Garamond" w:cs="Garamond" w:eastAsia="Garamond" w:hAnsi="Garamond"/>
          <w:color w:val="1C1C1C"/>
          <w:sz w:val="22"/>
          <w:szCs w:val="22"/>
        </w:rPr>
        <w:t xml:space="preserve">Ma formation « Profession artiste » au BBB centre d'art a consolidé des outils administratifs performants (tableurs de gestion complexes, rétroplannings) que je mets directement à leur disposition. Les jeunes artistes acquièrent une ingéniosité économique redoutable et maîtrisent la création de valeur. Cette compétence garantit le développement exponentiel de leurs projets dès la sortie du diplôme. L'objectif vise l'acquisition d'une souveraineté professionnelle, technique et administrative absolue, forgeant des plasticien·nes capables de générer une économie autonome à travers les réseaux institutionnels et les circuits d'échange proactifs.</w:t>
      </w:r>
    </w:p>
    <w:p>
      <w:pPr>
        <w:spacing w:before="0" w:after="200"/>
      </w:pPr>
    </w:p>
    <w:p>
      <w:pPr>
        <w:spacing w:before="160" w:after="80"/>
      </w:pPr>
      <w:r>
        <w:rPr>
          <w:rFonts w:ascii="Arial" w:cs="Arial" w:eastAsia="Arial" w:hAnsi="Arial"/>
          <w:b/>
          <w:bCs/>
          <w:color w:val="B5451B"/>
          <w:sz w:val="20"/>
          <w:szCs w:val="20"/>
        </w:rPr>
        <w:t xml:space="preserve">4.</w:t>
      </w:r>
    </w:p>
    <w:p>
      <w:pPr>
        <w:pBdr>
          <w:bottom w:val="single" w:color="B5451B" w:sz="6" w:space="4"/>
        </w:pBdr>
        <w:spacing w:before="0" w:after="160"/>
      </w:pPr>
      <w:r>
        <w:rPr>
          <w:rFonts w:ascii="Arial" w:cs="Arial" w:eastAsia="Arial" w:hAnsi="Arial"/>
          <w:b/>
          <w:bCs/>
          <w:color w:val="1C1C1C"/>
          <w:sz w:val="32"/>
          <w:szCs w:val="32"/>
        </w:rPr>
        <w:t xml:space="preserve">Protocole d'atelier : l'espace de Master comme dispositif d'action collectif</w:t>
      </w:r>
    </w:p>
    <w:p>
      <w:pPr>
        <w:spacing w:before="0" w:after="80"/>
      </w:pPr>
    </w:p>
    <w:p>
      <w:pPr>
        <w:spacing w:before="0" w:after="160" w:line="276"/>
        <w:jc w:val="both"/>
      </w:pPr>
      <w:r>
        <w:rPr>
          <w:rFonts w:ascii="Garamond" w:cs="Garamond" w:eastAsia="Garamond" w:hAnsi="Garamond"/>
          <w:color w:val="1C1C1C"/>
          <w:sz w:val="22"/>
          <w:szCs w:val="22"/>
        </w:rPr>
        <w:t xml:space="preserve">L'atelier de Master fonctionne comme une plateforme d'activation et un camp de base logistique. Le cadre pédagogique constitue en lui-même un dispositif plastique évolutif. Le semestre d'enseignement se structure comme un protocole d'action où la transmission des savoirs opère par l'immersion totale dans un processus de production collective en temps réel.</w:t>
      </w:r>
    </w:p>
    <w:p>
      <w:pPr>
        <w:spacing w:before="220" w:after="80"/>
      </w:pPr>
      <w:r>
        <w:rPr>
          <w:rFonts w:ascii="Arial" w:cs="Arial" w:eastAsia="Arial" w:hAnsi="Arial"/>
          <w:b/>
          <w:bCs/>
          <w:color w:val="B5451B"/>
          <w:sz w:val="22"/>
          <w:szCs w:val="22"/>
        </w:rPr>
        <w:t xml:space="preserve">Les étudiant·es comme opérateurs d'une agence nomade</w:t>
      </w:r>
    </w:p>
    <w:p>
      <w:pPr>
        <w:spacing w:before="0" w:after="160" w:line="276"/>
        <w:jc w:val="both"/>
      </w:pPr>
      <w:r>
        <w:rPr>
          <w:rFonts w:ascii="Garamond" w:cs="Garamond" w:eastAsia="Garamond" w:hAnsi="Garamond"/>
          <w:color w:val="1C1C1C"/>
          <w:sz w:val="22"/>
          <w:szCs w:val="22"/>
        </w:rPr>
        <w:t xml:space="preserve">Le protocole abolit la posture d'observation. Les étudiant·es intègrent le dispositif en s'organisant en agence de production nomade, calquée sur les mécaniques d'entités collaboratives comme Cosmos Merguez ou Pôle-fromage. Ils s'emparent des rôles stratégiques : direction technique, administration budgétaire, médiation et commissariat. Le groupe forme un écosystème interdépendant voué à l'infiltration institutionnelle. La validation du cursus passe par l'engagement physique et intellectuel au sein de cette machine collective. L'intelligence du groupe supplante l'individualité pour générer une force de frappe capable de déployer des expositions grandeur nature.</w:t>
      </w:r>
    </w:p>
    <w:p>
      <w:pPr>
        <w:spacing w:before="220" w:after="80"/>
      </w:pPr>
      <w:r>
        <w:rPr>
          <w:rFonts w:ascii="Arial" w:cs="Arial" w:eastAsia="Arial" w:hAnsi="Arial"/>
          <w:b/>
          <w:bCs/>
          <w:color w:val="B5451B"/>
          <w:sz w:val="22"/>
          <w:szCs w:val="22"/>
        </w:rPr>
        <w:t xml:space="preserve">Le traitement de l'imprévu par l'optimisation</w:t>
      </w:r>
    </w:p>
    <w:p>
      <w:pPr>
        <w:spacing w:before="0" w:after="160" w:line="276"/>
        <w:jc w:val="both"/>
      </w:pPr>
      <w:r>
        <w:rPr>
          <w:rFonts w:ascii="Garamond" w:cs="Garamond" w:eastAsia="Garamond" w:hAnsi="Garamond"/>
          <w:color w:val="1C1C1C"/>
          <w:sz w:val="22"/>
          <w:szCs w:val="22"/>
        </w:rPr>
        <w:t xml:space="preserve">Le dispositif intègre l'accident et la contrainte spatiale ou financière comme matériaux de base. L'application de la stratégie d'optimisation du « Minmaxing » convertit ces obstacles en puissants leviers de production. Les coupes budgétaires, les retards logistiques ou les impératifs de sécurité alimentent la machine. Les étudiant·es absorbent ces chocs et les résolvent par l'ingénierie physique. La raréfaction des ressources déclenche l'invention de circuits d'échange alternatifs pour générer une économie autonome.</w:t>
      </w:r>
    </w:p>
    <w:p>
      <w:pPr>
        <w:spacing w:before="220" w:after="80"/>
      </w:pPr>
      <w:r>
        <w:rPr>
          <w:rFonts w:ascii="Arial" w:cs="Arial" w:eastAsia="Arial" w:hAnsi="Arial"/>
          <w:b/>
          <w:bCs/>
          <w:color w:val="B5451B"/>
          <w:sz w:val="22"/>
          <w:szCs w:val="22"/>
        </w:rPr>
        <w:t xml:space="preserve">La dynamique du chantier et l'effort massifié</w:t>
      </w:r>
    </w:p>
    <w:p>
      <w:pPr>
        <w:spacing w:before="0" w:after="160" w:line="276"/>
        <w:jc w:val="both"/>
      </w:pPr>
      <w:r>
        <w:rPr>
          <w:rFonts w:ascii="Garamond" w:cs="Garamond" w:eastAsia="Garamond" w:hAnsi="Garamond"/>
          <w:color w:val="1C1C1C"/>
          <w:sz w:val="22"/>
          <w:szCs w:val="22"/>
        </w:rPr>
        <w:t xml:space="preserve">L'ambition conceptuelle s'incarne par l'action matérielle. L'espace de l'université se transforme en zone de chantier intensif. Le protocole exige une confrontation directe avec la matière brute, la gravité et l'outillage électroportatif. Les étudiant·es mutualisent leur énergie pour le levage des structures lourdes, la construction des habitacles ou l'adaptation aux espaces d'accueil atypiques. La coordination d'une main-d'œuvre massive, similaire à la mobilisation de 250 personnes pour l'excavation et la cuisson in situ de la tranchée géologique de La faille, démontre la puissance esthétique de l'effort massifié.</w:t>
      </w:r>
    </w:p>
    <w:p>
      <w:pPr>
        <w:spacing w:before="220" w:after="80"/>
      </w:pPr>
      <w:r>
        <w:rPr>
          <w:rFonts w:ascii="Arial" w:cs="Arial" w:eastAsia="Arial" w:hAnsi="Arial"/>
          <w:b/>
          <w:bCs/>
          <w:color w:val="B5451B"/>
          <w:sz w:val="22"/>
          <w:szCs w:val="22"/>
        </w:rPr>
        <w:t xml:space="preserve">L'exposition comme résolution et impact territorial</w:t>
      </w:r>
    </w:p>
    <w:p>
      <w:pPr>
        <w:spacing w:before="0" w:after="160" w:line="276"/>
        <w:jc w:val="both"/>
      </w:pPr>
      <w:r>
        <w:rPr>
          <w:rFonts w:ascii="Garamond" w:cs="Garamond" w:eastAsia="Garamond" w:hAnsi="Garamond"/>
          <w:color w:val="1C1C1C"/>
          <w:sz w:val="22"/>
          <w:szCs w:val="22"/>
        </w:rPr>
        <w:t xml:space="preserve">Le protocole trouve sa résolution dans le déploiement de l'exposition publique. Ce moment de monstration agit comme une confrontation directe avec la société. La scénographie s'affirme comme une architecture d'accueil, un environnement immersif conçu pour générer des interactions physiques et impacter le territoire. L'événement vernissage déclenche la captation documentaire et clôture le cycle de production. L'université livre ainsi une situation artistique tangible, générée par la rigueur du dispositif, l'ingénierie collective et l'engagement radical de ses co-acteurs.</w:t>
      </w:r>
    </w:p>
    <w:p>
      <w:pPr>
        <w:spacing w:before="0" w:after="200"/>
      </w:pPr>
    </w:p>
    <w:p>
      <w:pPr>
        <w:spacing w:before="160" w:after="80"/>
      </w:pPr>
      <w:r>
        <w:rPr>
          <w:rFonts w:ascii="Arial" w:cs="Arial" w:eastAsia="Arial" w:hAnsi="Arial"/>
          <w:b/>
          <w:bCs/>
          <w:color w:val="B5451B"/>
          <w:sz w:val="20"/>
          <w:szCs w:val="20"/>
        </w:rPr>
        <w:t xml:space="preserve">5.</w:t>
      </w:r>
    </w:p>
    <w:p>
      <w:pPr>
        <w:pBdr>
          <w:bottom w:val="single" w:color="B5451B" w:sz="6" w:space="4"/>
        </w:pBdr>
        <w:spacing w:before="0" w:after="160"/>
      </w:pPr>
      <w:r>
        <w:rPr>
          <w:rFonts w:ascii="Arial" w:cs="Arial" w:eastAsia="Arial" w:hAnsi="Arial"/>
          <w:b/>
          <w:bCs/>
          <w:color w:val="1C1C1C"/>
          <w:sz w:val="32"/>
          <w:szCs w:val="32"/>
        </w:rPr>
        <w:t xml:space="preserve">Syllabus détaillé : Planning pédagogique de production sur 12 semaines</w:t>
      </w:r>
    </w:p>
    <w:p>
      <w:pPr>
        <w:spacing w:before="0" w:after="80"/>
      </w:pPr>
    </w:p>
    <w:p>
      <w:pPr>
        <w:spacing w:before="0" w:after="240"/>
        <w:jc w:val="both"/>
      </w:pPr>
      <w:r>
        <w:rPr>
          <w:rFonts w:ascii="Garamond" w:cs="Garamond" w:eastAsia="Garamond" w:hAnsi="Garamond"/>
          <w:color w:val="1C1C1C"/>
          <w:sz w:val="22"/>
          <w:szCs w:val="22"/>
        </w:rPr>
        <w:t xml:space="preserve">Ce planning structure l'évolution du chantier de production, transformant l'atelier en un camp de base logistique et artistique intense sur un semestre complet. Ce format s'applique à l'Atelier Création-Exposition pour forger la souveraineté professionnelle des étudiant·es.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none"/>
              <w:left w:val="none"/>
              <w:bottom w:val="none"/>
              <w:right w:val="none"/>
            </w:tcBorders>
            <w:shd w:fill="B5451B" w:val="clear"/>
            <w:tcMar>
              <w:top w:type="dxa" w:w="80"/>
              <w:left w:type="dxa" w:w="120"/>
              <w:bottom w:type="dxa" w:w="80"/>
              <w:right w:type="dxa" w:w="120"/>
            </w:tcMar>
          </w:tcPr>
          <w:p>
            <w:r>
              <w:rPr>
                <w:rFonts w:ascii="Arial" w:cs="Arial" w:eastAsia="Arial" w:hAnsi="Arial"/>
                <w:b/>
                <w:bCs/>
                <w:color w:val="FFFFFF"/>
                <w:sz w:val="18"/>
                <w:szCs w:val="18"/>
              </w:rPr>
              <w:t xml:space="preserve">Semaine</w:t>
            </w:r>
          </w:p>
        </w:tc>
        <w:tc>
          <w:tcPr>
            <w:tcW w:type="dxa" w:w="2800"/>
            <w:tcBorders>
              <w:top w:val="none"/>
              <w:left w:val="none"/>
              <w:bottom w:val="none"/>
              <w:right w:val="none"/>
            </w:tcBorders>
            <w:shd w:fill="B5451B" w:val="clear"/>
            <w:tcMar>
              <w:top w:type="dxa" w:w="80"/>
              <w:left w:type="dxa" w:w="120"/>
              <w:bottom w:type="dxa" w:w="80"/>
              <w:right w:type="dxa" w:w="120"/>
            </w:tcMar>
          </w:tcPr>
          <w:p>
            <w:r>
              <w:rPr>
                <w:rFonts w:ascii="Arial" w:cs="Arial" w:eastAsia="Arial" w:hAnsi="Arial"/>
                <w:b/>
                <w:bCs/>
                <w:color w:val="FFFFFF"/>
                <w:sz w:val="18"/>
                <w:szCs w:val="18"/>
              </w:rPr>
              <w:t xml:space="preserve">Thème</w:t>
            </w:r>
          </w:p>
        </w:tc>
        <w:tc>
          <w:tcPr>
            <w:tcW w:type="dxa" w:w="5160"/>
            <w:tcBorders>
              <w:top w:val="none"/>
              <w:left w:val="none"/>
              <w:bottom w:val="none"/>
              <w:right w:val="none"/>
            </w:tcBorders>
            <w:shd w:fill="B5451B" w:val="clear"/>
            <w:tcMar>
              <w:top w:type="dxa" w:w="80"/>
              <w:left w:type="dxa" w:w="120"/>
              <w:bottom w:type="dxa" w:w="80"/>
              <w:right w:type="dxa" w:w="120"/>
            </w:tcMar>
          </w:tcPr>
          <w:p>
            <w:r>
              <w:rPr>
                <w:rFonts w:ascii="Arial" w:cs="Arial" w:eastAsia="Arial" w:hAnsi="Arial"/>
                <w:b/>
                <w:bCs/>
                <w:color w:val="FFFFFF"/>
                <w:sz w:val="18"/>
                <w:szCs w:val="18"/>
              </w:rPr>
              <w:t xml:space="preserve">Contenu</w:t>
            </w:r>
          </w:p>
        </w:tc>
      </w:tr>
      <w:tr>
        <w:tc>
          <w:tcPr>
            <w:tcW w:type="dxa" w:w="1400"/>
            <w:tcBorders>
              <w:top w:val="single" w:color="D9C9BE" w:sz="1"/>
              <w:left w:val="none"/>
              <w:bottom w:val="single" w:color="D9C9BE" w:sz="1"/>
              <w:right w:val="none"/>
            </w:tcBorders>
            <w:shd w:fill="FFFFFF"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Semaine 1</w:t>
            </w:r>
          </w:p>
        </w:tc>
        <w:tc>
          <w:tcPr>
            <w:tcW w:type="dxa" w:w="2800"/>
            <w:tcBorders>
              <w:top w:val="single" w:color="D9C9BE" w:sz="1"/>
              <w:left w:val="none"/>
              <w:bottom w:val="single" w:color="D9C9BE" w:sz="1"/>
              <w:right w:val="none"/>
            </w:tcBorders>
            <w:shd w:fill="FFFFFF"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Immersion, diagnostic spatial et logique du Minmaxing</w:t>
            </w:r>
          </w:p>
        </w:tc>
        <w:tc>
          <w:tcPr>
            <w:tcW w:type="dxa" w:w="5160"/>
            <w:tcBorders>
              <w:top w:val="single" w:color="D9C9BE" w:sz="1"/>
              <w:left w:val="none"/>
              <w:bottom w:val="single" w:color="D9C9BE" w:sz="1"/>
              <w:right w:val="none"/>
            </w:tcBorders>
            <w:shd w:fill="FFFFFF" w:val="clear"/>
            <w:tcMar>
              <w:top w:type="dxa" w:w="80"/>
              <w:left w:type="dxa" w:w="120"/>
              <w:bottom w:type="dxa" w:w="80"/>
              <w:right w:type="dxa" w:w="120"/>
            </w:tcMar>
          </w:tcPr>
          <w:p>
            <w:pPr>
              <w:spacing w:line="260"/>
              <w:jc w:val="both"/>
            </w:pPr>
            <w:r>
              <w:rPr>
                <w:rFonts w:ascii="Garamond" w:cs="Garamond" w:eastAsia="Garamond" w:hAnsi="Garamond"/>
                <w:b w:val="false"/>
                <w:bCs w:val="false"/>
                <w:color w:val="1C1C1C"/>
                <w:sz w:val="20"/>
                <w:szCs w:val="20"/>
              </w:rPr>
              <w:t xml:space="preserve">Cartographie structurelle du lieu d'exposition (CIAM ou partenaire externe). Relevé des contraintes physiques, inventaire des matériaux de réemploi, budgétisation. Définition de l'échelle de l'exposition.</w:t>
            </w:r>
          </w:p>
        </w:tc>
      </w:tr>
      <w:tr>
        <w:tc>
          <w:tcPr>
            <w:tcW w:type="dxa" w:w="1400"/>
            <w:tcBorders>
              <w:top w:val="single" w:color="D9C9BE" w:sz="1"/>
              <w:left w:val="none"/>
              <w:bottom w:val="single" w:color="D9C9BE" w:sz="1"/>
              <w:right w:val="none"/>
            </w:tcBorders>
            <w:shd w:fill="F5F0EB"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Semaine 2</w:t>
            </w:r>
          </w:p>
        </w:tc>
        <w:tc>
          <w:tcPr>
            <w:tcW w:type="dxa" w:w="2800"/>
            <w:tcBorders>
              <w:top w:val="single" w:color="D9C9BE" w:sz="1"/>
              <w:left w:val="none"/>
              <w:bottom w:val="single" w:color="D9C9BE" w:sz="1"/>
              <w:right w:val="none"/>
            </w:tcBorders>
            <w:shd w:fill="F5F0EB"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Structuration de l'agence de production nomade</w:t>
            </w:r>
          </w:p>
        </w:tc>
        <w:tc>
          <w:tcPr>
            <w:tcW w:type="dxa" w:w="5160"/>
            <w:tcBorders>
              <w:top w:val="single" w:color="D9C9BE" w:sz="1"/>
              <w:left w:val="none"/>
              <w:bottom w:val="single" w:color="D9C9BE" w:sz="1"/>
              <w:right w:val="none"/>
            </w:tcBorders>
            <w:shd w:fill="F5F0EB" w:val="clear"/>
            <w:tcMar>
              <w:top w:type="dxa" w:w="80"/>
              <w:left w:type="dxa" w:w="120"/>
              <w:bottom w:type="dxa" w:w="80"/>
              <w:right w:type="dxa" w:w="120"/>
            </w:tcMar>
          </w:tcPr>
          <w:p>
            <w:pPr>
              <w:spacing w:line="260"/>
              <w:jc w:val="both"/>
            </w:pPr>
            <w:r>
              <w:rPr>
                <w:rFonts w:ascii="Garamond" w:cs="Garamond" w:eastAsia="Garamond" w:hAnsi="Garamond"/>
                <w:b w:val="false"/>
                <w:bCs w:val="false"/>
                <w:color w:val="1C1C1C"/>
                <w:sz w:val="20"/>
                <w:szCs w:val="20"/>
              </w:rPr>
              <w:t xml:space="preserve">Répartition des responsabilités : régie générale, direction technique, administration budgétaire, commissariat. Création des tableurs de suivi et du rétroplanning.</w:t>
            </w:r>
          </w:p>
        </w:tc>
      </w:tr>
      <w:tr>
        <w:tc>
          <w:tcPr>
            <w:tcW w:type="dxa" w:w="1400"/>
            <w:tcBorders>
              <w:top w:val="single" w:color="D9C9BE" w:sz="1"/>
              <w:left w:val="none"/>
              <w:bottom w:val="single" w:color="D9C9BE" w:sz="1"/>
              <w:right w:val="none"/>
            </w:tcBorders>
            <w:shd w:fill="FFFFFF"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Semaine 3</w:t>
            </w:r>
          </w:p>
        </w:tc>
        <w:tc>
          <w:tcPr>
            <w:tcW w:type="dxa" w:w="2800"/>
            <w:tcBorders>
              <w:top w:val="single" w:color="D9C9BE" w:sz="1"/>
              <w:left w:val="none"/>
              <w:bottom w:val="single" w:color="D9C9BE" w:sz="1"/>
              <w:right w:val="none"/>
            </w:tcBorders>
            <w:shd w:fill="FFFFFF"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Scénographie et ingénierie physique</w:t>
            </w:r>
          </w:p>
        </w:tc>
        <w:tc>
          <w:tcPr>
            <w:tcW w:type="dxa" w:w="5160"/>
            <w:tcBorders>
              <w:top w:val="single" w:color="D9C9BE" w:sz="1"/>
              <w:left w:val="none"/>
              <w:bottom w:val="single" w:color="D9C9BE" w:sz="1"/>
              <w:right w:val="none"/>
            </w:tcBorders>
            <w:shd w:fill="FFFFFF" w:val="clear"/>
            <w:tcMar>
              <w:top w:type="dxa" w:w="80"/>
              <w:left w:type="dxa" w:w="120"/>
              <w:bottom w:type="dxa" w:w="80"/>
              <w:right w:type="dxa" w:w="120"/>
            </w:tcMar>
          </w:tcPr>
          <w:p>
            <w:pPr>
              <w:spacing w:line="260"/>
              <w:jc w:val="both"/>
            </w:pPr>
            <w:r>
              <w:rPr>
                <w:rFonts w:ascii="Garamond" w:cs="Garamond" w:eastAsia="Garamond" w:hAnsi="Garamond"/>
                <w:b w:val="false"/>
                <w:bCs w:val="false"/>
                <w:color w:val="1C1C1C"/>
                <w:sz w:val="20"/>
                <w:szCs w:val="20"/>
              </w:rPr>
              <w:t xml:space="preserve">Modélisation à l'échelle de l'espace d'accueil. Conception des modules scénographiques. Validation des plans de circulation et anticipation des flux.</w:t>
            </w:r>
          </w:p>
        </w:tc>
      </w:tr>
      <w:tr>
        <w:tc>
          <w:tcPr>
            <w:tcW w:type="dxa" w:w="1400"/>
            <w:tcBorders>
              <w:top w:val="single" w:color="D9C9BE" w:sz="1"/>
              <w:left w:val="none"/>
              <w:bottom w:val="single" w:color="D9C9BE" w:sz="1"/>
              <w:right w:val="none"/>
            </w:tcBorders>
            <w:shd w:fill="F5F0EB"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Semaine 4</w:t>
            </w:r>
          </w:p>
        </w:tc>
        <w:tc>
          <w:tcPr>
            <w:tcW w:type="dxa" w:w="2800"/>
            <w:tcBorders>
              <w:top w:val="single" w:color="D9C9BE" w:sz="1"/>
              <w:left w:val="none"/>
              <w:bottom w:val="single" w:color="D9C9BE" w:sz="1"/>
              <w:right w:val="none"/>
            </w:tcBorders>
            <w:shd w:fill="F5F0EB"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Les fondations et la mise en œuvre technique</w:t>
            </w:r>
          </w:p>
        </w:tc>
        <w:tc>
          <w:tcPr>
            <w:tcW w:type="dxa" w:w="5160"/>
            <w:tcBorders>
              <w:top w:val="single" w:color="D9C9BE" w:sz="1"/>
              <w:left w:val="none"/>
              <w:bottom w:val="single" w:color="D9C9BE" w:sz="1"/>
              <w:right w:val="none"/>
            </w:tcBorders>
            <w:shd w:fill="F5F0EB" w:val="clear"/>
            <w:tcMar>
              <w:top w:type="dxa" w:w="80"/>
              <w:left w:type="dxa" w:w="120"/>
              <w:bottom w:type="dxa" w:w="80"/>
              <w:right w:type="dxa" w:w="120"/>
            </w:tcMar>
          </w:tcPr>
          <w:p>
            <w:pPr>
              <w:spacing w:line="260"/>
              <w:jc w:val="both"/>
            </w:pPr>
            <w:r>
              <w:rPr>
                <w:rFonts w:ascii="Garamond" w:cs="Garamond" w:eastAsia="Garamond" w:hAnsi="Garamond"/>
                <w:b w:val="false"/>
                <w:bCs w:val="false"/>
                <w:color w:val="1C1C1C"/>
                <w:sz w:val="20"/>
                <w:szCs w:val="20"/>
              </w:rPr>
              <w:t xml:space="preserve">Lancement de la production physique. Apprentissage de l'outillage électroportatif. Règles de sécurité sur chantier. Résolution des défis structurels.</w:t>
            </w:r>
          </w:p>
        </w:tc>
      </w:tr>
      <w:tr>
        <w:tc>
          <w:tcPr>
            <w:tcW w:type="dxa" w:w="1400"/>
            <w:tcBorders>
              <w:top w:val="single" w:color="D9C9BE" w:sz="1"/>
              <w:left w:val="none"/>
              <w:bottom w:val="single" w:color="D9C9BE" w:sz="1"/>
              <w:right w:val="none"/>
            </w:tcBorders>
            <w:shd w:fill="FFFFFF"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Semaine 5</w:t>
            </w:r>
          </w:p>
        </w:tc>
        <w:tc>
          <w:tcPr>
            <w:tcW w:type="dxa" w:w="2800"/>
            <w:tcBorders>
              <w:top w:val="single" w:color="D9C9BE" w:sz="1"/>
              <w:left w:val="none"/>
              <w:bottom w:val="single" w:color="D9C9BE" w:sz="1"/>
              <w:right w:val="none"/>
            </w:tcBorders>
            <w:shd w:fill="FFFFFF"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Ingénierie de la matière et adaptation matérielle</w:t>
            </w:r>
          </w:p>
        </w:tc>
        <w:tc>
          <w:tcPr>
            <w:tcW w:type="dxa" w:w="5160"/>
            <w:tcBorders>
              <w:top w:val="single" w:color="D9C9BE" w:sz="1"/>
              <w:left w:val="none"/>
              <w:bottom w:val="single" w:color="D9C9BE" w:sz="1"/>
              <w:right w:val="none"/>
            </w:tcBorders>
            <w:shd w:fill="FFFFFF" w:val="clear"/>
            <w:tcMar>
              <w:top w:type="dxa" w:w="80"/>
              <w:left w:type="dxa" w:w="120"/>
              <w:bottom w:type="dxa" w:w="80"/>
              <w:right w:type="dxa" w:w="120"/>
            </w:tcMar>
          </w:tcPr>
          <w:p>
            <w:pPr>
              <w:spacing w:line="260"/>
              <w:jc w:val="both"/>
            </w:pPr>
            <w:r>
              <w:rPr>
                <w:rFonts w:ascii="Garamond" w:cs="Garamond" w:eastAsia="Garamond" w:hAnsi="Garamond"/>
                <w:b w:val="false"/>
                <w:bCs w:val="false"/>
                <w:color w:val="1C1C1C"/>
                <w:sz w:val="20"/>
                <w:szCs w:val="20"/>
              </w:rPr>
              <w:t xml:space="preserve">Adaptation aux ressources sourcées. Assemblage, calcul des charges, équilibrage des structures. Revue technique individuelle.</w:t>
            </w:r>
          </w:p>
        </w:tc>
      </w:tr>
      <w:tr>
        <w:tc>
          <w:tcPr>
            <w:tcW w:type="dxa" w:w="1400"/>
            <w:tcBorders>
              <w:top w:val="single" w:color="D9C9BE" w:sz="1"/>
              <w:left w:val="none"/>
              <w:bottom w:val="single" w:color="D9C9BE" w:sz="1"/>
              <w:right w:val="none"/>
            </w:tcBorders>
            <w:shd w:fill="F5F0EB"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Semaine 6</w:t>
            </w:r>
          </w:p>
        </w:tc>
        <w:tc>
          <w:tcPr>
            <w:tcW w:type="dxa" w:w="2800"/>
            <w:tcBorders>
              <w:top w:val="single" w:color="D9C9BE" w:sz="1"/>
              <w:left w:val="none"/>
              <w:bottom w:val="single" w:color="D9C9BE" w:sz="1"/>
              <w:right w:val="none"/>
            </w:tcBorders>
            <w:shd w:fill="F5F0EB"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Infiltration institutionnelle et gestion des invité·es</w:t>
            </w:r>
          </w:p>
        </w:tc>
        <w:tc>
          <w:tcPr>
            <w:tcW w:type="dxa" w:w="5160"/>
            <w:tcBorders>
              <w:top w:val="single" w:color="D9C9BE" w:sz="1"/>
              <w:left w:val="none"/>
              <w:bottom w:val="single" w:color="D9C9BE" w:sz="1"/>
              <w:right w:val="none"/>
            </w:tcBorders>
            <w:shd w:fill="F5F0EB" w:val="clear"/>
            <w:tcMar>
              <w:top w:type="dxa" w:w="80"/>
              <w:left w:type="dxa" w:w="120"/>
              <w:bottom w:type="dxa" w:w="80"/>
              <w:right w:type="dxa" w:w="120"/>
            </w:tcMar>
          </w:tcPr>
          <w:p>
            <w:pPr>
              <w:spacing w:line="260"/>
              <w:jc w:val="both"/>
            </w:pPr>
            <w:r>
              <w:rPr>
                <w:rFonts w:ascii="Garamond" w:cs="Garamond" w:eastAsia="Garamond" w:hAnsi="Garamond"/>
                <w:b w:val="false"/>
                <w:bCs w:val="false"/>
                <w:color w:val="1C1C1C"/>
                <w:sz w:val="20"/>
                <w:szCs w:val="20"/>
              </w:rPr>
              <w:t xml:space="preserve">Rédaction des invitations, contrats de prêt, cession de droits. Conception des fiches techniques d'accueil. Harmonisation du dialogue plastique.</w:t>
            </w:r>
          </w:p>
        </w:tc>
      </w:tr>
      <w:tr>
        <w:tc>
          <w:tcPr>
            <w:tcW w:type="dxa" w:w="1400"/>
            <w:tcBorders>
              <w:top w:val="single" w:color="D9C9BE" w:sz="1"/>
              <w:left w:val="none"/>
              <w:bottom w:val="single" w:color="D9C9BE" w:sz="1"/>
              <w:right w:val="none"/>
            </w:tcBorders>
            <w:shd w:fill="FFFFFF"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Semaine 7</w:t>
            </w:r>
          </w:p>
        </w:tc>
        <w:tc>
          <w:tcPr>
            <w:tcW w:type="dxa" w:w="2800"/>
            <w:tcBorders>
              <w:top w:val="single" w:color="D9C9BE" w:sz="1"/>
              <w:left w:val="none"/>
              <w:bottom w:val="single" w:color="D9C9BE" w:sz="1"/>
              <w:right w:val="none"/>
            </w:tcBorders>
            <w:shd w:fill="FFFFFF"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Dispositifs d'activation et intégration audiovisuelle</w:t>
            </w:r>
          </w:p>
        </w:tc>
        <w:tc>
          <w:tcPr>
            <w:tcW w:type="dxa" w:w="5160"/>
            <w:tcBorders>
              <w:top w:val="single" w:color="D9C9BE" w:sz="1"/>
              <w:left w:val="none"/>
              <w:bottom w:val="single" w:color="D9C9BE" w:sz="1"/>
              <w:right w:val="none"/>
            </w:tcBorders>
            <w:shd w:fill="FFFFFF" w:val="clear"/>
            <w:tcMar>
              <w:top w:type="dxa" w:w="80"/>
              <w:left w:type="dxa" w:w="120"/>
              <w:bottom w:type="dxa" w:w="80"/>
              <w:right w:type="dxa" w:w="120"/>
            </w:tcMar>
          </w:tcPr>
          <w:p>
            <w:pPr>
              <w:spacing w:line="260"/>
              <w:jc w:val="both"/>
            </w:pPr>
            <w:r>
              <w:rPr>
                <w:rFonts w:ascii="Garamond" w:cs="Garamond" w:eastAsia="Garamond" w:hAnsi="Garamond"/>
                <w:b w:val="false"/>
                <w:bCs w:val="false"/>
                <w:color w:val="1C1C1C"/>
                <w:sz w:val="20"/>
                <w:szCs w:val="20"/>
              </w:rPr>
              <w:t xml:space="preserve">Câblage sécurisé, réglage des systèmes sonores, création d'ambiances lumineuses. Traitement optimal de l'espace acoustique.</w:t>
            </w:r>
          </w:p>
        </w:tc>
      </w:tr>
      <w:tr>
        <w:tc>
          <w:tcPr>
            <w:tcW w:type="dxa" w:w="1400"/>
            <w:tcBorders>
              <w:top w:val="single" w:color="D9C9BE" w:sz="1"/>
              <w:left w:val="none"/>
              <w:bottom w:val="single" w:color="D9C9BE" w:sz="1"/>
              <w:right w:val="none"/>
            </w:tcBorders>
            <w:shd w:fill="F5F0EB"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Semaine 8</w:t>
            </w:r>
          </w:p>
        </w:tc>
        <w:tc>
          <w:tcPr>
            <w:tcW w:type="dxa" w:w="2800"/>
            <w:tcBorders>
              <w:top w:val="single" w:color="D9C9BE" w:sz="1"/>
              <w:left w:val="none"/>
              <w:bottom w:val="single" w:color="D9C9BE" w:sz="1"/>
              <w:right w:val="none"/>
            </w:tcBorders>
            <w:shd w:fill="F5F0EB"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Logistique de l'accueil et économie autonome</w:t>
            </w:r>
          </w:p>
        </w:tc>
        <w:tc>
          <w:tcPr>
            <w:tcW w:type="dxa" w:w="5160"/>
            <w:tcBorders>
              <w:top w:val="single" w:color="D9C9BE" w:sz="1"/>
              <w:left w:val="none"/>
              <w:bottom w:val="single" w:color="D9C9BE" w:sz="1"/>
              <w:right w:val="none"/>
            </w:tcBorders>
            <w:shd w:fill="F5F0EB" w:val="clear"/>
            <w:tcMar>
              <w:top w:type="dxa" w:w="80"/>
              <w:left w:type="dxa" w:w="120"/>
              <w:bottom w:type="dxa" w:w="80"/>
              <w:right w:type="dxa" w:w="120"/>
            </w:tcMar>
          </w:tcPr>
          <w:p>
            <w:pPr>
              <w:spacing w:line="260"/>
              <w:jc w:val="both"/>
            </w:pPr>
            <w:r>
              <w:rPr>
                <w:rFonts w:ascii="Garamond" w:cs="Garamond" w:eastAsia="Garamond" w:hAnsi="Garamond"/>
                <w:b w:val="false"/>
                <w:bCs w:val="false"/>
                <w:color w:val="1C1C1C"/>
                <w:sz w:val="20"/>
                <w:szCs w:val="20"/>
              </w:rPr>
              <w:t xml:space="preserve">Acheminement des œuvres extérieures, planification du chantier final. Circuits d'échange alternatifs. Vérification des stocks et équipements.</w:t>
            </w:r>
          </w:p>
        </w:tc>
      </w:tr>
      <w:tr>
        <w:tc>
          <w:tcPr>
            <w:tcW w:type="dxa" w:w="1400"/>
            <w:tcBorders>
              <w:top w:val="single" w:color="D9C9BE" w:sz="1"/>
              <w:left w:val="none"/>
              <w:bottom w:val="single" w:color="D9C9BE" w:sz="1"/>
              <w:right w:val="none"/>
            </w:tcBorders>
            <w:shd w:fill="FFFFFF"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Semaine 9</w:t>
            </w:r>
          </w:p>
        </w:tc>
        <w:tc>
          <w:tcPr>
            <w:tcW w:type="dxa" w:w="2800"/>
            <w:tcBorders>
              <w:top w:val="single" w:color="D9C9BE" w:sz="1"/>
              <w:left w:val="none"/>
              <w:bottom w:val="single" w:color="D9C9BE" w:sz="1"/>
              <w:right w:val="none"/>
            </w:tcBorders>
            <w:shd w:fill="FFFFFF"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Le chantier de régie et la production collective — Phase 1</w:t>
            </w:r>
          </w:p>
        </w:tc>
        <w:tc>
          <w:tcPr>
            <w:tcW w:type="dxa" w:w="5160"/>
            <w:tcBorders>
              <w:top w:val="single" w:color="D9C9BE" w:sz="1"/>
              <w:left w:val="none"/>
              <w:bottom w:val="single" w:color="D9C9BE" w:sz="1"/>
              <w:right w:val="none"/>
            </w:tcBorders>
            <w:shd w:fill="FFFFFF" w:val="clear"/>
            <w:tcMar>
              <w:top w:type="dxa" w:w="80"/>
              <w:left w:type="dxa" w:w="120"/>
              <w:bottom w:type="dxa" w:w="80"/>
              <w:right w:type="dxa" w:w="120"/>
            </w:tcMar>
          </w:tcPr>
          <w:p>
            <w:pPr>
              <w:spacing w:line="260"/>
              <w:jc w:val="both"/>
            </w:pPr>
            <w:r>
              <w:rPr>
                <w:rFonts w:ascii="Garamond" w:cs="Garamond" w:eastAsia="Garamond" w:hAnsi="Garamond"/>
                <w:b w:val="false"/>
                <w:bCs w:val="false"/>
                <w:color w:val="1C1C1C"/>
                <w:sz w:val="20"/>
                <w:szCs w:val="20"/>
              </w:rPr>
              <w:t xml:space="preserve">Préparation physique du lieu. Levage des structures, construction des cloisons éphémères, peintures scénographiques, réseaux électriques.</w:t>
            </w:r>
          </w:p>
        </w:tc>
      </w:tr>
      <w:tr>
        <w:tc>
          <w:tcPr>
            <w:tcW w:type="dxa" w:w="1400"/>
            <w:tcBorders>
              <w:top w:val="single" w:color="D9C9BE" w:sz="1"/>
              <w:left w:val="none"/>
              <w:bottom w:val="single" w:color="D9C9BE" w:sz="1"/>
              <w:right w:val="none"/>
            </w:tcBorders>
            <w:shd w:fill="F5F0EB"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Semaine 10</w:t>
            </w:r>
          </w:p>
        </w:tc>
        <w:tc>
          <w:tcPr>
            <w:tcW w:type="dxa" w:w="2800"/>
            <w:tcBorders>
              <w:top w:val="single" w:color="D9C9BE" w:sz="1"/>
              <w:left w:val="none"/>
              <w:bottom w:val="single" w:color="D9C9BE" w:sz="1"/>
              <w:right w:val="none"/>
            </w:tcBorders>
            <w:shd w:fill="F5F0EB"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L'accrochage et l'adaptation spatiale — Phase 2</w:t>
            </w:r>
          </w:p>
        </w:tc>
        <w:tc>
          <w:tcPr>
            <w:tcW w:type="dxa" w:w="5160"/>
            <w:tcBorders>
              <w:top w:val="single" w:color="D9C9BE" w:sz="1"/>
              <w:left w:val="none"/>
              <w:bottom w:val="single" w:color="D9C9BE" w:sz="1"/>
              <w:right w:val="none"/>
            </w:tcBorders>
            <w:shd w:fill="F5F0EB" w:val="clear"/>
            <w:tcMar>
              <w:top w:type="dxa" w:w="80"/>
              <w:left w:type="dxa" w:w="120"/>
              <w:bottom w:type="dxa" w:w="80"/>
              <w:right w:type="dxa" w:w="120"/>
            </w:tcMar>
          </w:tcPr>
          <w:p>
            <w:pPr>
              <w:spacing w:line="260"/>
              <w:jc w:val="both"/>
            </w:pPr>
            <w:r>
              <w:rPr>
                <w:rFonts w:ascii="Garamond" w:cs="Garamond" w:eastAsia="Garamond" w:hAnsi="Garamond"/>
                <w:b w:val="false"/>
                <w:bCs w:val="false"/>
                <w:color w:val="1C1C1C"/>
                <w:sz w:val="20"/>
                <w:szCs w:val="20"/>
              </w:rPr>
              <w:t xml:space="preserve">Installation des œuvres, réglages de précision. Calibrage des vidéoprojecteurs, balance sonore définitive.</w:t>
            </w:r>
          </w:p>
        </w:tc>
      </w:tr>
      <w:tr>
        <w:tc>
          <w:tcPr>
            <w:tcW w:type="dxa" w:w="1400"/>
            <w:tcBorders>
              <w:top w:val="single" w:color="D9C9BE" w:sz="1"/>
              <w:left w:val="none"/>
              <w:bottom w:val="single" w:color="D9C9BE" w:sz="1"/>
              <w:right w:val="none"/>
            </w:tcBorders>
            <w:shd w:fill="FFFFFF"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Semaine 11</w:t>
            </w:r>
          </w:p>
        </w:tc>
        <w:tc>
          <w:tcPr>
            <w:tcW w:type="dxa" w:w="2800"/>
            <w:tcBorders>
              <w:top w:val="single" w:color="D9C9BE" w:sz="1"/>
              <w:left w:val="none"/>
              <w:bottom w:val="single" w:color="D9C9BE" w:sz="1"/>
              <w:right w:val="none"/>
            </w:tcBorders>
            <w:shd w:fill="FFFFFF"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Préparation publique et normes de sécurité</w:t>
            </w:r>
          </w:p>
        </w:tc>
        <w:tc>
          <w:tcPr>
            <w:tcW w:type="dxa" w:w="5160"/>
            <w:tcBorders>
              <w:top w:val="single" w:color="D9C9BE" w:sz="1"/>
              <w:left w:val="none"/>
              <w:bottom w:val="single" w:color="D9C9BE" w:sz="1"/>
              <w:right w:val="none"/>
            </w:tcBorders>
            <w:shd w:fill="FFFFFF" w:val="clear"/>
            <w:tcMar>
              <w:top w:type="dxa" w:w="80"/>
              <w:left w:type="dxa" w:w="120"/>
              <w:bottom w:type="dxa" w:w="80"/>
              <w:right w:type="dxa" w:w="120"/>
            </w:tcMar>
          </w:tcPr>
          <w:p>
            <w:pPr>
              <w:spacing w:line="260"/>
              <w:jc w:val="both"/>
            </w:pPr>
            <w:r>
              <w:rPr>
                <w:rFonts w:ascii="Garamond" w:cs="Garamond" w:eastAsia="Garamond" w:hAnsi="Garamond"/>
                <w:b w:val="false"/>
                <w:bCs w:val="false"/>
                <w:color w:val="1C1C1C"/>
                <w:sz w:val="20"/>
                <w:szCs w:val="20"/>
              </w:rPr>
              <w:t xml:space="preserve">Vérification des circulations, sécurisation des accroches. Signalétique, cartels, répétition générale des activations performatives.</w:t>
            </w:r>
          </w:p>
        </w:tc>
      </w:tr>
      <w:tr>
        <w:tc>
          <w:tcPr>
            <w:tcW w:type="dxa" w:w="1400"/>
            <w:tcBorders>
              <w:top w:val="single" w:color="D9C9BE" w:sz="1"/>
              <w:left w:val="none"/>
              <w:bottom w:val="single" w:color="D9C9BE" w:sz="1"/>
              <w:right w:val="none"/>
            </w:tcBorders>
            <w:shd w:fill="F5F0EB"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Semaine 12</w:t>
            </w:r>
          </w:p>
        </w:tc>
        <w:tc>
          <w:tcPr>
            <w:tcW w:type="dxa" w:w="2800"/>
            <w:tcBorders>
              <w:top w:val="single" w:color="D9C9BE" w:sz="1"/>
              <w:left w:val="none"/>
              <w:bottom w:val="single" w:color="D9C9BE" w:sz="1"/>
              <w:right w:val="none"/>
            </w:tcBorders>
            <w:shd w:fill="F5F0EB" w:val="clear"/>
            <w:tcMar>
              <w:top w:type="dxa" w:w="80"/>
              <w:left w:type="dxa" w:w="120"/>
              <w:bottom w:type="dxa" w:w="80"/>
              <w:right w:type="dxa" w:w="120"/>
            </w:tcMar>
          </w:tcPr>
          <w:p>
            <w:pPr>
              <w:spacing w:line="260"/>
              <w:jc w:val="left"/>
            </w:pPr>
            <w:r>
              <w:rPr>
                <w:rFonts w:ascii="Garamond" w:cs="Garamond" w:eastAsia="Garamond" w:hAnsi="Garamond"/>
                <w:b/>
                <w:bCs/>
                <w:color w:val="B5451B"/>
                <w:sz w:val="20"/>
                <w:szCs w:val="20"/>
              </w:rPr>
              <w:t xml:space="preserve">Ouverture publique, impact territorial et souveraineté</w:t>
            </w:r>
          </w:p>
        </w:tc>
        <w:tc>
          <w:tcPr>
            <w:tcW w:type="dxa" w:w="5160"/>
            <w:tcBorders>
              <w:top w:val="single" w:color="D9C9BE" w:sz="1"/>
              <w:left w:val="none"/>
              <w:bottom w:val="single" w:color="D9C9BE" w:sz="1"/>
              <w:right w:val="none"/>
            </w:tcBorders>
            <w:shd w:fill="F5F0EB" w:val="clear"/>
            <w:tcMar>
              <w:top w:type="dxa" w:w="80"/>
              <w:left w:type="dxa" w:w="120"/>
              <w:bottom w:type="dxa" w:w="80"/>
              <w:right w:type="dxa" w:w="120"/>
            </w:tcMar>
          </w:tcPr>
          <w:p>
            <w:pPr>
              <w:spacing w:line="260"/>
              <w:jc w:val="both"/>
            </w:pPr>
            <w:r>
              <w:rPr>
                <w:rFonts w:ascii="Garamond" w:cs="Garamond" w:eastAsia="Garamond" w:hAnsi="Garamond"/>
                <w:b w:val="false"/>
                <w:bCs w:val="false"/>
                <w:color w:val="1C1C1C"/>
                <w:sz w:val="20"/>
                <w:szCs w:val="20"/>
              </w:rPr>
              <w:t xml:space="preserve">Inauguration. Accueil, médiation, activation des œuvres. Captation documentaire. Démontage et bilan critique.</w:t>
            </w:r>
          </w:p>
        </w:tc>
      </w:tr>
    </w:tbl>
    <w:p>
      <w:pPr>
        <w:spacing w:before="0" w:after="240"/>
      </w:pPr>
    </w:p>
    <w:p>
      <w:pPr>
        <w:spacing w:before="0" w:after="160" w:line="276"/>
        <w:jc w:val="both"/>
      </w:pPr>
      <w:r>
        <w:rPr>
          <w:rFonts w:ascii="Garamond" w:cs="Garamond" w:eastAsia="Garamond" w:hAnsi="Garamond"/>
          <w:color w:val="1C1C1C"/>
          <w:sz w:val="22"/>
          <w:szCs w:val="22"/>
        </w:rPr>
        <w:t xml:space="preserve">L'immersion totale dans cette méthodologie de l'ingénierie physique forge la souveraineté technique et administrative des diplômé·es.</w:t>
      </w:r>
    </w:p>
    <w:p>
      <w:r>
        <w:br w:type="page"/>
      </w:r>
    </w:p>
    <w:p>
      <w:pPr>
        <w:spacing w:before="160" w:after="80"/>
      </w:pPr>
      <w:r>
        <w:rPr>
          <w:rFonts w:ascii="Arial" w:cs="Arial" w:eastAsia="Arial" w:hAnsi="Arial"/>
          <w:b/>
          <w:bCs/>
          <w:color w:val="B5451B"/>
          <w:sz w:val="20"/>
          <w:szCs w:val="20"/>
        </w:rPr>
        <w:t xml:space="preserve">6.</w:t>
      </w:r>
    </w:p>
    <w:p>
      <w:pPr>
        <w:pBdr>
          <w:bottom w:val="single" w:color="B5451B" w:sz="6" w:space="4"/>
        </w:pBdr>
        <w:spacing w:before="0" w:after="160"/>
      </w:pPr>
      <w:r>
        <w:rPr>
          <w:rFonts w:ascii="Arial" w:cs="Arial" w:eastAsia="Arial" w:hAnsi="Arial"/>
          <w:b/>
          <w:bCs/>
          <w:color w:val="1C1C1C"/>
          <w:sz w:val="32"/>
          <w:szCs w:val="32"/>
        </w:rPr>
        <w:t xml:space="preserve">La professionnalisation par l'expérience directe : l'épreuve du réel</w:t>
      </w:r>
    </w:p>
    <w:p>
      <w:pPr>
        <w:spacing w:before="0" w:after="80"/>
      </w:pPr>
    </w:p>
    <w:p>
      <w:pPr>
        <w:spacing w:before="0" w:after="160" w:line="276"/>
        <w:jc w:val="both"/>
      </w:pPr>
      <w:r>
        <w:rPr>
          <w:rFonts w:ascii="Garamond" w:cs="Garamond" w:eastAsia="Garamond" w:hAnsi="Garamond"/>
          <w:color w:val="1C1C1C"/>
          <w:sz w:val="22"/>
          <w:szCs w:val="22"/>
        </w:rPr>
        <w:t xml:space="preserve">La professionnalisation artistique s'acquiert par l'épreuve directe du terrain. L'assimilation des rouages du métier d'artiste implique une immersion totale dans les réalités matérielles, administratives et économiques de la production contemporaine. L'enseignement privilégie l'action située pour garantir l'efficacité de l'apprentissage. L'atelier se transforme en un camp de base logistique permettant le déploiement d'expositions grandeur nature, soumettant ainsi les concepts plastiques au principe de réalité pour forger une souveraineté professionnelle absolue.</w:t>
      </w:r>
    </w:p>
    <w:p>
      <w:pPr>
        <w:spacing w:before="220" w:after="80"/>
      </w:pPr>
      <w:r>
        <w:rPr>
          <w:rFonts w:ascii="Arial" w:cs="Arial" w:eastAsia="Arial" w:hAnsi="Arial"/>
          <w:b/>
          <w:bCs/>
          <w:color w:val="B5451B"/>
          <w:sz w:val="22"/>
          <w:szCs w:val="22"/>
        </w:rPr>
        <w:t xml:space="preserve">L'auto-organisation en agence de production nomade</w:t>
      </w:r>
    </w:p>
    <w:p>
      <w:pPr>
        <w:spacing w:before="0" w:after="160" w:line="276"/>
        <w:jc w:val="both"/>
      </w:pPr>
      <w:r>
        <w:rPr>
          <w:rFonts w:ascii="Garamond" w:cs="Garamond" w:eastAsia="Garamond" w:hAnsi="Garamond"/>
          <w:color w:val="1C1C1C"/>
          <w:sz w:val="22"/>
          <w:szCs w:val="22"/>
        </w:rPr>
        <w:t xml:space="preserve">L'auto-organisation constitue le moteur de l'émancipation étudiante. La production collective démultiplie la force de frappe des jeunes créatrices et créateurs. En se structurant en agence de production nomade, les étudiant·es mutualisent leurs compétences logistiques, intellectuelles et physiques. Cette synergie fédère les énergies pour absorber la complexité de la gestion de projet, de l'élaboration du rétroplanning à la répartition des tâches sur le chantier. Le travail de groupe génère une architecture solidaire capable de supporter des productions d'envergure et de réussir l'infiltration institutionnelle.</w:t>
      </w:r>
    </w:p>
    <w:p>
      <w:pPr>
        <w:spacing w:before="220" w:after="80"/>
      </w:pPr>
      <w:r>
        <w:rPr>
          <w:rFonts w:ascii="Arial" w:cs="Arial" w:eastAsia="Arial" w:hAnsi="Arial"/>
          <w:b/>
          <w:bCs/>
          <w:color w:val="B5451B"/>
          <w:sz w:val="22"/>
          <w:szCs w:val="22"/>
        </w:rPr>
        <w:t xml:space="preserve">L'ingénierie financière et la génération d'une économie autonome</w:t>
      </w:r>
    </w:p>
    <w:p>
      <w:pPr>
        <w:spacing w:before="0" w:after="160" w:line="276"/>
        <w:jc w:val="both"/>
      </w:pPr>
      <w:r>
        <w:rPr>
          <w:rFonts w:ascii="Garamond" w:cs="Garamond" w:eastAsia="Garamond" w:hAnsi="Garamond"/>
          <w:color w:val="1C1C1C"/>
          <w:sz w:val="22"/>
          <w:szCs w:val="22"/>
        </w:rPr>
        <w:t xml:space="preserve">L'ingénierie financière s'invente face à la contrainte budgétaire. L'application de la stratégie d'optimisation du « Minmaxing » convertit les obstacles économiques en puissants leviers de création. L'invention de monnaies de troc, la mutualisation d'outillage et le partage de compétences instaurent des circuits d'échange alternatifs efficaces. Cette agilité comptable permet d'acquérir des services et des matériaux de production pour générer une économie autonome.</w:t>
      </w:r>
    </w:p>
    <w:p>
      <w:pPr>
        <w:spacing w:before="220" w:after="80"/>
      </w:pPr>
      <w:r>
        <w:rPr>
          <w:rFonts w:ascii="Arial" w:cs="Arial" w:eastAsia="Arial" w:hAnsi="Arial"/>
          <w:b/>
          <w:bCs/>
          <w:color w:val="B5451B"/>
          <w:sz w:val="22"/>
          <w:szCs w:val="22"/>
        </w:rPr>
        <w:t xml:space="preserve">L'activation stratégique des réseaux et l'impact territorial</w:t>
      </w:r>
    </w:p>
    <w:p>
      <w:pPr>
        <w:spacing w:before="0" w:after="160" w:line="276"/>
        <w:jc w:val="both"/>
      </w:pPr>
      <w:r>
        <w:rPr>
          <w:rFonts w:ascii="Garamond" w:cs="Garamond" w:eastAsia="Garamond" w:hAnsi="Garamond"/>
          <w:color w:val="1C1C1C"/>
          <w:sz w:val="22"/>
          <w:szCs w:val="22"/>
        </w:rPr>
        <w:t xml:space="preserve">Le développement d'une carrière s'appuie sur l'activation stratégique des réseaux professionnels et informels. La pédagogie par l'immersion totale place les étudiant·es au cœur d'écosystèmes souples et réactifs. Ils apprennent à tisser des liens organiques avec les acteurs du terrain, les équipes techniques, les directions d'institutions et les membres de leur promotion. Ces connexions directes facilitent les prises d'initiative et ouvrent des voies de diffusion immédiates. L'engagement au sein de ces cercles relationnels transforme le tissu social environnant en une infrastructure logistique essentielle.</w:t>
      </w:r>
    </w:p>
    <w:p>
      <w:pPr>
        <w:spacing w:before="0" w:after="200"/>
      </w:pPr>
    </w:p>
    <w:p>
      <w:pPr>
        <w:spacing w:before="160" w:after="80"/>
      </w:pPr>
      <w:r>
        <w:rPr>
          <w:rFonts w:ascii="Arial" w:cs="Arial" w:eastAsia="Arial" w:hAnsi="Arial"/>
          <w:b/>
          <w:bCs/>
          <w:color w:val="B5451B"/>
          <w:sz w:val="20"/>
          <w:szCs w:val="20"/>
        </w:rPr>
        <w:t xml:space="preserve">7.</w:t>
      </w:r>
    </w:p>
    <w:p>
      <w:pPr>
        <w:pBdr>
          <w:bottom w:val="single" w:color="B5451B" w:sz="6" w:space="4"/>
        </w:pBdr>
        <w:spacing w:before="0" w:after="160"/>
      </w:pPr>
      <w:r>
        <w:rPr>
          <w:rFonts w:ascii="Arial" w:cs="Arial" w:eastAsia="Arial" w:hAnsi="Arial"/>
          <w:b/>
          <w:bCs/>
          <w:color w:val="1C1C1C"/>
          <w:sz w:val="32"/>
          <w:szCs w:val="32"/>
        </w:rPr>
        <w:t xml:space="preserve">La recherche-création : l'enquête active par l'action plastique</w:t>
      </w:r>
    </w:p>
    <w:p>
      <w:pPr>
        <w:spacing w:before="0" w:after="80"/>
      </w:pPr>
    </w:p>
    <w:p>
      <w:pPr>
        <w:spacing w:before="0" w:after="160" w:line="276"/>
        <w:jc w:val="both"/>
      </w:pPr>
      <w:r>
        <w:rPr>
          <w:rFonts w:ascii="Garamond" w:cs="Garamond" w:eastAsia="Garamond" w:hAnsi="Garamond"/>
          <w:color w:val="1C1C1C"/>
          <w:sz w:val="22"/>
          <w:szCs w:val="22"/>
        </w:rPr>
        <w:t xml:space="preserve">La recherche artistique opère comme une investigation permanente du réel. La production de savoirs passe par la fabrication physique d'objets, l'orchestration d'événements collectifs et la modification des contextes spatiaux par l'ingénierie physique. L'artiste agit en enquêteur de la matière et des systèmes économiques. La construction d'un dispositif tangible depuis le camp de base logistique de l'université constitue la méthode d'analyse par excellence.</w:t>
      </w:r>
    </w:p>
    <w:p>
      <w:pPr>
        <w:spacing w:before="220" w:after="80"/>
      </w:pPr>
      <w:r>
        <w:rPr>
          <w:rFonts w:ascii="Arial" w:cs="Arial" w:eastAsia="Arial" w:hAnsi="Arial"/>
          <w:b/>
          <w:bCs/>
          <w:color w:val="B5451B"/>
          <w:sz w:val="22"/>
          <w:szCs w:val="22"/>
        </w:rPr>
        <w:t xml:space="preserve">L'expérimentation et l'infiltration institutionnelle</w:t>
      </w:r>
    </w:p>
    <w:p>
      <w:pPr>
        <w:spacing w:before="0" w:after="160" w:line="276"/>
        <w:jc w:val="both"/>
      </w:pPr>
      <w:r>
        <w:rPr>
          <w:rFonts w:ascii="Garamond" w:cs="Garamond" w:eastAsia="Garamond" w:hAnsi="Garamond"/>
          <w:color w:val="1C1C1C"/>
          <w:sz w:val="22"/>
          <w:szCs w:val="22"/>
        </w:rPr>
        <w:t xml:space="preserve">L'expérimentation confronte l'intuition aux résistances du monde matériel. L'application de la stratégie d'optimisation du « Minmaxing » convertit les contraintes financières et spatiales en puissants leviers de production. L'action plastique teste la flexibilité des institutions et l'élasticité des budgets. L'ouverture de la tranchée monumentale La faille par 250 personnes ou l'insertion d'une exposition dans les rayons d'une surface commerciale génèrent des données empiriques immédiates. L'œuvre devient un outil de sondage pour impacter physiquement le territoire et évaluer ses dynamiques sociales.</w:t>
      </w:r>
    </w:p>
    <w:p>
      <w:pPr>
        <w:spacing w:before="220" w:after="80"/>
      </w:pPr>
      <w:r>
        <w:rPr>
          <w:rFonts w:ascii="Arial" w:cs="Arial" w:eastAsia="Arial" w:hAnsi="Arial"/>
          <w:b/>
          <w:bCs/>
          <w:color w:val="B5451B"/>
          <w:sz w:val="22"/>
          <w:szCs w:val="22"/>
        </w:rPr>
        <w:t xml:space="preserve">La documentation : l'archive comme actif matériel</w:t>
      </w:r>
    </w:p>
    <w:p>
      <w:pPr>
        <w:spacing w:before="0" w:after="160" w:line="276"/>
        <w:jc w:val="both"/>
      </w:pPr>
      <w:r>
        <w:rPr>
          <w:rFonts w:ascii="Garamond" w:cs="Garamond" w:eastAsia="Garamond" w:hAnsi="Garamond"/>
          <w:color w:val="1C1C1C"/>
          <w:sz w:val="22"/>
          <w:szCs w:val="22"/>
        </w:rPr>
        <w:t xml:space="preserve">Le processus d'enquête génère un corpus de preuves rigoureux. La documentation cristallise l'action éphémère en un actif transmissible. Les registres des circuits d'échange alternatifs de la série Faux-fric, les plans d'ingénierie d'une architecture en bois, ou les archives audiovisuelles de l'agence de production nomade Pôle-fromage (le film Patom) constituent les résultats tangibles de la recherche. L'accumulation de ces données forme une mémoire active des stratégies d'optimisation.</w:t>
      </w:r>
    </w:p>
    <w:p>
      <w:pPr>
        <w:spacing w:before="220" w:after="80"/>
      </w:pPr>
      <w:r>
        <w:rPr>
          <w:rFonts w:ascii="Arial" w:cs="Arial" w:eastAsia="Arial" w:hAnsi="Arial"/>
          <w:b/>
          <w:bCs/>
          <w:color w:val="B5451B"/>
          <w:sz w:val="22"/>
          <w:szCs w:val="22"/>
        </w:rPr>
        <w:t xml:space="preserve">L'exposition : le laboratoire de validation sociale</w:t>
      </w:r>
    </w:p>
    <w:p>
      <w:pPr>
        <w:spacing w:before="0" w:after="160" w:line="276"/>
        <w:jc w:val="both"/>
      </w:pPr>
      <w:r>
        <w:rPr>
          <w:rFonts w:ascii="Garamond" w:cs="Garamond" w:eastAsia="Garamond" w:hAnsi="Garamond"/>
          <w:color w:val="1C1C1C"/>
          <w:sz w:val="22"/>
          <w:szCs w:val="22"/>
        </w:rPr>
        <w:t xml:space="preserve">Le déploiement d'expositions grandeur nature agit comme l'espace de validation ultime de la recherche. Cet événement public confronte les résultats de l'enquête au regard de la société. Le dispositif scénographique met à l'épreuve les hypothèses spatiales formulées en atelier. L'observation de l'interaction physique des visiteurs avec l'architecture ou les modules interactifs fournit des résultats concrets. Le moment du vernissage transforme la recherche en une situation collective vivante.</w:t>
      </w:r>
    </w:p>
    <w:p>
      <w:pPr>
        <w:spacing w:before="0" w:after="160" w:line="276"/>
        <w:jc w:val="both"/>
      </w:pPr>
      <w:r>
        <w:rPr>
          <w:rFonts w:ascii="Garamond" w:cs="Garamond" w:eastAsia="Garamond" w:hAnsi="Garamond"/>
          <w:color w:val="1C1C1C"/>
          <w:sz w:val="22"/>
          <w:szCs w:val="22"/>
        </w:rPr>
        <w:t xml:space="preserve">L'action matérielle génère des données académiques directement exploitables par la recherche-création. L'accumulation des expériences de chantier se cristallise sous forme d'archives photographiques, de captations audiovisuelles et de documentation critique. Cette sédimentation des savoirs logistiques et économiques alimente les activités du laboratoire LLA Creatis. Les étudiant·es restituent leurs stratégies d'infiltration institutionnelle lors de journées d'étude et participent activement à la conception de publications universitaires.</w:t>
      </w:r>
    </w:p>
    <w:p>
      <w:pPr>
        <w:spacing w:before="0" w:after="200"/>
      </w:pPr>
    </w:p>
    <w:p>
      <w:pPr>
        <w:spacing w:before="160" w:after="80"/>
      </w:pPr>
      <w:r>
        <w:rPr>
          <w:rFonts w:ascii="Arial" w:cs="Arial" w:eastAsia="Arial" w:hAnsi="Arial"/>
          <w:b/>
          <w:bCs/>
          <w:color w:val="B5451B"/>
          <w:sz w:val="20"/>
          <w:szCs w:val="20"/>
        </w:rPr>
        <w:t xml:space="preserve">8.</w:t>
      </w:r>
    </w:p>
    <w:p>
      <w:pPr>
        <w:pBdr>
          <w:bottom w:val="single" w:color="B5451B" w:sz="6" w:space="4"/>
        </w:pBdr>
        <w:spacing w:before="0" w:after="160"/>
      </w:pPr>
      <w:r>
        <w:rPr>
          <w:rFonts w:ascii="Arial" w:cs="Arial" w:eastAsia="Arial" w:hAnsi="Arial"/>
          <w:b/>
          <w:bCs/>
          <w:color w:val="1C1C1C"/>
          <w:sz w:val="32"/>
          <w:szCs w:val="32"/>
        </w:rPr>
        <w:t xml:space="preserve">Stratégie de partenariats et infiltration territoriale</w:t>
      </w:r>
    </w:p>
    <w:p>
      <w:pPr>
        <w:spacing w:before="0" w:after="80"/>
      </w:pPr>
    </w:p>
    <w:p>
      <w:pPr>
        <w:spacing w:before="0" w:after="160" w:line="276"/>
        <w:jc w:val="both"/>
      </w:pPr>
      <w:r>
        <w:rPr>
          <w:rFonts w:ascii="Garamond" w:cs="Garamond" w:eastAsia="Garamond" w:hAnsi="Garamond"/>
          <w:color w:val="1C1C1C"/>
          <w:sz w:val="22"/>
          <w:szCs w:val="22"/>
        </w:rPr>
        <w:t xml:space="preserve">J'envisage l'université comme une plateforme d'activation et un camp de base logistique. Le campus constitue une zone d'expérimentation à l'échelle 1, un écosystème où s'élaborent des stratégies directes d'intervention plastique. La recherche académique fusionne avec la pratique de l'immersion totale sur le chantier contemporain. L'institution fournit l'infrastructure matérielle pour prototyper des situations artistiques tangibles et les propulser vers l'extérieur, permettant aux étudiant·es d'impacter physiquement leur territoire.</w:t>
      </w:r>
    </w:p>
    <w:p>
      <w:pPr>
        <w:spacing w:before="220" w:after="80"/>
      </w:pPr>
      <w:r>
        <w:rPr>
          <w:rFonts w:ascii="Arial" w:cs="Arial" w:eastAsia="Arial" w:hAnsi="Arial"/>
          <w:b/>
          <w:bCs/>
          <w:color w:val="B5451B"/>
          <w:sz w:val="22"/>
          <w:szCs w:val="22"/>
        </w:rPr>
        <w:t xml:space="preserve">La mutualisation par l'infiltration institutionnelle</w:t>
      </w:r>
    </w:p>
    <w:p>
      <w:pPr>
        <w:spacing w:before="0" w:after="160" w:line="276"/>
        <w:jc w:val="both"/>
      </w:pPr>
      <w:r>
        <w:rPr>
          <w:rFonts w:ascii="Garamond" w:cs="Garamond" w:eastAsia="Garamond" w:hAnsi="Garamond"/>
          <w:color w:val="1C1C1C"/>
          <w:sz w:val="22"/>
          <w:szCs w:val="22"/>
        </w:rPr>
        <w:t xml:space="preserve">Le partenariat avec les institutions culturelles structure cette dynamique d'infiltration. Les étudiant·es apprennent à dialoguer d'égal à égal avec les directions de centres d'art régionaux (Lieu Commun, le BBB centre d'art, le centre d'art Le Lait). L'application de la stratégie d'optimisation du « Minmaxing » convertit ces relations en puissants leviers de production par la mutualisation des budgets, des espaces et des expertises techniques.</w:t>
      </w:r>
    </w:p>
    <w:p>
      <w:pPr>
        <w:spacing w:before="220" w:after="80"/>
      </w:pPr>
      <w:r>
        <w:rPr>
          <w:rFonts w:ascii="Arial" w:cs="Arial" w:eastAsia="Arial" w:hAnsi="Arial"/>
          <w:b/>
          <w:bCs/>
          <w:color w:val="B5451B"/>
          <w:sz w:val="22"/>
          <w:szCs w:val="22"/>
        </w:rPr>
        <w:t xml:space="preserve">Le transfert de compétences pour fédérer les énergies</w:t>
      </w:r>
    </w:p>
    <w:p>
      <w:pPr>
        <w:spacing w:before="0" w:after="160" w:line="276"/>
        <w:jc w:val="both"/>
      </w:pPr>
      <w:r>
        <w:rPr>
          <w:rFonts w:ascii="Garamond" w:cs="Garamond" w:eastAsia="Garamond" w:hAnsi="Garamond"/>
          <w:color w:val="1C1C1C"/>
          <w:sz w:val="22"/>
          <w:szCs w:val="22"/>
        </w:rPr>
        <w:t xml:space="preserve">L'écosystème universitaire s'enrichit par l'intégration continue de professionnel·les en activité. J'active mon réseau pour implanter des créateurs et créatrices directement au cœur de l'atelier de Master. Ces invitations génèrent des collaborations frontales destinées à fédérer les énergies. Les étudiant·es participent au montage, à la régie et à la résolution de problèmes par l'ingénierie physique sur les œuvres des invité·es. Ce modèle d'intelligence collective garantit un transfert de compétences direct par l'action partagée.</w:t>
      </w:r>
    </w:p>
    <w:p>
      <w:pPr>
        <w:spacing w:before="220" w:after="80"/>
      </w:pPr>
      <w:r>
        <w:rPr>
          <w:rFonts w:ascii="Arial" w:cs="Arial" w:eastAsia="Arial" w:hAnsi="Arial"/>
          <w:b/>
          <w:bCs/>
          <w:color w:val="B5451B"/>
          <w:sz w:val="22"/>
          <w:szCs w:val="22"/>
        </w:rPr>
        <w:t xml:space="preserve">L'agilité des scènes indépendantes et l'économie autonome</w:t>
      </w:r>
    </w:p>
    <w:p>
      <w:pPr>
        <w:spacing w:before="0" w:after="160" w:line="276"/>
        <w:jc w:val="both"/>
      </w:pPr>
      <w:r>
        <w:rPr>
          <w:rFonts w:ascii="Garamond" w:cs="Garamond" w:eastAsia="Garamond" w:hAnsi="Garamond"/>
          <w:color w:val="1C1C1C"/>
          <w:sz w:val="22"/>
          <w:szCs w:val="22"/>
        </w:rPr>
        <w:t xml:space="preserve">La vitalité de la création se déploie massivement dans les espaces alternatifs. J'intègre systématiquement les artist-run spaces et les scènes indépendantes (Ateliers_3A, la Ferme de Quincé) à ma pédagogie. Je guide les étudiant·es vers ces écosystèmes souples pour expérimenter la génération d'une économie autonome. Ils y apprennent à instaurer des circuits d'échange alternatifs, à mutualiser des espaces de travail et à organiser des expositions grandeur nature en s'affranchissant des cadres administratifs conventionnels.</w:t>
      </w:r>
    </w:p>
    <w:p>
      <w:pPr>
        <w:spacing w:before="220" w:after="80"/>
      </w:pPr>
      <w:r>
        <w:rPr>
          <w:rFonts w:ascii="Arial" w:cs="Arial" w:eastAsia="Arial" w:hAnsi="Arial"/>
          <w:b/>
          <w:bCs/>
          <w:color w:val="B5451B"/>
          <w:sz w:val="22"/>
          <w:szCs w:val="22"/>
        </w:rPr>
        <w:t xml:space="preserve">Le débordement spatial et l'adaptation aux espaces atypiques</w:t>
      </w:r>
    </w:p>
    <w:p>
      <w:pPr>
        <w:spacing w:before="0" w:after="160" w:line="276"/>
        <w:jc w:val="both"/>
      </w:pPr>
      <w:r>
        <w:rPr>
          <w:rFonts w:ascii="Garamond" w:cs="Garamond" w:eastAsia="Garamond" w:hAnsi="Garamond"/>
          <w:color w:val="1C1C1C"/>
          <w:sz w:val="22"/>
          <w:szCs w:val="22"/>
        </w:rPr>
        <w:t xml:space="preserve">La création exige le débordement du cadre académique classique. Les projets hors-les-murs propulsent les étudiant·es dans l'espace public pour asseoir leur souveraineté professionnelle. Mon accompagnement technique pousse la prise de risque et l'adaptation aux espaces d'accueil atypiques. Le déploiement de l'exposition Intermartché démontre l'efficacité de cette infiltration au sein d'une surface commerciale en activité.</w:t>
      </w:r>
    </w:p>
    <w:p>
      <w:pPr>
        <w:spacing w:before="0" w:after="200"/>
      </w:pPr>
    </w:p>
    <w:p>
      <w:pPr>
        <w:spacing w:before="160" w:after="80"/>
      </w:pPr>
      <w:r>
        <w:rPr>
          <w:rFonts w:ascii="Arial" w:cs="Arial" w:eastAsia="Arial" w:hAnsi="Arial"/>
          <w:b/>
          <w:bCs/>
          <w:color w:val="B5451B"/>
          <w:sz w:val="20"/>
          <w:szCs w:val="20"/>
        </w:rPr>
        <w:t xml:space="preserve">9.</w:t>
      </w:r>
    </w:p>
    <w:p>
      <w:pPr>
        <w:pBdr>
          <w:bottom w:val="single" w:color="B5451B" w:sz="6" w:space="4"/>
        </w:pBdr>
        <w:spacing w:before="0" w:after="160"/>
      </w:pPr>
      <w:r>
        <w:rPr>
          <w:rFonts w:ascii="Arial" w:cs="Arial" w:eastAsia="Arial" w:hAnsi="Arial"/>
          <w:b/>
          <w:bCs/>
          <w:color w:val="1C1C1C"/>
          <w:sz w:val="32"/>
          <w:szCs w:val="32"/>
        </w:rPr>
        <w:t xml:space="preserve">Modèle d'évaluation : mesurer la capacité d'action</w:t>
      </w:r>
    </w:p>
    <w:p>
      <w:pPr>
        <w:spacing w:before="0" w:after="80"/>
      </w:pPr>
    </w:p>
    <w:p>
      <w:pPr>
        <w:spacing w:before="0" w:after="160" w:line="276"/>
        <w:jc w:val="both"/>
      </w:pPr>
      <w:r>
        <w:rPr>
          <w:rFonts w:ascii="Garamond" w:cs="Garamond" w:eastAsia="Garamond" w:hAnsi="Garamond"/>
          <w:color w:val="1C1C1C"/>
          <w:sz w:val="22"/>
          <w:szCs w:val="22"/>
        </w:rPr>
        <w:t xml:space="preserve">Le modèle d'évaluation du Master CARMA sanctionne la vitalité du processus de création et l'efficacité de l'étudiant·e dans un environnement complexe. L'évaluation universitaire valide l'acquisition d'une souveraineté professionnelle absolue par l'attribution des crédits ECTS. La grille de notation traduit les actions de terrain en critères académiques mesurables pour valider le semestre.</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none"/>
              <w:left w:val="none"/>
              <w:bottom w:val="none"/>
              <w:right w:val="none"/>
            </w:tcBorders>
            <w:shd w:fill="B5451B" w:val="clear"/>
            <w:tcMar>
              <w:top w:type="dxa" w:w="120"/>
              <w:left w:type="dxa" w:w="180"/>
              <w:bottom w:type="dxa" w:w="120"/>
              <w:right w:type="dxa" w:w="180"/>
            </w:tcMar>
          </w:tcPr>
          <w:p>
            <w:r>
              <w:rPr>
                <w:rFonts w:ascii="Arial" w:cs="Arial" w:eastAsia="Arial" w:hAnsi="Arial"/>
                <w:b/>
                <w:bCs/>
                <w:color w:val="FFFFFF"/>
                <w:sz w:val="20"/>
                <w:szCs w:val="20"/>
              </w:rPr>
              <w:t xml:space="preserve">Critère (Validation ECTS)</w:t>
            </w:r>
          </w:p>
        </w:tc>
        <w:tc>
          <w:tcPr>
            <w:tcW w:type="dxa" w:w="5760"/>
            <w:tcBorders>
              <w:top w:val="none"/>
              <w:left w:val="none"/>
              <w:bottom w:val="none"/>
              <w:right w:val="none"/>
            </w:tcBorders>
            <w:shd w:fill="B5451B" w:val="clear"/>
            <w:tcMar>
              <w:top w:type="dxa" w:w="120"/>
              <w:left w:type="dxa" w:w="180"/>
              <w:bottom w:type="dxa" w:w="120"/>
              <w:right w:type="dxa" w:w="180"/>
            </w:tcMar>
          </w:tcPr>
          <w:p>
            <w:r>
              <w:rPr>
                <w:rFonts w:ascii="Arial" w:cs="Arial" w:eastAsia="Arial" w:hAnsi="Arial"/>
                <w:b/>
                <w:bCs/>
                <w:color w:val="FFFFFF"/>
                <w:sz w:val="20"/>
                <w:szCs w:val="20"/>
              </w:rPr>
              <w:t xml:space="preserve">Description</w:t>
            </w:r>
          </w:p>
        </w:tc>
      </w:tr>
      <w:tr>
        <w:tc>
          <w:tcPr>
            <w:tcW w:type="dxa" w:w="3600"/>
            <w:tcBorders>
              <w:top w:val="single" w:color="D9C9BE" w:sz="1"/>
              <w:left w:val="none"/>
              <w:bottom w:val="single" w:color="D9C9BE" w:sz="1"/>
              <w:right w:val="none"/>
            </w:tcBorders>
            <w:shd w:fill="FFFFFF" w:val="clear"/>
            <w:tcMar>
              <w:top w:type="dxa" w:w="120"/>
              <w:left w:type="dxa" w:w="180"/>
              <w:bottom w:type="dxa" w:w="120"/>
              <w:right w:type="dxa" w:w="180"/>
            </w:tcMar>
          </w:tcPr>
          <w:p>
            <w:pPr>
              <w:spacing w:line="260"/>
            </w:pPr>
            <w:r>
              <w:rPr>
                <w:rFonts w:ascii="Arial" w:cs="Arial" w:eastAsia="Arial" w:hAnsi="Arial"/>
                <w:b/>
                <w:bCs/>
                <w:color w:val="B5451B"/>
                <w:sz w:val="19"/>
                <w:szCs w:val="19"/>
              </w:rPr>
              <w:t xml:space="preserve">Transformation du projet par l'ingénierie physique
(Pratique plastique)</w:t>
            </w:r>
          </w:p>
        </w:tc>
        <w:tc>
          <w:tcPr>
            <w:tcW w:type="dxa" w:w="5760"/>
            <w:tcBorders>
              <w:top w:val="single" w:color="D9C9BE" w:sz="1"/>
              <w:left w:val="none"/>
              <w:bottom w:val="single" w:color="D9C9BE" w:sz="1"/>
              <w:right w:val="none"/>
            </w:tcBorders>
            <w:shd w:fill="FFFFFF" w:val="clear"/>
            <w:tcMar>
              <w:top w:type="dxa" w:w="120"/>
              <w:left w:type="dxa" w:w="180"/>
              <w:bottom w:type="dxa" w:w="120"/>
              <w:right w:type="dxa" w:w="180"/>
            </w:tcMar>
          </w:tcPr>
          <w:p>
            <w:pPr>
              <w:spacing w:line="260"/>
              <w:jc w:val="both"/>
            </w:pPr>
            <w:r>
              <w:rPr>
                <w:rFonts w:ascii="Garamond" w:cs="Garamond" w:eastAsia="Garamond" w:hAnsi="Garamond"/>
                <w:color w:val="1C1C1C"/>
                <w:sz w:val="20"/>
                <w:szCs w:val="20"/>
              </w:rPr>
              <w:t xml:space="preserve">Évaluation de la trajectoire de l'idée initiale jusqu'à sa matérialisation. Le critère central repose sur l'intelligence de la transformation par l'ingénierie physique. L'application du « Minmaxing » sert d'indicateur direct.</w:t>
            </w:r>
          </w:p>
        </w:tc>
      </w:tr>
      <w:tr>
        <w:tc>
          <w:tcPr>
            <w:tcW w:type="dxa" w:w="3600"/>
            <w:tcBorders>
              <w:top w:val="single" w:color="D9C9BE" w:sz="1"/>
              <w:left w:val="none"/>
              <w:bottom w:val="single" w:color="D9C9BE" w:sz="1"/>
              <w:right w:val="none"/>
            </w:tcBorders>
            <w:shd w:fill="F5F0EB" w:val="clear"/>
            <w:tcMar>
              <w:top w:type="dxa" w:w="120"/>
              <w:left w:type="dxa" w:w="180"/>
              <w:bottom w:type="dxa" w:w="120"/>
              <w:right w:type="dxa" w:w="180"/>
            </w:tcMar>
          </w:tcPr>
          <w:p>
            <w:pPr>
              <w:spacing w:line="260"/>
            </w:pPr>
            <w:r>
              <w:rPr>
                <w:rFonts w:ascii="Arial" w:cs="Arial" w:eastAsia="Arial" w:hAnsi="Arial"/>
                <w:b/>
                <w:bCs/>
                <w:color w:val="B5451B"/>
                <w:sz w:val="19"/>
                <w:szCs w:val="19"/>
              </w:rPr>
              <w:t xml:space="preserve">Prise de risque et adaptation aux espaces atypiques
(Expérimentation spatiale)</w:t>
            </w:r>
          </w:p>
        </w:tc>
        <w:tc>
          <w:tcPr>
            <w:tcW w:type="dxa" w:w="5760"/>
            <w:tcBorders>
              <w:top w:val="single" w:color="D9C9BE" w:sz="1"/>
              <w:left w:val="none"/>
              <w:bottom w:val="single" w:color="D9C9BE" w:sz="1"/>
              <w:right w:val="none"/>
            </w:tcBorders>
            <w:shd w:fill="F5F0EB" w:val="clear"/>
            <w:tcMar>
              <w:top w:type="dxa" w:w="120"/>
              <w:left w:type="dxa" w:w="180"/>
              <w:bottom w:type="dxa" w:w="120"/>
              <w:right w:type="dxa" w:w="180"/>
            </w:tcMar>
          </w:tcPr>
          <w:p>
            <w:pPr>
              <w:spacing w:line="260"/>
              <w:jc w:val="both"/>
            </w:pPr>
            <w:r>
              <w:rPr>
                <w:rFonts w:ascii="Garamond" w:cs="Garamond" w:eastAsia="Garamond" w:hAnsi="Garamond"/>
                <w:color w:val="1C1C1C"/>
                <w:sz w:val="20"/>
                <w:szCs w:val="20"/>
              </w:rPr>
              <w:t xml:space="preserve">L'évaluation récompense la prise de risque formelle, structurelle et contextuelle. Audace des assemblages complexes en hauteur, expérimentation des échelles monumentales, investissement d'espaces atypiques.</w:t>
            </w:r>
          </w:p>
        </w:tc>
      </w:tr>
      <w:tr>
        <w:tc>
          <w:tcPr>
            <w:tcW w:type="dxa" w:w="3600"/>
            <w:tcBorders>
              <w:top w:val="single" w:color="D9C9BE" w:sz="1"/>
              <w:left w:val="none"/>
              <w:bottom w:val="single" w:color="D9C9BE" w:sz="1"/>
              <w:right w:val="none"/>
            </w:tcBorders>
            <w:shd w:fill="FFFFFF" w:val="clear"/>
            <w:tcMar>
              <w:top w:type="dxa" w:w="120"/>
              <w:left w:type="dxa" w:w="180"/>
              <w:bottom w:type="dxa" w:w="120"/>
              <w:right w:type="dxa" w:w="180"/>
            </w:tcMar>
          </w:tcPr>
          <w:p>
            <w:pPr>
              <w:spacing w:line="260"/>
            </w:pPr>
            <w:r>
              <w:rPr>
                <w:rFonts w:ascii="Arial" w:cs="Arial" w:eastAsia="Arial" w:hAnsi="Arial"/>
                <w:b/>
                <w:bCs/>
                <w:color w:val="B5451B"/>
                <w:sz w:val="19"/>
                <w:szCs w:val="19"/>
              </w:rPr>
              <w:t xml:space="preserve">Agilité logistique et économie autonome
(Professionnalisation)</w:t>
            </w:r>
          </w:p>
        </w:tc>
        <w:tc>
          <w:tcPr>
            <w:tcW w:type="dxa" w:w="5760"/>
            <w:tcBorders>
              <w:top w:val="single" w:color="D9C9BE" w:sz="1"/>
              <w:left w:val="none"/>
              <w:bottom w:val="single" w:color="D9C9BE" w:sz="1"/>
              <w:right w:val="none"/>
            </w:tcBorders>
            <w:shd w:fill="FFFFFF" w:val="clear"/>
            <w:tcMar>
              <w:top w:type="dxa" w:w="120"/>
              <w:left w:type="dxa" w:w="180"/>
              <w:bottom w:type="dxa" w:w="120"/>
              <w:right w:type="dxa" w:w="180"/>
            </w:tcMar>
          </w:tcPr>
          <w:p>
            <w:pPr>
              <w:spacing w:line="260"/>
              <w:jc w:val="both"/>
            </w:pPr>
            <w:r>
              <w:rPr>
                <w:rFonts w:ascii="Garamond" w:cs="Garamond" w:eastAsia="Garamond" w:hAnsi="Garamond"/>
                <w:color w:val="1C1C1C"/>
                <w:sz w:val="20"/>
                <w:szCs w:val="20"/>
              </w:rPr>
              <w:t xml:space="preserve">La grille mesure la réactivité face aux aléas du montage. Validation de l'invention de solutions alternatives, déploiement de circuits d'échange alternatifs, maîtrise de l'administration culturelle.</w:t>
            </w:r>
          </w:p>
        </w:tc>
      </w:tr>
      <w:tr>
        <w:tc>
          <w:tcPr>
            <w:tcW w:type="dxa" w:w="3600"/>
            <w:tcBorders>
              <w:top w:val="single" w:color="D9C9BE" w:sz="1"/>
              <w:left w:val="none"/>
              <w:bottom w:val="single" w:color="D9C9BE" w:sz="1"/>
              <w:right w:val="none"/>
            </w:tcBorders>
            <w:shd w:fill="F5F0EB" w:val="clear"/>
            <w:tcMar>
              <w:top w:type="dxa" w:w="120"/>
              <w:left w:type="dxa" w:w="180"/>
              <w:bottom w:type="dxa" w:w="120"/>
              <w:right w:type="dxa" w:w="180"/>
            </w:tcMar>
          </w:tcPr>
          <w:p>
            <w:pPr>
              <w:spacing w:line="260"/>
            </w:pPr>
            <w:r>
              <w:rPr>
                <w:rFonts w:ascii="Arial" w:cs="Arial" w:eastAsia="Arial" w:hAnsi="Arial"/>
                <w:b/>
                <w:bCs/>
                <w:color w:val="B5451B"/>
                <w:sz w:val="19"/>
                <w:szCs w:val="19"/>
              </w:rPr>
              <w:t xml:space="preserve">Engagement collectif au sein de l'agence nomade
(Travail collaboratif)</w:t>
            </w:r>
          </w:p>
        </w:tc>
        <w:tc>
          <w:tcPr>
            <w:tcW w:type="dxa" w:w="5760"/>
            <w:tcBorders>
              <w:top w:val="single" w:color="D9C9BE" w:sz="1"/>
              <w:left w:val="none"/>
              <w:bottom w:val="single" w:color="D9C9BE" w:sz="1"/>
              <w:right w:val="none"/>
            </w:tcBorders>
            <w:shd w:fill="F5F0EB" w:val="clear"/>
            <w:tcMar>
              <w:top w:type="dxa" w:w="120"/>
              <w:left w:type="dxa" w:w="180"/>
              <w:bottom w:type="dxa" w:w="120"/>
              <w:right w:type="dxa" w:w="180"/>
            </w:tcMar>
          </w:tcPr>
          <w:p>
            <w:pPr>
              <w:spacing w:line="260"/>
              <w:jc w:val="both"/>
            </w:pPr>
            <w:r>
              <w:rPr>
                <w:rFonts w:ascii="Garamond" w:cs="Garamond" w:eastAsia="Garamond" w:hAnsi="Garamond"/>
                <w:color w:val="1C1C1C"/>
                <w:sz w:val="20"/>
                <w:szCs w:val="20"/>
              </w:rPr>
              <w:t xml:space="preserve">Évaluation de l'implication individuelle au service du déploiement global. Participation active à la pratique du chantier, prise de responsabilité directe (régie, administration, commissariat).</w:t>
            </w:r>
          </w:p>
        </w:tc>
      </w:tr>
      <w:tr>
        <w:tc>
          <w:tcPr>
            <w:tcW w:type="dxa" w:w="3600"/>
            <w:tcBorders>
              <w:top w:val="single" w:color="D9C9BE" w:sz="1"/>
              <w:left w:val="none"/>
              <w:bottom w:val="single" w:color="D9C9BE" w:sz="1"/>
              <w:right w:val="none"/>
            </w:tcBorders>
            <w:shd w:fill="FFFFFF" w:val="clear"/>
            <w:tcMar>
              <w:top w:type="dxa" w:w="120"/>
              <w:left w:type="dxa" w:w="180"/>
              <w:bottom w:type="dxa" w:w="120"/>
              <w:right w:type="dxa" w:w="180"/>
            </w:tcMar>
          </w:tcPr>
          <w:p>
            <w:pPr>
              <w:spacing w:line="260"/>
            </w:pPr>
            <w:r>
              <w:rPr>
                <w:rFonts w:ascii="Arial" w:cs="Arial" w:eastAsia="Arial" w:hAnsi="Arial"/>
                <w:b/>
                <w:bCs/>
                <w:color w:val="B5451B"/>
                <w:sz w:val="19"/>
                <w:szCs w:val="19"/>
              </w:rPr>
              <w:t xml:space="preserve">Réflexion critique et articulation du discours
(Méthodologie et restitution)</w:t>
            </w:r>
          </w:p>
        </w:tc>
        <w:tc>
          <w:tcPr>
            <w:tcW w:type="dxa" w:w="5760"/>
            <w:tcBorders>
              <w:top w:val="single" w:color="D9C9BE" w:sz="1"/>
              <w:left w:val="none"/>
              <w:bottom w:val="single" w:color="D9C9BE" w:sz="1"/>
              <w:right w:val="none"/>
            </w:tcBorders>
            <w:shd w:fill="FFFFFF" w:val="clear"/>
            <w:tcMar>
              <w:top w:type="dxa" w:w="120"/>
              <w:left w:type="dxa" w:w="180"/>
              <w:bottom w:type="dxa" w:w="120"/>
              <w:right w:type="dxa" w:w="180"/>
            </w:tcMar>
          </w:tcPr>
          <w:p>
            <w:pPr>
              <w:spacing w:line="260"/>
              <w:jc w:val="both"/>
            </w:pPr>
            <w:r>
              <w:rPr>
                <w:rFonts w:ascii="Garamond" w:cs="Garamond" w:eastAsia="Garamond" w:hAnsi="Garamond"/>
                <w:color w:val="1C1C1C"/>
                <w:sz w:val="20"/>
                <w:szCs w:val="20"/>
              </w:rPr>
              <w:t xml:space="preserve">Évaluation de la soutenance orale face aux professionnel·les. Archive rigoureuse, précision des fiches techniques, impact territorial de la médiation publique.</w:t>
            </w:r>
          </w:p>
        </w:tc>
      </w:tr>
    </w:tbl>
    <w:p>
      <w:pPr>
        <w:spacing w:before="0" w:after="200"/>
      </w:pPr>
    </w:p>
    <w:p>
      <w:pPr>
        <w:spacing w:before="0" w:after="160" w:line="276"/>
        <w:jc w:val="both"/>
      </w:pPr>
      <w:r>
        <w:rPr>
          <w:rFonts w:ascii="Garamond" w:cs="Garamond" w:eastAsia="Garamond" w:hAnsi="Garamond"/>
          <w:color w:val="1C1C1C"/>
          <w:sz w:val="22"/>
          <w:szCs w:val="22"/>
        </w:rPr>
        <w:t xml:space="preserve">La rigueur de cette grille d'évaluation garantit le déploiement ambitieux de l'atelier sur un cycle de croissance triennal.</w:t>
      </w:r>
    </w:p>
    <w:p>
      <w:pPr>
        <w:spacing w:before="0" w:after="200"/>
      </w:pPr>
    </w:p>
    <w:p>
      <w:pPr>
        <w:spacing w:before="160" w:after="80"/>
      </w:pPr>
      <w:r>
        <w:rPr>
          <w:rFonts w:ascii="Arial" w:cs="Arial" w:eastAsia="Arial" w:hAnsi="Arial"/>
          <w:b/>
          <w:bCs/>
          <w:color w:val="B5451B"/>
          <w:sz w:val="20"/>
          <w:szCs w:val="20"/>
        </w:rPr>
        <w:t xml:space="preserve">10.</w:t>
      </w:r>
    </w:p>
    <w:p>
      <w:pPr>
        <w:pBdr>
          <w:bottom w:val="single" w:color="B5451B" w:sz="6" w:space="4"/>
        </w:pBdr>
        <w:spacing w:before="0" w:after="160"/>
      </w:pPr>
      <w:r>
        <w:rPr>
          <w:rFonts w:ascii="Arial" w:cs="Arial" w:eastAsia="Arial" w:hAnsi="Arial"/>
          <w:b/>
          <w:bCs/>
          <w:color w:val="1C1C1C"/>
          <w:sz w:val="32"/>
          <w:szCs w:val="32"/>
        </w:rPr>
        <w:t xml:space="preserve">Projection pédagogique à 3 ans : L'atelier comme projet au long cours</w:t>
      </w:r>
    </w:p>
    <w:p>
      <w:pPr>
        <w:spacing w:before="0" w:after="80"/>
      </w:pPr>
    </w:p>
    <w:p>
      <w:pPr>
        <w:spacing w:before="0" w:after="160" w:line="276"/>
        <w:jc w:val="both"/>
      </w:pPr>
      <w:r>
        <w:rPr>
          <w:rFonts w:ascii="Garamond" w:cs="Garamond" w:eastAsia="Garamond" w:hAnsi="Garamond"/>
          <w:color w:val="1C1C1C"/>
          <w:sz w:val="22"/>
          <w:szCs w:val="22"/>
        </w:rPr>
        <w:t xml:space="preserve">J'envisage la direction de cet atelier sur trois ans comme une performance curatoriale et logistique au long cours. Le Master CARMA se déploie comme un projet artistique évolutif. Ce mandat triennal instaure un cycle de croissance intensive, basé sur l'optimisation continue des ressources matérielles, humaines et institutionnelles. L'université s'affirme comme un camp de base logistique et une plateforme d'activation pour déployer des situations artistiques tangibles.</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shd w:fill="B5451B" w:val="clear"/>
            <w:tcMar>
              <w:top w:type="dxa" w:w="160"/>
              <w:left w:type="dxa" w:w="180"/>
              <w:bottom w:type="dxa" w:w="160"/>
              <w:right w:type="dxa" w:w="180"/>
            </w:tcMar>
            <w:vAlign w:val="center"/>
          </w:tcPr>
          <w:p>
            <w:pPr>
              <w:jc w:val="center"/>
            </w:pPr>
            <w:r>
              <w:rPr>
                <w:rFonts w:ascii="Arial" w:cs="Arial" w:eastAsia="Arial" w:hAnsi="Arial"/>
                <w:b/>
                <w:bCs/>
                <w:color w:val="FFFFFF"/>
                <w:sz w:val="28"/>
                <w:szCs w:val="28"/>
              </w:rPr>
              <w:t xml:space="preserve">Année 1</w:t>
            </w:r>
          </w:p>
        </w:tc>
        <w:tc>
          <w:tcPr>
            <w:tcW w:type="dxa" w:w="7760"/>
            <w:tcBorders>
              <w:top w:val="none"/>
              <w:left w:val="none"/>
              <w:bottom w:val="none"/>
              <w:right w:val="none"/>
            </w:tcBorders>
            <w:shd w:fill="F5F0EB" w:val="clear"/>
            <w:tcMar>
              <w:top w:type="dxa" w:w="160"/>
              <w:left w:type="dxa" w:w="240"/>
              <w:bottom w:type="dxa" w:w="160"/>
              <w:right w:type="dxa" w:w="180"/>
            </w:tcMar>
          </w:tcPr>
          <w:p>
            <w:pPr>
              <w:spacing w:before="0" w:after="80"/>
            </w:pPr>
            <w:r>
              <w:rPr>
                <w:rFonts w:ascii="Arial" w:cs="Arial" w:eastAsia="Arial" w:hAnsi="Arial"/>
                <w:b/>
                <w:bCs/>
                <w:color w:val="1C1C1C"/>
                <w:sz w:val="22"/>
                <w:szCs w:val="22"/>
              </w:rPr>
              <w:t xml:space="preserve">La sédimentation des savoirs et l'ancrage territorial</w:t>
            </w:r>
          </w:p>
          <w:p>
            <w:pPr>
              <w:spacing w:line="270"/>
              <w:jc w:val="both"/>
            </w:pPr>
            <w:r>
              <w:rPr>
                <w:rFonts w:ascii="Garamond" w:cs="Garamond" w:eastAsia="Garamond" w:hAnsi="Garamond"/>
                <w:color w:val="1C1C1C"/>
                <w:sz w:val="21"/>
                <w:szCs w:val="21"/>
              </w:rPr>
              <w:t xml:space="preserve">La première année pose les fondations logistiques et méthodologiques de l'atelier par l'immersion totale dans la pratique du chantier. L'application de la stratégie d'optimisation du « Minmaxing » entraîne les étudiant·es à la résolution de problèmes par l'ingénierie physique et au réemploi systématique des matériaux. L'atelier se structure immédiatement en agence de production nomade. Les étudiant·es reprennent les acquis de leurs prédécesseurs pour concevoir des expositions grandeur nature toujours plus complexes. J'amorce en parallèle les partenariats locaux avec le CIAM et les centres d'art toulousains pour définir les cadres d'accueil institutionnels de leurs premières restitutions publiques.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shd w:fill="B5451B" w:val="clear"/>
            <w:tcMar>
              <w:top w:type="dxa" w:w="160"/>
              <w:left w:type="dxa" w:w="180"/>
              <w:bottom w:type="dxa" w:w="160"/>
              <w:right w:type="dxa" w:w="180"/>
            </w:tcMar>
            <w:vAlign w:val="center"/>
          </w:tcPr>
          <w:p>
            <w:pPr>
              <w:jc w:val="center"/>
            </w:pPr>
            <w:r>
              <w:rPr>
                <w:rFonts w:ascii="Arial" w:cs="Arial" w:eastAsia="Arial" w:hAnsi="Arial"/>
                <w:b/>
                <w:bCs/>
                <w:color w:val="FFFFFF"/>
                <w:sz w:val="28"/>
                <w:szCs w:val="28"/>
              </w:rPr>
              <w:t xml:space="preserve">Année 2</w:t>
            </w:r>
          </w:p>
        </w:tc>
        <w:tc>
          <w:tcPr>
            <w:tcW w:type="dxa" w:w="7760"/>
            <w:tcBorders>
              <w:top w:val="none"/>
              <w:left w:val="none"/>
              <w:bottom w:val="none"/>
              <w:right w:val="none"/>
            </w:tcBorders>
            <w:shd w:fill="F5F0EB" w:val="clear"/>
            <w:tcMar>
              <w:top w:type="dxa" w:w="160"/>
              <w:left w:type="dxa" w:w="240"/>
              <w:bottom w:type="dxa" w:w="160"/>
              <w:right w:type="dxa" w:w="180"/>
            </w:tcMar>
          </w:tcPr>
          <w:p>
            <w:pPr>
              <w:spacing w:before="0" w:after="80"/>
            </w:pPr>
            <w:r>
              <w:rPr>
                <w:rFonts w:ascii="Arial" w:cs="Arial" w:eastAsia="Arial" w:hAnsi="Arial"/>
                <w:b/>
                <w:bCs/>
                <w:color w:val="1C1C1C"/>
                <w:sz w:val="22"/>
                <w:szCs w:val="22"/>
              </w:rPr>
              <w:t xml:space="preserve">L'expansion du réseau et la constitution de l'archive</w:t>
            </w:r>
          </w:p>
          <w:p>
            <w:pPr>
              <w:spacing w:line="270"/>
              <w:jc w:val="both"/>
            </w:pPr>
            <w:r>
              <w:rPr>
                <w:rFonts w:ascii="Garamond" w:cs="Garamond" w:eastAsia="Garamond" w:hAnsi="Garamond"/>
                <w:color w:val="1C1C1C"/>
                <w:sz w:val="21"/>
                <w:szCs w:val="21"/>
              </w:rPr>
              <w:t xml:space="preserve">La deuxième année élargit considérablement le périmètre d'action du Master. J'active mon réseau national pour implanter des professionnel·les en activité au cœur même du processus de fabrication. Cette invitation déclenche une mise en commun immédiate des forces de travail et favorise l'apprentissage des circuits d'échange alternatifs. Ce maillage relationnel dense équipe les diplômé·es d'un carnet d'adresses opérationnel, garantissant leur souveraineté professionnelle. Parallèlement, la production d'archives structure la mémoire de ce projet d'envergure. Ce corpus documentaire alimente les recherches du laboratoire LLA Creatis.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shd w:fill="B5451B" w:val="clear"/>
            <w:tcMar>
              <w:top w:type="dxa" w:w="160"/>
              <w:left w:type="dxa" w:w="180"/>
              <w:bottom w:type="dxa" w:w="160"/>
              <w:right w:type="dxa" w:w="180"/>
            </w:tcMar>
            <w:vAlign w:val="center"/>
          </w:tcPr>
          <w:p>
            <w:pPr>
              <w:jc w:val="center"/>
            </w:pPr>
            <w:r>
              <w:rPr>
                <w:rFonts w:ascii="Arial" w:cs="Arial" w:eastAsia="Arial" w:hAnsi="Arial"/>
                <w:b/>
                <w:bCs/>
                <w:color w:val="FFFFFF"/>
                <w:sz w:val="28"/>
                <w:szCs w:val="28"/>
              </w:rPr>
              <w:t xml:space="preserve">Année 3</w:t>
            </w:r>
          </w:p>
        </w:tc>
        <w:tc>
          <w:tcPr>
            <w:tcW w:type="dxa" w:w="7760"/>
            <w:tcBorders>
              <w:top w:val="none"/>
              <w:left w:val="none"/>
              <w:bottom w:val="none"/>
              <w:right w:val="none"/>
            </w:tcBorders>
            <w:shd w:fill="F5F0EB" w:val="clear"/>
            <w:tcMar>
              <w:top w:type="dxa" w:w="160"/>
              <w:left w:type="dxa" w:w="240"/>
              <w:bottom w:type="dxa" w:w="160"/>
              <w:right w:type="dxa" w:w="180"/>
            </w:tcMar>
          </w:tcPr>
          <w:p>
            <w:pPr>
              <w:spacing w:before="0" w:after="80"/>
            </w:pPr>
            <w:r>
              <w:rPr>
                <w:rFonts w:ascii="Arial" w:cs="Arial" w:eastAsia="Arial" w:hAnsi="Arial"/>
                <w:b/>
                <w:bCs/>
                <w:color w:val="1C1C1C"/>
                <w:sz w:val="22"/>
                <w:szCs w:val="22"/>
              </w:rPr>
              <w:t xml:space="preserve">L'infiltration institutionnelle et l'impact territorial maximal</w:t>
            </w:r>
          </w:p>
          <w:p>
            <w:pPr>
              <w:spacing w:line="270"/>
              <w:jc w:val="both"/>
            </w:pPr>
            <w:r>
              <w:rPr>
                <w:rFonts w:ascii="Garamond" w:cs="Garamond" w:eastAsia="Garamond" w:hAnsi="Garamond"/>
                <w:color w:val="1C1C1C"/>
                <w:sz w:val="21"/>
                <w:szCs w:val="21"/>
              </w:rPr>
              <w:t xml:space="preserve">La visibilité publique du Master s'intensifie par une infiltration institutionnelle et spatiale croissante. L'envergure des restitutions augmente à chaque cycle semestriel pour valider l'acquisition d'une souveraineté technique et administrative absolue. Les expositions s'implantent avec autorité dans les centres d'art partenaires et investissent les zones commerciales ou urbaines par l'adaptation aux espaces d'accueil atypiques. Les interventions hors-les-murs, conçues dans l'esprit du projet Intermartché, imposent la présence du département dans l'espace social. Le diplôme s'affirme ainsi comme un label d'exigence professionnelle et d'audace plastique sur la scène artistique.</w:t>
            </w:r>
          </w:p>
        </w:tc>
      </w:tr>
    </w:tbl>
    <w:p>
      <w:pPr>
        <w:spacing w:before="0" w:after="80"/>
      </w:pPr>
    </w:p>
    <w:sectPr>
      <w:headerReference w:type="default" r:id="rId6"/>
      <w:footerReference w:type="default" r:id="rId7"/>
      <w:pgSz w:w="11906" w:h="16838" w:orient="portrait"/>
      <w:pgMar w:top="1200" w:right="126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9BE" w:sz="2" w:space="4"/>
      </w:pBdr>
      <w:tabs>
        <w:tab w:val="right" w:pos="9360"/>
      </w:tabs>
      <w:spacing w:before="80" w:after="0"/>
    </w:pPr>
    <w:r>
      <w:rPr>
        <w:rFonts w:ascii="Arial" w:cs="Arial" w:eastAsia="Arial" w:hAnsi="Arial"/>
        <w:color w:val="4A4A4A"/>
        <w:sz w:val="16"/>
        <w:szCs w:val="16"/>
      </w:rPr>
      <w:t xml:space="preserve">Master CARMA — Université</w:t>
    </w:r>
    <w:r>
      <w:t xml:space="preserv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451B" w:sz="4" w:space="4"/>
      </w:pBdr>
      <w:tabs>
        <w:tab w:val="right" w:pos="9360"/>
      </w:tabs>
      <w:spacing w:before="0" w:after="100"/>
    </w:pPr>
    <w:r>
      <w:rPr>
        <w:rFonts w:ascii="Arial" w:cs="Arial" w:eastAsia="Arial" w:hAnsi="Arial"/>
        <w:color w:val="4A4A4A"/>
        <w:sz w:val="16"/>
        <w:szCs w:val="16"/>
      </w:rPr>
      <w:t xml:space="preserve">Projet Pédagogique — Master CARMA</w:t>
    </w:r>
    <w:r>
      <w:t xml:space="preserve">	</w:t>
    </w:r>
    <w:r>
      <w:rPr>
        <w:rFonts w:ascii="Arial" w:cs="Arial" w:eastAsia="Arial" w:hAnsi="Arial"/>
        <w:i/>
        <w:iCs/>
        <w:color w:val="B5451B"/>
        <w:sz w:val="16"/>
        <w:szCs w:val="16"/>
      </w:rPr>
      <w:t xml:space="preserve">Atelier Création-Exposition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2026-03-05T18:00:13.954Z</dcterms:created>
  <dcterms:modified xsi:type="dcterms:W3CDTF">2026-03-05T18:00:13.975Z</dcterms:modified>
</cp:coreProperties>
</file>

<file path=docProps/custom.xml><?xml version="1.0" encoding="utf-8"?>
<Properties xmlns="http://schemas.openxmlformats.org/officeDocument/2006/custom-properties" xmlns:vt="http://schemas.openxmlformats.org/officeDocument/2006/docPropsVTypes"/>
</file>