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3.png" ContentType="image/png"/>
  <Override PartName="/word/media/rId28.png" ContentType="image/png"/>
  <Override PartName="/word/media/rId3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a4a56ac337a79cd7011b81b530ccc5d7169436d"/>
    <w:p>
      <w:pPr>
        <w:pStyle w:val="Ttulo1"/>
      </w:pPr>
      <w:r>
        <w:t xml:space="preserve">Documentación Técnica: Technical Documentation Agent</w:t>
      </w:r>
    </w:p>
    <w:bookmarkStart w:id="10" w:name="identificación-del-producto"/>
    <w:p>
      <w:pPr>
        <w:pStyle w:val="Ttulo2"/>
      </w:pPr>
      <w:r>
        <w:t xml:space="preserve">Identificación del Producto</w:t>
      </w:r>
    </w:p>
    <w:tbl>
      <w:tblPr>
        <w:tblStyle w:val="Tablaconcuadrcula"/>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Producto</w:t>
            </w:r>
          </w:p>
        </w:tc>
        <w:tc>
          <w:tcPr/>
          <w:p>
            <w:pPr>
              <w:pStyle w:val="Compact"/>
            </w:pPr>
            <w:r>
              <w:t xml:space="preserve">Dueño de aplicación</w:t>
            </w:r>
          </w:p>
        </w:tc>
        <w:tc>
          <w:tcPr/>
          <w:p>
            <w:pPr>
              <w:pStyle w:val="Compact"/>
            </w:pPr>
            <w:r>
              <w:t xml:space="preserve">Plataforma</w:t>
            </w:r>
          </w:p>
        </w:tc>
        <w:tc>
          <w:tcPr/>
          <w:p>
            <w:pPr>
              <w:pStyle w:val="Compact"/>
            </w:pPr>
            <w:r>
              <w:t xml:space="preserve">Líder de Proyecto TI</w:t>
            </w:r>
          </w:p>
        </w:tc>
        <w:tc>
          <w:tcPr/>
          <w:p>
            <w:pPr>
              <w:pStyle w:val="Compact"/>
            </w:pPr>
            <w:r>
              <w:t xml:space="preserve">Desarrollador</w:t>
            </w:r>
          </w:p>
        </w:tc>
      </w:tr>
      <w:tr>
        <w:tc>
          <w:tcPr/>
          <w:p>
            <w:pPr>
              <w:pStyle w:val="Compact"/>
            </w:pPr>
            <w:r>
              <w:rPr>
                <w:rStyle w:val="VerbatimChar"/>
              </w:rPr>
              <w:t xml:space="preserve">sdd-technical-doc</w:t>
            </w:r>
          </w:p>
        </w:tc>
        <w:tc>
          <w:tcPr/>
          <w:p>
            <w:pPr>
              <w:pStyle w:val="Compact"/>
            </w:pPr>
            <w:r>
              <w:t xml:space="preserve">Información no disponible en la evidencia archivada.</w:t>
            </w:r>
          </w:p>
        </w:tc>
        <w:tc>
          <w:tcPr/>
          <w:p>
            <w:pPr>
              <w:pStyle w:val="Compact"/>
            </w:pPr>
            <w:r>
              <w:t xml:space="preserve">OpenCode / SDD / OpenSpec</w:t>
            </w:r>
          </w:p>
        </w:tc>
        <w:tc>
          <w:tcPr/>
          <w:p>
            <w:pPr>
              <w:pStyle w:val="Compact"/>
            </w:pPr>
            <w:r>
              <w:t xml:space="preserve">Información no disponible en la evidencia archivada.</w:t>
            </w:r>
          </w:p>
        </w:tc>
        <w:tc>
          <w:tcPr/>
          <w:p>
            <w:pPr>
              <w:pStyle w:val="Compact"/>
            </w:pPr>
            <w:r>
              <w:t xml:space="preserve">Información no disponible en la evidencia archivada.</w:t>
            </w:r>
          </w:p>
        </w:tc>
      </w:tr>
    </w:tbl>
    <w:bookmarkStart w:id="9" w:name="referencias"/>
    <w:p>
      <w:pPr>
        <w:pStyle w:val="Ttulo3"/>
      </w:pPr>
      <w:r>
        <w:t xml:space="preserve">Referencias</w:t>
      </w:r>
    </w:p>
    <w:p>
      <w:pPr>
        <w:pStyle w:val="FirstParagraph"/>
      </w:pPr>
      <w:r>
        <w:t xml:space="preserve">No aplica.</w:t>
      </w:r>
    </w:p>
    <w:bookmarkEnd w:id="9"/>
    <w:bookmarkEnd w:id="10"/>
    <w:bookmarkEnd w:id="11"/>
    <w:bookmarkStart w:id="17" w:name="presentación-del-producto"/>
    <w:p>
      <w:pPr>
        <w:pStyle w:val="Ttulo1"/>
      </w:pPr>
      <w:r>
        <w:t xml:space="preserve">1. Presentación del Producto</w:t>
      </w:r>
    </w:p>
    <w:p>
      <w:pPr>
        <w:pStyle w:val="FirstParagraph"/>
      </w:pPr>
      <w:r>
        <w:t xml:space="preserve">El cambio</w:t>
      </w:r>
      <w:r>
        <w:t xml:space="preserve"> </w:t>
      </w:r>
      <w:r>
        <w:rPr>
          <w:rStyle w:val="VerbatimChar"/>
        </w:rPr>
        <w:t xml:space="preserve">technical-documentation-agent</w:t>
      </w:r>
      <w:r>
        <w:t xml:space="preserve"> </w:t>
      </w:r>
      <w:r>
        <w:t xml:space="preserve">incorporó una utilidad manual posterior al archivado llamada</w:t>
      </w:r>
      <w:r>
        <w:t xml:space="preserve"> </w:t>
      </w:r>
      <w:r>
        <w:rPr>
          <w:rStyle w:val="VerbatimChar"/>
        </w:rPr>
        <w:t xml:space="preserve">sdd-technical-doc</w:t>
      </w:r>
      <w:r>
        <w:t xml:space="preserve">. La utilidad genera un único documento técnico Markdown en español profesional a partir de evidencia SDD ya archivada, sin modificar el DAG activo, el ruteo de estado, las puertas de verificación, las puertas de archivado ni los artefactos archivados de la evidencia original.</w:t>
      </w:r>
    </w:p>
    <w:bookmarkStart w:id="12" w:name="objetivo"/>
    <w:p>
      <w:pPr>
        <w:pStyle w:val="Ttulo2"/>
      </w:pPr>
      <w:r>
        <w:t xml:space="preserve">1.1 Objetivo</w:t>
      </w:r>
    </w:p>
    <w:p>
      <w:pPr>
        <w:pStyle w:val="FirstParagraph"/>
      </w:pPr>
      <w:r>
        <w:t xml:space="preserve">Generar documentación técnica final y repetible para cambios SDD ya archivados, usando únicamente evidencia archivada y marcadores explícitos cuando una sección no aplica o cuando falta información.</w:t>
      </w:r>
    </w:p>
    <w:bookmarkEnd w:id="12"/>
    <w:bookmarkStart w:id="13" w:name="alcance"/>
    <w:p>
      <w:pPr>
        <w:pStyle w:val="Ttulo2"/>
      </w:pPr>
      <w:r>
        <w:t xml:space="preserve">1.2 Alcance</w:t>
      </w:r>
    </w:p>
    <w:p>
      <w:pPr>
        <w:pStyle w:val="FirstParagraph"/>
      </w:pPr>
      <w:r>
        <w:t xml:space="preserve">El alcance incluye la creación de una skill</w:t>
      </w:r>
      <w:r>
        <w:t xml:space="preserve"> </w:t>
      </w:r>
      <w:r>
        <w:rPr>
          <w:rStyle w:val="VerbatimChar"/>
        </w:rPr>
        <w:t xml:space="preserve">sdd-technical-doc</w:t>
      </w:r>
      <w:r>
        <w:t xml:space="preserve">, una plantilla Markdown en español, un agente ejecutor liviano y documentación del límite manual posterior al archivado en</w:t>
      </w:r>
      <w:r>
        <w:t xml:space="preserve"> </w:t>
      </w:r>
      <w:r>
        <w:rPr>
          <w:rStyle w:val="VerbatimChar"/>
        </w:rPr>
        <w:t xml:space="preserve">README.md</w:t>
      </w:r>
      <w:r>
        <w:t xml:space="preserve"> </w:t>
      </w:r>
      <w:r>
        <w:t xml:space="preserve">y</w:t>
      </w:r>
      <w:r>
        <w:t xml:space="preserve"> </w:t>
      </w:r>
      <w:r>
        <w:rPr>
          <w:rStyle w:val="VerbatimChar"/>
        </w:rPr>
        <w:t xml:space="preserve">AGENTS.md</w:t>
      </w:r>
      <w:r>
        <w:t xml:space="preserve">. El cambio también sincronizó especificaciones OpenSpec fuente para dejar registrado que la utilidad no es una fase requerida del flujo SDD.</w:t>
      </w:r>
    </w:p>
    <w:tbl>
      <w:tblPr>
        <w:tblStyle w:val="Tablaconcuadrcula"/>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Esquema.Objeto</w:t>
            </w:r>
          </w:p>
        </w:tc>
        <w:tc>
          <w:tcPr/>
          <w:p>
            <w:pPr>
              <w:pStyle w:val="Compact"/>
            </w:pPr>
            <w:r>
              <w:t xml:space="preserve">Operacion</w:t>
            </w:r>
          </w:p>
        </w:tc>
        <w:tc>
          <w:tcPr/>
          <w:p>
            <w:pPr>
              <w:pStyle w:val="Compact"/>
            </w:pPr>
            <w:r>
              <w:t xml:space="preserve">Descripcion funcional</w:t>
            </w:r>
          </w:p>
        </w:tc>
      </w:tr>
      <w:tr>
        <w:tc>
          <w:tcPr/>
          <w:p>
            <w:pPr>
              <w:pStyle w:val="Compact"/>
            </w:pPr>
            <w:r>
              <w:t xml:space="preserve">Información no disponible en la evidencia archivada.</w:t>
            </w:r>
          </w:p>
        </w:tc>
        <w:tc>
          <w:tcPr/>
          <w:p>
            <w:pPr>
              <w:pStyle w:val="Compact"/>
            </w:pPr>
            <w:r>
              <w:rPr>
                <w:rStyle w:val="VerbatimChar"/>
              </w:rPr>
              <w:t xml:space="preserve">skills/sdd-technical-doc/SKILL.md</w:t>
            </w:r>
          </w:p>
        </w:tc>
        <w:tc>
          <w:tcPr/>
          <w:p>
            <w:pPr>
              <w:pStyle w:val="Compact"/>
            </w:pPr>
            <w:r>
              <w:t xml:space="preserve">CREATE</w:t>
            </w:r>
          </w:p>
        </w:tc>
        <w:tc>
          <w:tcPr/>
          <w:p>
            <w:pPr>
              <w:pStyle w:val="Compact"/>
            </w:pPr>
            <w:r>
              <w:t xml:space="preserve">Contrato de ejecución manual posterior al archivado para generar documentación técnica desde evidencia archivada.</w:t>
            </w:r>
          </w:p>
        </w:tc>
      </w:tr>
      <w:tr>
        <w:tc>
          <w:tcPr/>
          <w:p>
            <w:pPr>
              <w:pStyle w:val="Compact"/>
            </w:pPr>
            <w:r>
              <w:t xml:space="preserve">Información no disponible en la evidencia archivada.</w:t>
            </w:r>
          </w:p>
        </w:tc>
        <w:tc>
          <w:tcPr/>
          <w:p>
            <w:pPr>
              <w:pStyle w:val="Compact"/>
            </w:pPr>
            <w:r>
              <w:rPr>
                <w:rStyle w:val="VerbatimChar"/>
              </w:rPr>
              <w:t xml:space="preserve">skills/sdd-technical-doc/assets/technical-document-template.md</w:t>
            </w:r>
          </w:p>
        </w:tc>
        <w:tc>
          <w:tcPr/>
          <w:p>
            <w:pPr>
              <w:pStyle w:val="Compact"/>
            </w:pPr>
            <w:r>
              <w:t xml:space="preserve">CREATE</w:t>
            </w:r>
          </w:p>
        </w:tc>
        <w:tc>
          <w:tcPr/>
          <w:p>
            <w:pPr>
              <w:pStyle w:val="Compact"/>
            </w:pPr>
            <w:r>
              <w:t xml:space="preserve">Plantilla obligatoria en español para el documento técnico final.</w:t>
            </w:r>
          </w:p>
        </w:tc>
      </w:tr>
      <w:tr>
        <w:tc>
          <w:tcPr/>
          <w:p>
            <w:pPr>
              <w:pStyle w:val="Compact"/>
            </w:pPr>
            <w:r>
              <w:t xml:space="preserve">Información no disponible en la evidencia archivada.</w:t>
            </w:r>
          </w:p>
        </w:tc>
        <w:tc>
          <w:tcPr/>
          <w:p>
            <w:pPr>
              <w:pStyle w:val="Compact"/>
            </w:pPr>
            <w:r>
              <w:rPr>
                <w:rStyle w:val="VerbatimChar"/>
              </w:rPr>
              <w:t xml:space="preserve">agents/sdd/sdd-technical-doc.md</w:t>
            </w:r>
          </w:p>
        </w:tc>
        <w:tc>
          <w:tcPr/>
          <w:p>
            <w:pPr>
              <w:pStyle w:val="Compact"/>
            </w:pPr>
            <w:r>
              <w:t xml:space="preserve">CREATE</w:t>
            </w:r>
          </w:p>
        </w:tc>
        <w:tc>
          <w:tcPr/>
          <w:p>
            <w:pPr>
              <w:pStyle w:val="Compact"/>
            </w:pPr>
            <w:r>
              <w:t xml:space="preserve">Prompt ejecutor liviano que usa la skill instalada y no delega a otros agentes.</w:t>
            </w:r>
          </w:p>
        </w:tc>
      </w:tr>
      <w:tr>
        <w:tc>
          <w:tcPr/>
          <w:p>
            <w:pPr>
              <w:pStyle w:val="Compact"/>
            </w:pPr>
            <w:r>
              <w:t xml:space="preserve">Información no disponible en la evidencia archivada.</w:t>
            </w:r>
          </w:p>
        </w:tc>
        <w:tc>
          <w:tcPr/>
          <w:p>
            <w:pPr>
              <w:pStyle w:val="Compact"/>
            </w:pPr>
            <w:r>
              <w:rPr>
                <w:rStyle w:val="VerbatimChar"/>
              </w:rPr>
              <w:t xml:space="preserve">AGENTS.md</w:t>
            </w:r>
          </w:p>
        </w:tc>
        <w:tc>
          <w:tcPr/>
          <w:p>
            <w:pPr>
              <w:pStyle w:val="Compact"/>
            </w:pPr>
            <w:r>
              <w:t xml:space="preserve">ALTER</w:t>
            </w:r>
          </w:p>
        </w:tc>
        <w:tc>
          <w:tcPr/>
          <w:p>
            <w:pPr>
              <w:pStyle w:val="Compact"/>
            </w:pPr>
            <w:r>
              <w:t xml:space="preserve">Documentación de</w:t>
            </w:r>
            <w:r>
              <w:t xml:space="preserve"> </w:t>
            </w:r>
            <w:r>
              <w:rPr>
                <w:rStyle w:val="VerbatimChar"/>
              </w:rPr>
              <w:t xml:space="preserve">sdd-technical-doc</w:t>
            </w:r>
            <w:r>
              <w:t xml:space="preserve"> </w:t>
            </w:r>
            <w:r>
              <w:t xml:space="preserve">como utilidad manual posterior al archivado.</w:t>
            </w:r>
          </w:p>
        </w:tc>
      </w:tr>
      <w:tr>
        <w:tc>
          <w:tcPr/>
          <w:p>
            <w:pPr>
              <w:pStyle w:val="Compact"/>
            </w:pPr>
            <w:r>
              <w:t xml:space="preserve">Información no disponible en la evidencia archivada.</w:t>
            </w:r>
          </w:p>
        </w:tc>
        <w:tc>
          <w:tcPr/>
          <w:p>
            <w:pPr>
              <w:pStyle w:val="Compact"/>
            </w:pPr>
            <w:r>
              <w:rPr>
                <w:rStyle w:val="VerbatimChar"/>
              </w:rPr>
              <w:t xml:space="preserve">README.md</w:t>
            </w:r>
          </w:p>
        </w:tc>
        <w:tc>
          <w:tcPr/>
          <w:p>
            <w:pPr>
              <w:pStyle w:val="Compact"/>
            </w:pPr>
            <w:r>
              <w:t xml:space="preserve">ALTER</w:t>
            </w:r>
          </w:p>
        </w:tc>
        <w:tc>
          <w:tcPr/>
          <w:p>
            <w:pPr>
              <w:pStyle w:val="Compact"/>
            </w:pPr>
            <w:r>
              <w:t xml:space="preserve">Listado de la utilidad manual sin alterar el orden de fases SDD.</w:t>
            </w:r>
          </w:p>
        </w:tc>
      </w:tr>
      <w:tr>
        <w:tc>
          <w:tcPr/>
          <w:p>
            <w:pPr>
              <w:pStyle w:val="Compact"/>
            </w:pPr>
            <w:r>
              <w:t xml:space="preserve">Información no disponible en la evidencia archivada.</w:t>
            </w:r>
          </w:p>
        </w:tc>
        <w:tc>
          <w:tcPr/>
          <w:p>
            <w:pPr>
              <w:pStyle w:val="Compact"/>
            </w:pPr>
            <w:r>
              <w:rPr>
                <w:rStyle w:val="VerbatimChar"/>
              </w:rPr>
              <w:t xml:space="preserve">openspec/specs/sdd-technical-documentation-workflow/spec.md</w:t>
            </w:r>
          </w:p>
        </w:tc>
        <w:tc>
          <w:tcPr/>
          <w:p>
            <w:pPr>
              <w:pStyle w:val="Compact"/>
            </w:pPr>
            <w:r>
              <w:t xml:space="preserve">CREATE</w:t>
            </w:r>
          </w:p>
        </w:tc>
        <w:tc>
          <w:tcPr/>
          <w:p>
            <w:pPr>
              <w:pStyle w:val="Compact"/>
            </w:pPr>
            <w:r>
              <w:t xml:space="preserve">Especificación fuente de la capacidad de documentación técnica manual posterior al archivado.</w:t>
            </w:r>
          </w:p>
        </w:tc>
      </w:tr>
      <w:tr>
        <w:tc>
          <w:tcPr/>
          <w:p>
            <w:pPr>
              <w:pStyle w:val="Compact"/>
            </w:pPr>
            <w:r>
              <w:t xml:space="preserve">Información no disponible en la evidencia archivada.</w:t>
            </w:r>
          </w:p>
        </w:tc>
        <w:tc>
          <w:tcPr/>
          <w:p>
            <w:pPr>
              <w:pStyle w:val="Compact"/>
            </w:pPr>
            <w:r>
              <w:rPr>
                <w:rStyle w:val="VerbatimChar"/>
              </w:rPr>
              <w:t xml:space="preserve">openspec/specs/sdd-execution-persistence-contracts/spec.md</w:t>
            </w:r>
          </w:p>
        </w:tc>
        <w:tc>
          <w:tcPr/>
          <w:p>
            <w:pPr>
              <w:pStyle w:val="Compact"/>
            </w:pPr>
            <w:r>
              <w:t xml:space="preserve">ALTER</w:t>
            </w:r>
          </w:p>
        </w:tc>
        <w:tc>
          <w:tcPr/>
          <w:p>
            <w:pPr>
              <w:pStyle w:val="Compact"/>
            </w:pPr>
            <w:r>
              <w:t xml:space="preserve">Requisito fuente que preserva el límite no-DAG de</w:t>
            </w:r>
            <w:r>
              <w:t xml:space="preserve"> </w:t>
            </w:r>
            <w:r>
              <w:rPr>
                <w:rStyle w:val="VerbatimChar"/>
              </w:rPr>
              <w:t xml:space="preserve">sdd-technical-doc</w:t>
            </w:r>
            <w:r>
              <w:t xml:space="preserve">.</w:t>
            </w:r>
          </w:p>
        </w:tc>
      </w:tr>
    </w:tbl>
    <w:p>
      <w:pPr>
        <w:pStyle w:val="BodyText"/>
      </w:pPr>
      <w:r>
        <w:t xml:space="preserve">Valores permitidos para</w:t>
      </w:r>
      <w:r>
        <w:t xml:space="preserve"> </w:t>
      </w:r>
      <w:r>
        <w:rPr>
          <w:rStyle w:val="VerbatimChar"/>
        </w:rPr>
        <w:t xml:space="preserve">Tipo</w:t>
      </w:r>
      <w:r>
        <w:t xml:space="preserve">: TABLE, INDEX, PACKAGE SPEC, PACKAGE BODY, PROCEDURE, FUNCTION, TRIGGER, JOB ControlM, VIEW, SEQUENCE, GRANT.</w:t>
      </w:r>
    </w:p>
    <w:p>
      <w:pPr>
        <w:pStyle w:val="BodyText"/>
      </w:pPr>
      <w:r>
        <w:t xml:space="preserve">Valores permitidos para</w:t>
      </w:r>
      <w:r>
        <w:t xml:space="preserve"> </w:t>
      </w:r>
      <w:r>
        <w:rPr>
          <w:rStyle w:val="VerbatimChar"/>
        </w:rPr>
        <w:t xml:space="preserve">Operacion</w:t>
      </w:r>
      <w:r>
        <w:t xml:space="preserve">: CREATE, ALTER, REPLACE, DROP.</w:t>
      </w:r>
    </w:p>
    <w:bookmarkEnd w:id="13"/>
    <w:bookmarkStart w:id="14" w:name="sistemas-involucrados"/>
    <w:p>
      <w:pPr>
        <w:pStyle w:val="Ttulo2"/>
      </w:pPr>
      <w:r>
        <w:t xml:space="preserve">1.3 Sistemas Involucrados</w:t>
      </w:r>
    </w:p>
    <w:p>
      <w:pPr>
        <w:pStyle w:val="Compact"/>
        <w:numPr>
          <w:ilvl w:val="0"/>
          <w:numId w:val="1001"/>
        </w:numPr>
      </w:pPr>
      <w:r>
        <w:t xml:space="preserve">Repositorio de instrucciones SDD/OpenCode.</w:t>
      </w:r>
    </w:p>
    <w:p>
      <w:pPr>
        <w:pStyle w:val="Compact"/>
        <w:numPr>
          <w:ilvl w:val="0"/>
          <w:numId w:val="1001"/>
        </w:numPr>
      </w:pPr>
      <w:r>
        <w:t xml:space="preserve">OpenSpec como almacén de evidencia archivada para este cambio.</w:t>
      </w:r>
    </w:p>
    <w:p>
      <w:pPr>
        <w:pStyle w:val="Compact"/>
        <w:numPr>
          <w:ilvl w:val="0"/>
          <w:numId w:val="1001"/>
        </w:numPr>
      </w:pPr>
      <w:r>
        <w:t xml:space="preserve">Engram como memoria persistente de sesiones y decisiones asociadas.</w:t>
      </w:r>
    </w:p>
    <w:bookmarkEnd w:id="14"/>
    <w:bookmarkStart w:id="15" w:name="calendarización"/>
    <w:p>
      <w:pPr>
        <w:pStyle w:val="Ttulo2"/>
      </w:pPr>
      <w:r>
        <w:t xml:space="preserve">1.4 Calendarización</w:t>
      </w:r>
    </w:p>
    <w:tbl>
      <w:tblPr>
        <w:tblStyle w:val="Tablaconcuadrcula"/>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Operación runtime</w:t>
            </w:r>
          </w:p>
        </w:tc>
        <w:tc>
          <w:tcPr/>
          <w:p>
            <w:pPr>
              <w:pStyle w:val="Compact"/>
            </w:pPr>
            <w:r>
              <w:t xml:space="preserve">Frecuencia</w:t>
            </w:r>
          </w:p>
        </w:tc>
        <w:tc>
          <w:tcPr/>
          <w:p>
            <w:pPr>
              <w:pStyle w:val="Compact"/>
            </w:pPr>
            <w:r>
              <w:t xml:space="preserve">Ventana batch</w:t>
            </w:r>
          </w:p>
        </w:tc>
        <w:tc>
          <w:tcPr/>
          <w:p>
            <w:pPr>
              <w:pStyle w:val="Compact"/>
            </w:pPr>
            <w:r>
              <w:t xml:space="preserve">Job ControlM</w:t>
            </w:r>
          </w:p>
        </w:tc>
        <w:tc>
          <w:tcPr/>
          <w:p>
            <w:pPr>
              <w:pStyle w:val="Compact"/>
            </w:pPr>
            <w:r>
              <w:t xml:space="preserve">Observaciones</w:t>
            </w:r>
          </w:p>
        </w:tc>
      </w:tr>
      <w:tr>
        <w:tc>
          <w:tcPr/>
          <w:p>
            <w:pPr>
              <w:pStyle w:val="Compact"/>
            </w:pPr>
            <w:r>
              <w:t xml:space="preserve">No aplica.</w:t>
            </w:r>
          </w:p>
        </w:tc>
        <w:tc>
          <w:tcPr/>
          <w:p>
            <w:pPr>
              <w:pStyle w:val="Compact"/>
            </w:pPr>
            <w:r>
              <w:t xml:space="preserve">No aplica.</w:t>
            </w:r>
          </w:p>
        </w:tc>
        <w:tc>
          <w:tcPr/>
          <w:p>
            <w:pPr>
              <w:pStyle w:val="Compact"/>
            </w:pPr>
            <w:r>
              <w:t xml:space="preserve">No aplica.</w:t>
            </w:r>
          </w:p>
        </w:tc>
        <w:tc>
          <w:tcPr/>
          <w:p>
            <w:pPr>
              <w:pStyle w:val="Compact"/>
            </w:pPr>
            <w:r>
              <w:t xml:space="preserve">No aplica.</w:t>
            </w:r>
          </w:p>
        </w:tc>
        <w:tc>
          <w:tcPr/>
          <w:p>
            <w:pPr>
              <w:pStyle w:val="Compact"/>
            </w:pPr>
            <w:r>
              <w:t xml:space="preserve">La evidencia archivada indica que la utilidad es operativamente pasiva y se ejecuta solo por invocación manual del usuario.</w:t>
            </w:r>
          </w:p>
        </w:tc>
      </w:tr>
    </w:tbl>
    <w:bookmarkEnd w:id="15"/>
    <w:bookmarkStart w:id="16" w:name="definiciones-acrónimos-y-abreviaciones"/>
    <w:p>
      <w:pPr>
        <w:pStyle w:val="Ttulo2"/>
      </w:pPr>
      <w:r>
        <w:t xml:space="preserve">1.5 Definiciones, Acrónimos y Abreviaciones</w:t>
      </w:r>
    </w:p>
    <w:p>
      <w:pPr>
        <w:pStyle w:val="Compact"/>
        <w:numPr>
          <w:ilvl w:val="0"/>
          <w:numId w:val="1002"/>
        </w:numPr>
      </w:pPr>
      <w:r>
        <w:t xml:space="preserve">SDD: Spec-Driven Development.</w:t>
      </w:r>
    </w:p>
    <w:p>
      <w:pPr>
        <w:pStyle w:val="Compact"/>
        <w:numPr>
          <w:ilvl w:val="0"/>
          <w:numId w:val="1002"/>
        </w:numPr>
      </w:pPr>
      <w:r>
        <w:t xml:space="preserve">OpenSpec: almacén de artefactos de especificación y evidencia del flujo SDD.</w:t>
      </w:r>
    </w:p>
    <w:p>
      <w:pPr>
        <w:pStyle w:val="Compact"/>
        <w:numPr>
          <w:ilvl w:val="0"/>
          <w:numId w:val="1002"/>
        </w:numPr>
      </w:pPr>
      <w:r>
        <w:t xml:space="preserve">DAG: grafo de dependencias de fases SDD.</w:t>
      </w:r>
    </w:p>
    <w:p>
      <w:pPr>
        <w:pStyle w:val="Compact"/>
        <w:numPr>
          <w:ilvl w:val="0"/>
          <w:numId w:val="1002"/>
        </w:numPr>
      </w:pPr>
      <w:r>
        <w:rPr>
          <w:rStyle w:val="VerbatimChar"/>
        </w:rPr>
        <w:t xml:space="preserve">sdd-technical-doc</w:t>
      </w:r>
      <w:r>
        <w:t xml:space="preserve">: utilidad manual posterior al archivado que genera documentación técnica desde evidencia archivada.</w:t>
      </w:r>
    </w:p>
    <w:p>
      <w:pPr>
        <w:pStyle w:val="Compact"/>
        <w:numPr>
          <w:ilvl w:val="0"/>
          <w:numId w:val="1002"/>
        </w:numPr>
      </w:pPr>
      <w:r>
        <w:rPr>
          <w:rStyle w:val="VerbatimChar"/>
        </w:rPr>
        <w:t xml:space="preserve">sdd-operational-doc</w:t>
      </w:r>
      <w:r>
        <w:t xml:space="preserve">: utilidad manual posterior al archivado usada como patrón de referencia para el diseño.</w:t>
      </w:r>
    </w:p>
    <w:bookmarkEnd w:id="16"/>
    <w:bookmarkEnd w:id="17"/>
    <w:bookmarkStart w:id="50" w:name="modelo-arquitectura"/>
    <w:p>
      <w:pPr>
        <w:pStyle w:val="Ttulo1"/>
      </w:pPr>
      <w:r>
        <w:t xml:space="preserve">2. Modelo Arquitectura</w:t>
      </w:r>
    </w:p>
    <w:bookmarkStart w:id="43" w:name="vistas-4-1"/>
    <w:p>
      <w:pPr>
        <w:pStyle w:val="Ttulo2"/>
      </w:pPr>
      <w:r>
        <w:t xml:space="preserve">2.1 Vistas 4 + 1</w:t>
      </w:r>
    </w:p>
    <w:bookmarkStart w:id="22" w:name="vista-lógica"/>
    <w:p>
      <w:pPr>
        <w:pStyle w:val="Ttulo3"/>
      </w:pPr>
      <w:r>
        <w:t xml:space="preserve">2.1.1 Vista Lógica</w:t>
      </w:r>
    </w:p>
    <w:p>
      <w:pPr>
        <w:pStyle w:val="FirstParagraph"/>
      </w:pPr>
      <w:r>
        <w:t xml:space="preserve">La solución se compone de una skill</w:t>
      </w:r>
      <w:r>
        <w:t xml:space="preserve"> </w:t>
      </w:r>
      <w:r>
        <w:rPr>
          <w:rStyle w:val="VerbatimChar"/>
        </w:rPr>
        <w:t xml:space="preserve">sdd-technical-doc</w:t>
      </w:r>
      <w:r>
        <w:t xml:space="preserve">, una plantilla Markdown en español y un agente ejecutor liviano. La skill define reglas de activación, lectura de evidencia archivada, marcadores obligatorios, filtrado de referencias, validación del inventario y límites de seguridad para no inventar datos ni copiar valores restringidos.</w:t>
      </w:r>
    </w:p>
    <w:bookmarkStart w:id="21" w:name="diagrama-de-clases"/>
    <w:p>
      <w:pPr>
        <w:pStyle w:val="Ttulo4"/>
      </w:pPr>
      <w:r>
        <w:t xml:space="preserve">Diagrama de clases</w:t>
      </w:r>
    </w:p>
    <w:p>
      <w:pPr>
        <w:pStyle w:val="FirstParagraph"/>
      </w:pPr>
      <w:r>
        <w:t xml:space="preserve">Generating single mermaid chart</w:t>
      </w:r>
      <w:r>
        <w:t xml:space="preserve"> </w:t>
      </w:r>
      <w:r>
        <w:drawing>
          <wp:inline>
            <wp:extent cx="5943600" cy="4889823"/>
            <wp:effectExtent b="0" l="0" r="0" t="0"/>
            <wp:docPr descr="Diagram 1" title="" id="19" name="Picture"/>
            <a:graphic>
              <a:graphicData uri="http://schemas.openxmlformats.org/drawingml/2006/picture">
                <pic:pic>
                  <pic:nvPicPr>
                    <pic:cNvPr descr="diagrams/diagram-001.png" id="20" name="Picture"/>
                    <pic:cNvPicPr>
                      <a:picLocks noChangeArrowheads="1" noChangeAspect="1"/>
                    </pic:cNvPicPr>
                  </pic:nvPicPr>
                  <pic:blipFill>
                    <a:blip r:embed="rId18"/>
                    <a:stretch>
                      <a:fillRect/>
                    </a:stretch>
                  </pic:blipFill>
                  <pic:spPr bwMode="auto">
                    <a:xfrm>
                      <a:off x="0" y="0"/>
                      <a:ext cx="5943600" cy="4889823"/>
                    </a:xfrm>
                    <a:prstGeom prst="rect">
                      <a:avLst/>
                    </a:prstGeom>
                    <a:noFill/>
                    <a:ln w="9525">
                      <a:noFill/>
                      <a:headEnd/>
                      <a:tailEnd/>
                    </a:ln>
                  </pic:spPr>
                </pic:pic>
              </a:graphicData>
            </a:graphic>
          </wp:inline>
        </w:drawing>
      </w:r>
    </w:p>
    <w:bookmarkEnd w:id="21"/>
    <w:bookmarkEnd w:id="22"/>
    <w:bookmarkStart w:id="27" w:name="vista-de-desarrollo"/>
    <w:p>
      <w:pPr>
        <w:pStyle w:val="Ttulo3"/>
      </w:pPr>
      <w:r>
        <w:t xml:space="preserve">2.2.2 Vista de Desarrollo</w:t>
      </w:r>
    </w:p>
    <w:p>
      <w:pPr>
        <w:pStyle w:val="FirstParagraph"/>
      </w:pPr>
      <w:r>
        <w:t xml:space="preserve">El desarrollo agregó archivos de configuración/documentación para OpenCode y SDD: skill, plantilla, agente, documentación general y especificaciones OpenSpec. No incorporó código runtime de aplicación, servicios de red, autenticación, acceso a base de datos ni migraciones de datos.</w:t>
      </w:r>
    </w:p>
    <w:bookmarkStart w:id="26" w:name="diagrama-de-componentes"/>
    <w:p>
      <w:pPr>
        <w:pStyle w:val="Ttulo4"/>
      </w:pPr>
      <w:r>
        <w:t xml:space="preserve">Diagrama de componentes</w:t>
      </w:r>
    </w:p>
    <w:p>
      <w:pPr>
        <w:pStyle w:val="FirstParagraph"/>
      </w:pPr>
      <w:r>
        <w:t xml:space="preserve">Generating single mermaid chart</w:t>
      </w:r>
      <w:r>
        <w:t xml:space="preserve"> </w:t>
      </w:r>
      <w:r>
        <w:drawing>
          <wp:inline>
            <wp:extent cx="5943600" cy="1228141"/>
            <wp:effectExtent b="0" l="0" r="0" t="0"/>
            <wp:docPr descr="Diagram 2" title="" id="24" name="Picture"/>
            <a:graphic>
              <a:graphicData uri="http://schemas.openxmlformats.org/drawingml/2006/picture">
                <pic:pic>
                  <pic:nvPicPr>
                    <pic:cNvPr descr="diagrams/diagram-002.png" id="25" name="Picture"/>
                    <pic:cNvPicPr>
                      <a:picLocks noChangeArrowheads="1" noChangeAspect="1"/>
                    </pic:cNvPicPr>
                  </pic:nvPicPr>
                  <pic:blipFill>
                    <a:blip r:embed="rId23"/>
                    <a:stretch>
                      <a:fillRect/>
                    </a:stretch>
                  </pic:blipFill>
                  <pic:spPr bwMode="auto">
                    <a:xfrm>
                      <a:off x="0" y="0"/>
                      <a:ext cx="5943600" cy="1228141"/>
                    </a:xfrm>
                    <a:prstGeom prst="rect">
                      <a:avLst/>
                    </a:prstGeom>
                    <a:noFill/>
                    <a:ln w="9525">
                      <a:noFill/>
                      <a:headEnd/>
                      <a:tailEnd/>
                    </a:ln>
                  </pic:spPr>
                </pic:pic>
              </a:graphicData>
            </a:graphic>
          </wp:inline>
        </w:drawing>
      </w:r>
    </w:p>
    <w:bookmarkEnd w:id="26"/>
    <w:bookmarkEnd w:id="27"/>
    <w:bookmarkStart w:id="32" w:name="vista-de-proceso"/>
    <w:p>
      <w:pPr>
        <w:pStyle w:val="Ttulo3"/>
      </w:pPr>
      <w:r>
        <w:t xml:space="preserve">2.3.3 Vista de Proceso</w:t>
      </w:r>
    </w:p>
    <w:p>
      <w:pPr>
        <w:pStyle w:val="FirstParagraph"/>
      </w:pPr>
      <w:r>
        <w:t xml:space="preserve">El proceso previsto es manual: el usuario invoca</w:t>
      </w:r>
      <w:r>
        <w:t xml:space="preserve"> </w:t>
      </w:r>
      <w:r>
        <w:rPr>
          <w:rStyle w:val="VerbatimChar"/>
        </w:rPr>
        <w:t xml:space="preserve">sdd-technical-doc</w:t>
      </w:r>
      <w:r>
        <w:t xml:space="preserve"> </w:t>
      </w:r>
      <w:r>
        <w:t xml:space="preserve">para un cambio SDD ya archivado; la utilidad resuelve la carpeta o referencia archivada, lee la plantilla, extrae hechos seguros desde la evidencia archivada, completa todas las secciones con datos evidenciados o marcadores obligatorios, y produce un único Markdown técnico.</w:t>
      </w:r>
    </w:p>
    <w:bookmarkStart w:id="31" w:name="diagrama-de-secuencia"/>
    <w:p>
      <w:pPr>
        <w:pStyle w:val="Ttulo4"/>
      </w:pPr>
      <w:r>
        <w:t xml:space="preserve">Diagrama de secuencia</w:t>
      </w:r>
    </w:p>
    <w:p>
      <w:pPr>
        <w:pStyle w:val="FirstParagraph"/>
      </w:pPr>
      <w:r>
        <w:t xml:space="preserve">Generating single mermaid chart</w:t>
      </w:r>
      <w:r>
        <w:t xml:space="preserve"> </w:t>
      </w:r>
      <w:r>
        <w:drawing>
          <wp:inline>
            <wp:extent cx="5943600" cy="1804307"/>
            <wp:effectExtent b="0" l="0" r="0" t="0"/>
            <wp:docPr descr="Diagram 3" title="" id="29" name="Picture"/>
            <a:graphic>
              <a:graphicData uri="http://schemas.openxmlformats.org/drawingml/2006/picture">
                <pic:pic>
                  <pic:nvPicPr>
                    <pic:cNvPr descr="diagrams/diagram-003.png" id="30" name="Picture"/>
                    <pic:cNvPicPr>
                      <a:picLocks noChangeArrowheads="1" noChangeAspect="1"/>
                    </pic:cNvPicPr>
                  </pic:nvPicPr>
                  <pic:blipFill>
                    <a:blip r:embed="rId28"/>
                    <a:stretch>
                      <a:fillRect/>
                    </a:stretch>
                  </pic:blipFill>
                  <pic:spPr bwMode="auto">
                    <a:xfrm>
                      <a:off x="0" y="0"/>
                      <a:ext cx="5943600" cy="1804307"/>
                    </a:xfrm>
                    <a:prstGeom prst="rect">
                      <a:avLst/>
                    </a:prstGeom>
                    <a:noFill/>
                    <a:ln w="9525">
                      <a:noFill/>
                      <a:headEnd/>
                      <a:tailEnd/>
                    </a:ln>
                  </pic:spPr>
                </pic:pic>
              </a:graphicData>
            </a:graphic>
          </wp:inline>
        </w:drawing>
      </w:r>
    </w:p>
    <w:bookmarkEnd w:id="31"/>
    <w:bookmarkEnd w:id="32"/>
    <w:bookmarkStart w:id="37" w:name="vista-física"/>
    <w:p>
      <w:pPr>
        <w:pStyle w:val="Ttulo3"/>
      </w:pPr>
      <w:r>
        <w:t xml:space="preserve">2.3.4 Vista Física</w:t>
      </w:r>
    </w:p>
    <w:p>
      <w:pPr>
        <w:pStyle w:val="FirstParagraph"/>
      </w:pPr>
      <w:r>
        <w:t xml:space="preserve">La evidencia archivada ubica el cambio en</w:t>
      </w:r>
      <w:r>
        <w:t xml:space="preserve"> </w:t>
      </w:r>
      <w:r>
        <w:rPr>
          <w:rStyle w:val="VerbatimChar"/>
        </w:rPr>
        <w:t xml:space="preserve">openspec/changes/archive/2026-07-09-technical-documentation-agent/</w:t>
      </w:r>
      <w:r>
        <w:t xml:space="preserve">. La plantilla final reside en</w:t>
      </w:r>
      <w:r>
        <w:t xml:space="preserve"> </w:t>
      </w:r>
      <w:r>
        <w:rPr>
          <w:rStyle w:val="VerbatimChar"/>
        </w:rPr>
        <w:t xml:space="preserve">skills/sdd-technical-doc/assets/technical-document-template.md</w:t>
      </w:r>
      <w:r>
        <w:t xml:space="preserve">, y el agente en</w:t>
      </w:r>
      <w:r>
        <w:t xml:space="preserve"> </w:t>
      </w:r>
      <w:r>
        <w:rPr>
          <w:rStyle w:val="VerbatimChar"/>
        </w:rPr>
        <w:t xml:space="preserve">agents/sdd/sdd-technical-doc.md</w:t>
      </w:r>
      <w:r>
        <w:t xml:space="preserve">.</w:t>
      </w:r>
    </w:p>
    <w:bookmarkStart w:id="36" w:name="diagrama-de-despliegue"/>
    <w:p>
      <w:pPr>
        <w:pStyle w:val="Ttulo4"/>
      </w:pPr>
      <w:r>
        <w:t xml:space="preserve">Diagrama de despliegue</w:t>
      </w:r>
    </w:p>
    <w:p>
      <w:pPr>
        <w:pStyle w:val="FirstParagraph"/>
      </w:pPr>
      <w:r>
        <w:t xml:space="preserve">Generating single mermaid chart</w:t>
      </w:r>
      <w:r>
        <w:t xml:space="preserve"> </w:t>
      </w:r>
      <w:r>
        <w:drawing>
          <wp:inline>
            <wp:extent cx="5943600" cy="2281917"/>
            <wp:effectExtent b="0" l="0" r="0" t="0"/>
            <wp:docPr descr="Diagram 4" title="" id="34" name="Picture"/>
            <a:graphic>
              <a:graphicData uri="http://schemas.openxmlformats.org/drawingml/2006/picture">
                <pic:pic>
                  <pic:nvPicPr>
                    <pic:cNvPr descr="diagrams/diagram-004.png" id="35" name="Picture"/>
                    <pic:cNvPicPr>
                      <a:picLocks noChangeArrowheads="1" noChangeAspect="1"/>
                    </pic:cNvPicPr>
                  </pic:nvPicPr>
                  <pic:blipFill>
                    <a:blip r:embed="rId33"/>
                    <a:stretch>
                      <a:fillRect/>
                    </a:stretch>
                  </pic:blipFill>
                  <pic:spPr bwMode="auto">
                    <a:xfrm>
                      <a:off x="0" y="0"/>
                      <a:ext cx="5943600" cy="2281917"/>
                    </a:xfrm>
                    <a:prstGeom prst="rect">
                      <a:avLst/>
                    </a:prstGeom>
                    <a:noFill/>
                    <a:ln w="9525">
                      <a:noFill/>
                      <a:headEnd/>
                      <a:tailEnd/>
                    </a:ln>
                  </pic:spPr>
                </pic:pic>
              </a:graphicData>
            </a:graphic>
          </wp:inline>
        </w:drawing>
      </w:r>
    </w:p>
    <w:bookmarkEnd w:id="36"/>
    <w:bookmarkEnd w:id="37"/>
    <w:bookmarkStart w:id="42" w:name="vista-de-escenarios"/>
    <w:p>
      <w:pPr>
        <w:pStyle w:val="Ttulo3"/>
      </w:pPr>
      <w:r>
        <w:t xml:space="preserve">2.3.5 Vista de Escenarios</w:t>
      </w:r>
    </w:p>
    <w:p>
      <w:pPr>
        <w:pStyle w:val="Compact"/>
        <w:numPr>
          <w:ilvl w:val="0"/>
          <w:numId w:val="1003"/>
        </w:numPr>
      </w:pPr>
      <w:r>
        <w:t xml:space="preserve">Escenario principal: el usuario solicita documentación técnica para un cambio archivado y recibe un único archivo Markdown en español.</w:t>
      </w:r>
    </w:p>
    <w:p>
      <w:pPr>
        <w:pStyle w:val="Compact"/>
        <w:numPr>
          <w:ilvl w:val="0"/>
          <w:numId w:val="1003"/>
        </w:numPr>
      </w:pPr>
      <w:r>
        <w:t xml:space="preserve">Escenario de sección no aplicable: la sección se completa exactamente con</w:t>
      </w:r>
      <w:r>
        <w:t xml:space="preserve"> </w:t>
      </w:r>
      <w:r>
        <w:rPr>
          <w:rStyle w:val="VerbatimChar"/>
        </w:rPr>
        <w:t xml:space="preserve">No aplica.</w:t>
      </w:r>
      <w:r>
        <w:t xml:space="preserve">.</w:t>
      </w:r>
    </w:p>
    <w:p>
      <w:pPr>
        <w:pStyle w:val="Compact"/>
        <w:numPr>
          <w:ilvl w:val="0"/>
          <w:numId w:val="1003"/>
        </w:numPr>
      </w:pPr>
      <w:r>
        <w:t xml:space="preserve">Escenario de información faltante: la sección o campo se completa exactamente con</w:t>
      </w:r>
      <w:r>
        <w:t xml:space="preserve"> </w:t>
      </w:r>
      <w:r>
        <w:rPr>
          <w:rStyle w:val="VerbatimChar"/>
        </w:rPr>
        <w:t xml:space="preserve">Información no disponible en la evidencia archivada.</w:t>
      </w:r>
      <w:r>
        <w:t xml:space="preserve">.</w:t>
      </w:r>
    </w:p>
    <w:p>
      <w:pPr>
        <w:pStyle w:val="Compact"/>
        <w:numPr>
          <w:ilvl w:val="0"/>
          <w:numId w:val="1003"/>
        </w:numPr>
      </w:pPr>
      <w:r>
        <w:t xml:space="preserve">Escenario de evidencia activa o no archivada: la utilidad debe detenerse y no generar desde artefactos activos.</w:t>
      </w:r>
    </w:p>
    <w:bookmarkStart w:id="41" w:name="diagrama-de-casos-de-uso"/>
    <w:p>
      <w:pPr>
        <w:pStyle w:val="Ttulo4"/>
      </w:pPr>
      <w:r>
        <w:t xml:space="preserve">Diagrama de casos de uso</w:t>
      </w:r>
    </w:p>
    <w:p>
      <w:pPr>
        <w:pStyle w:val="FirstParagraph"/>
      </w:pPr>
      <w:r>
        <w:t xml:space="preserve">Generating single mermaid chart</w:t>
      </w:r>
      <w:r>
        <w:t xml:space="preserve"> </w:t>
      </w:r>
      <w:r>
        <w:drawing>
          <wp:inline>
            <wp:extent cx="5943600" cy="6868496"/>
            <wp:effectExtent b="0" l="0" r="0" t="0"/>
            <wp:docPr descr="Diagram 5" title="" id="39" name="Picture"/>
            <a:graphic>
              <a:graphicData uri="http://schemas.openxmlformats.org/drawingml/2006/picture">
                <pic:pic>
                  <pic:nvPicPr>
                    <pic:cNvPr descr="diagrams/diagram-005.png" id="40" name="Picture"/>
                    <pic:cNvPicPr>
                      <a:picLocks noChangeArrowheads="1" noChangeAspect="1"/>
                    </pic:cNvPicPr>
                  </pic:nvPicPr>
                  <pic:blipFill>
                    <a:blip r:embed="rId38"/>
                    <a:stretch>
                      <a:fillRect/>
                    </a:stretch>
                  </pic:blipFill>
                  <pic:spPr bwMode="auto">
                    <a:xfrm>
                      <a:off x="0" y="0"/>
                      <a:ext cx="5943600" cy="6868496"/>
                    </a:xfrm>
                    <a:prstGeom prst="rect">
                      <a:avLst/>
                    </a:prstGeom>
                    <a:noFill/>
                    <a:ln w="9525">
                      <a:noFill/>
                      <a:headEnd/>
                      <a:tailEnd/>
                    </a:ln>
                  </pic:spPr>
                </pic:pic>
              </a:graphicData>
            </a:graphic>
          </wp:inline>
        </w:drawing>
      </w:r>
    </w:p>
    <w:bookmarkEnd w:id="41"/>
    <w:bookmarkEnd w:id="42"/>
    <w:bookmarkEnd w:id="43"/>
    <w:bookmarkStart w:id="44" w:name="X3880dcf1e5084c682aec526805ec7e4626bf73d"/>
    <w:p>
      <w:pPr>
        <w:pStyle w:val="Ttulo2"/>
      </w:pPr>
      <w:r>
        <w:t xml:space="preserve">2.2 Secciones aplicadas para la Plataforma de BI</w:t>
      </w:r>
    </w:p>
    <w:p>
      <w:pPr>
        <w:pStyle w:val="FirstParagraph"/>
      </w:pPr>
      <w:r>
        <w:t xml:space="preserve">No aplica.</w:t>
      </w:r>
    </w:p>
    <w:bookmarkEnd w:id="44"/>
    <w:bookmarkStart w:id="45" w:name="referencias-de-estándares-usados"/>
    <w:p>
      <w:pPr>
        <w:pStyle w:val="Ttulo2"/>
      </w:pPr>
      <w:r>
        <w:t xml:space="preserve">2.3 Referencias de Estándares Usados</w:t>
      </w:r>
    </w:p>
    <w:p>
      <w:pPr>
        <w:pStyle w:val="Compact"/>
        <w:numPr>
          <w:ilvl w:val="0"/>
          <w:numId w:val="1004"/>
        </w:numPr>
      </w:pPr>
      <w:r>
        <w:t xml:space="preserve">Convenciones SDD del repositorio para utilidades manuales posteriores al archivado.</w:t>
      </w:r>
    </w:p>
    <w:p>
      <w:pPr>
        <w:pStyle w:val="Compact"/>
        <w:numPr>
          <w:ilvl w:val="0"/>
          <w:numId w:val="1004"/>
        </w:numPr>
      </w:pPr>
      <w:r>
        <w:t xml:space="preserve">Contrato de persistencia OpenSpec para evidencia archivada.</w:t>
      </w:r>
    </w:p>
    <w:p>
      <w:pPr>
        <w:pStyle w:val="Compact"/>
        <w:numPr>
          <w:ilvl w:val="0"/>
          <w:numId w:val="1004"/>
        </w:numPr>
      </w:pPr>
      <w:r>
        <w:t xml:space="preserve">Reglas de seguridad definidas en</w:t>
      </w:r>
      <w:r>
        <w:t xml:space="preserve"> </w:t>
      </w:r>
      <w:r>
        <w:rPr>
          <w:rStyle w:val="VerbatimChar"/>
        </w:rPr>
        <w:t xml:space="preserve">design.md#Secure Development Design</w:t>
      </w:r>
      <w:r>
        <w:t xml:space="preserve"> </w:t>
      </w:r>
      <w:r>
        <w:t xml:space="preserve">para manejo seguro de evidencia, salida de archivos y resúmenes sanitizados.</w:t>
      </w:r>
    </w:p>
    <w:bookmarkEnd w:id="45"/>
    <w:bookmarkStart w:id="46" w:name="especificaciones-de-hardware-y-software"/>
    <w:p>
      <w:pPr>
        <w:pStyle w:val="Ttulo2"/>
      </w:pPr>
      <w:r>
        <w:t xml:space="preserve">2.4 Especificaciones de Hardware y Software</w:t>
      </w:r>
    </w:p>
    <w:tbl>
      <w:tblPr>
        <w:tblStyle w:val="Tablaconcuadrcula"/>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Especificación</w:t>
            </w:r>
          </w:p>
        </w:tc>
      </w:tr>
      <w:tr>
        <w:tc>
          <w:tcPr/>
          <w:p>
            <w:pPr>
              <w:pStyle w:val="Compact"/>
            </w:pPr>
            <w:r>
              <w:t xml:space="preserve">Repositorio</w:t>
            </w:r>
          </w:p>
        </w:tc>
        <w:tc>
          <w:tcPr/>
          <w:p>
            <w:pPr>
              <w:pStyle w:val="Compact"/>
            </w:pPr>
            <w:r>
              <w:t xml:space="preserve">Markdown instruction-contract repository.</w:t>
            </w:r>
          </w:p>
        </w:tc>
      </w:tr>
      <w:tr>
        <w:tc>
          <w:tcPr/>
          <w:p>
            <w:pPr>
              <w:pStyle w:val="Compact"/>
            </w:pPr>
            <w:r>
              <w:t xml:space="preserve">Almacén de evidencia usado por el cambio archivado</w:t>
            </w:r>
          </w:p>
        </w:tc>
        <w:tc>
          <w:tcPr/>
          <w:p>
            <w:pPr>
              <w:pStyle w:val="Compact"/>
            </w:pPr>
            <w:r>
              <w:t xml:space="preserve">OpenSpec.</w:t>
            </w:r>
          </w:p>
        </w:tc>
      </w:tr>
      <w:tr>
        <w:tc>
          <w:tcPr/>
          <w:p>
            <w:pPr>
              <w:pStyle w:val="Compact"/>
            </w:pPr>
            <w:r>
              <w:t xml:space="preserve">Ruta archivada</w:t>
            </w:r>
          </w:p>
        </w:tc>
        <w:tc>
          <w:tcPr/>
          <w:p>
            <w:pPr>
              <w:pStyle w:val="Compact"/>
            </w:pPr>
            <w:r>
              <w:rPr>
                <w:rStyle w:val="VerbatimChar"/>
              </w:rPr>
              <w:t xml:space="preserve">openspec/changes/archive/2026-07-09-technical-documentation-agent/</w:t>
            </w:r>
            <w:r>
              <w:t xml:space="preserve">.</w:t>
            </w:r>
          </w:p>
        </w:tc>
      </w:tr>
      <w:tr>
        <w:tc>
          <w:tcPr/>
          <w:p>
            <w:pPr>
              <w:pStyle w:val="Compact"/>
            </w:pPr>
            <w:r>
              <w:t xml:space="preserve">Runtime de aplicación</w:t>
            </w:r>
          </w:p>
        </w:tc>
        <w:tc>
          <w:tcPr/>
          <w:p>
            <w:pPr>
              <w:pStyle w:val="Compact"/>
            </w:pPr>
            <w:r>
              <w:t xml:space="preserve">No aplica.</w:t>
            </w:r>
          </w:p>
        </w:tc>
      </w:tr>
      <w:tr>
        <w:tc>
          <w:tcPr/>
          <w:p>
            <w:pPr>
              <w:pStyle w:val="Compact"/>
            </w:pPr>
            <w:r>
              <w:t xml:space="preserve">Runner de pruebas, build, linter, type checker, formatter y coverage</w:t>
            </w:r>
          </w:p>
        </w:tc>
        <w:tc>
          <w:tcPr/>
          <w:p>
            <w:pPr>
              <w:pStyle w:val="Compact"/>
            </w:pPr>
            <w:r>
              <w:t xml:space="preserve">Información no disponible en la evidencia archivada. La evidencia archivada indica que no hay comandos configurados para este repositorio.</w:t>
            </w:r>
          </w:p>
        </w:tc>
      </w:tr>
    </w:tbl>
    <w:bookmarkEnd w:id="46"/>
    <w:bookmarkStart w:id="47" w:name="seguridad"/>
    <w:p>
      <w:pPr>
        <w:pStyle w:val="Ttulo2"/>
      </w:pPr>
      <w:r>
        <w:t xml:space="preserve">2.5 Seguridad</w:t>
      </w:r>
    </w:p>
    <w:p>
      <w:pPr>
        <w:pStyle w:val="FirstParagraph"/>
      </w:pPr>
      <w:r>
        <w:t xml:space="preserve">El cambio fue clasificado como sensible para seguridad por agregar una utilidad que lee evidencia archivada y genera un documento final. Las reglas de seguridad archivadas exigen no copiar secretos, credenciales, tokens, llaves privadas, cadenas de conexión, PAN, PII, valores confidenciales de cliente, payloads crudos, hosts/IPs/puertos/SID productivos, listas completas de identificadores ni bytes generados en artefactos SDD, ejemplos, resúmenes o logs. La utilidad debe resumir evidencia por ruta, sección o descripción sanitizada y nunca rellenar artefactos SDD con valores finales provistos por el usuario.</w:t>
      </w:r>
    </w:p>
    <w:bookmarkEnd w:id="47"/>
    <w:bookmarkStart w:id="48" w:name="componentes-para-reutilizar"/>
    <w:p>
      <w:pPr>
        <w:pStyle w:val="Ttulo2"/>
      </w:pPr>
      <w:r>
        <w:t xml:space="preserve">2.6 Componentes para reutilizar</w:t>
      </w:r>
    </w:p>
    <w:p>
      <w:pPr>
        <w:pStyle w:val="Compact"/>
        <w:numPr>
          <w:ilvl w:val="0"/>
          <w:numId w:val="1005"/>
        </w:numPr>
      </w:pPr>
      <w:r>
        <w:t xml:space="preserve">Patrón manual posterior al archivado de</w:t>
      </w:r>
      <w:r>
        <w:t xml:space="preserve"> </w:t>
      </w:r>
      <w:r>
        <w:rPr>
          <w:rStyle w:val="VerbatimChar"/>
        </w:rPr>
        <w:t xml:space="preserve">sdd-operational-doc</w:t>
      </w:r>
      <w:r>
        <w:t xml:space="preserve">.</w:t>
      </w:r>
    </w:p>
    <w:p>
      <w:pPr>
        <w:pStyle w:val="Compact"/>
        <w:numPr>
          <w:ilvl w:val="0"/>
          <w:numId w:val="1005"/>
        </w:numPr>
      </w:pPr>
      <w:r>
        <w:t xml:space="preserve">Plantilla</w:t>
      </w:r>
      <w:r>
        <w:t xml:space="preserve"> </w:t>
      </w:r>
      <w:r>
        <w:rPr>
          <w:rStyle w:val="VerbatimChar"/>
        </w:rPr>
        <w:t xml:space="preserve">skills/sdd-technical-doc/assets/technical-document-template.md</w:t>
      </w:r>
      <w:r>
        <w:t xml:space="preserve"> </w:t>
      </w:r>
      <w:r>
        <w:t xml:space="preserve">para documentos técnicos futuros.</w:t>
      </w:r>
    </w:p>
    <w:p>
      <w:pPr>
        <w:pStyle w:val="Compact"/>
        <w:numPr>
          <w:ilvl w:val="0"/>
          <w:numId w:val="1005"/>
        </w:numPr>
      </w:pPr>
      <w:r>
        <w:t xml:space="preserve">Contratos compartidos de persistencia y convenciones OpenSpec para resolver evidencia archivada.</w:t>
      </w:r>
    </w:p>
    <w:bookmarkEnd w:id="48"/>
    <w:bookmarkStart w:id="49" w:name="desglose-de-procesos-aplica-para-pos"/>
    <w:p>
      <w:pPr>
        <w:pStyle w:val="Ttulo2"/>
      </w:pPr>
      <w:r>
        <w:t xml:space="preserve">2.7 Desglose de procesos (aplica para POS)</w:t>
      </w:r>
    </w:p>
    <w:p>
      <w:pPr>
        <w:pStyle w:val="FirstParagraph"/>
      </w:pPr>
      <w:r>
        <w:t xml:space="preserve">No aplica.</w:t>
      </w:r>
    </w:p>
    <w:bookmarkEnd w:id="49"/>
    <w:bookmarkEnd w:id="50"/>
    <w:bookmarkStart w:id="59" w:name="requerimientos"/>
    <w:p>
      <w:pPr>
        <w:pStyle w:val="Ttulo1"/>
      </w:pPr>
      <w:r>
        <w:t xml:space="preserve">4. Requerimientos</w:t>
      </w:r>
    </w:p>
    <w:bookmarkStart w:id="51" w:name="modelado-de-la-aplicación"/>
    <w:p>
      <w:pPr>
        <w:pStyle w:val="Ttulo2"/>
      </w:pPr>
      <w:r>
        <w:t xml:space="preserve">4.1 Modelado de la aplicación</w:t>
      </w:r>
    </w:p>
    <w:p>
      <w:pPr>
        <w:pStyle w:val="FirstParagraph"/>
      </w:pPr>
      <w:r>
        <w:t xml:space="preserve">La solución se modela como una utilidad documental sin runtime propio. Su flujo es: evidencia SDD archivada → resolución de archivo/cambio → lectura de plantilla → extracción de hechos seguros → aplicación de marcadores obligatorios → generación de un único Markdown técnico.</w:t>
      </w:r>
    </w:p>
    <w:p>
      <w:pPr>
        <w:pStyle w:val="BodyText"/>
      </w:pPr>
      <w:r>
        <w:t xml:space="preserve">No se anexan diagramas adicionales porque la evidencia archivada no contiene diagramas de clases, flujo, secuencia ni entidad-relación para este cambio.</w:t>
      </w:r>
    </w:p>
    <w:bookmarkEnd w:id="51"/>
    <w:bookmarkStart w:id="52" w:name="requerimientos-de-sistemas"/>
    <w:p>
      <w:pPr>
        <w:pStyle w:val="Ttulo2"/>
      </w:pPr>
      <w:r>
        <w:t xml:space="preserve">4.2 Requerimientos de Sistemas</w:t>
      </w:r>
    </w:p>
    <w:tbl>
      <w:tblPr>
        <w:tblStyle w:val="Tablaconcuadrcula"/>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Nombre del requerimiento</w:t>
            </w:r>
          </w:p>
        </w:tc>
        <w:tc>
          <w:tcPr/>
          <w:p>
            <w:pPr>
              <w:pStyle w:val="Compact"/>
            </w:pPr>
            <w:r>
              <w:t xml:space="preserve">Dependencias</w:t>
            </w:r>
          </w:p>
        </w:tc>
        <w:tc>
          <w:tcPr/>
          <w:p>
            <w:pPr>
              <w:pStyle w:val="Compact"/>
            </w:pPr>
            <w:r>
              <w:t xml:space="preserve">Descripción</w:t>
            </w:r>
          </w:p>
        </w:tc>
        <w:tc>
          <w:tcPr/>
          <w:p>
            <w:pPr>
              <w:pStyle w:val="Compact"/>
            </w:pPr>
            <w:r>
              <w:t xml:space="preserve">Tipo de Componentes</w:t>
            </w:r>
          </w:p>
        </w:tc>
        <w:tc>
          <w:tcPr/>
          <w:p>
            <w:pPr>
              <w:pStyle w:val="Compact"/>
            </w:pPr>
            <w:r>
              <w:t xml:space="preserve">Componente a utilizar</w:t>
            </w:r>
          </w:p>
        </w:tc>
      </w:tr>
      <w:tr>
        <w:tc>
          <w:tcPr/>
          <w:p>
            <w:pPr>
              <w:pStyle w:val="Compact"/>
            </w:pPr>
            <w:r>
              <w:t xml:space="preserve">TD-001</w:t>
            </w:r>
          </w:p>
        </w:tc>
        <w:tc>
          <w:tcPr/>
          <w:p>
            <w:pPr>
              <w:pStyle w:val="Compact"/>
            </w:pPr>
            <w:r>
              <w:t xml:space="preserve">Utilidad manual posterior al archivado</w:t>
            </w:r>
          </w:p>
        </w:tc>
        <w:tc>
          <w:tcPr/>
          <w:p>
            <w:pPr>
              <w:pStyle w:val="Compact"/>
            </w:pPr>
            <w:r>
              <w:t xml:space="preserve">Cambio SDD archivado</w:t>
            </w:r>
          </w:p>
        </w:tc>
        <w:tc>
          <w:tcPr/>
          <w:p>
            <w:pPr>
              <w:pStyle w:val="Compact"/>
            </w:pPr>
            <w:r>
              <w:rPr>
                <w:rStyle w:val="VerbatimChar"/>
              </w:rPr>
              <w:t xml:space="preserve">sdd-technical-doc</w:t>
            </w:r>
            <w:r>
              <w:t xml:space="preserve"> </w:t>
            </w:r>
            <w:r>
              <w:t xml:space="preserve">debe ser manual, invocable por usuario, consumidor de archivo y no una fase SDD requerida.</w:t>
            </w:r>
          </w:p>
        </w:tc>
        <w:tc>
          <w:tcPr/>
          <w:p>
            <w:pPr>
              <w:pStyle w:val="Compact"/>
            </w:pPr>
            <w:r>
              <w:t xml:space="preserve">Skill / agente / documentación</w:t>
            </w:r>
          </w:p>
        </w:tc>
        <w:tc>
          <w:tcPr/>
          <w:p>
            <w:pPr>
              <w:pStyle w:val="Compact"/>
            </w:pPr>
            <w:r>
              <w:rPr>
                <w:rStyle w:val="VerbatimChar"/>
              </w:rPr>
              <w:t xml:space="preserve">skills/sdd-technical-doc/SKILL.md</w:t>
            </w:r>
            <w:r>
              <w:t xml:space="preserve">,</w:t>
            </w:r>
            <w:r>
              <w:t xml:space="preserve"> </w:t>
            </w:r>
            <w:r>
              <w:rPr>
                <w:rStyle w:val="VerbatimChar"/>
              </w:rPr>
              <w:t xml:space="preserve">agents/sdd/sdd-technical-doc.md</w:t>
            </w:r>
            <w:r>
              <w:t xml:space="preserve">,</w:t>
            </w:r>
            <w:r>
              <w:t xml:space="preserve"> </w:t>
            </w:r>
            <w:r>
              <w:rPr>
                <w:rStyle w:val="VerbatimChar"/>
              </w:rPr>
              <w:t xml:space="preserve">README.md</w:t>
            </w:r>
            <w:r>
              <w:t xml:space="preserve">,</w:t>
            </w:r>
            <w:r>
              <w:t xml:space="preserve"> </w:t>
            </w:r>
            <w:r>
              <w:rPr>
                <w:rStyle w:val="VerbatimChar"/>
              </w:rPr>
              <w:t xml:space="preserve">AGENTS.md</w:t>
            </w:r>
          </w:p>
        </w:tc>
      </w:tr>
      <w:tr>
        <w:tc>
          <w:tcPr/>
          <w:p>
            <w:pPr>
              <w:pStyle w:val="Compact"/>
            </w:pPr>
            <w:r>
              <w:t xml:space="preserve">TD-007</w:t>
            </w:r>
          </w:p>
        </w:tc>
        <w:tc>
          <w:tcPr/>
          <w:p>
            <w:pPr>
              <w:pStyle w:val="Compact"/>
            </w:pPr>
            <w:r>
              <w:t xml:space="preserve">Documento Markdown único en español</w:t>
            </w:r>
          </w:p>
        </w:tc>
        <w:tc>
          <w:tcPr/>
          <w:p>
            <w:pPr>
              <w:pStyle w:val="Compact"/>
            </w:pPr>
            <w:r>
              <w:t xml:space="preserve">Evidencia archivada legible</w:t>
            </w:r>
          </w:p>
        </w:tc>
        <w:tc>
          <w:tcPr/>
          <w:p>
            <w:pPr>
              <w:pStyle w:val="Compact"/>
            </w:pPr>
            <w:r>
              <w:t xml:space="preserve">La utilidad debe producir exactamente un documento técnico Markdown en español profesional o devolverlo inline si no se indica ruta.</w:t>
            </w:r>
          </w:p>
        </w:tc>
        <w:tc>
          <w:tcPr/>
          <w:p>
            <w:pPr>
              <w:pStyle w:val="Compact"/>
            </w:pPr>
            <w:r>
              <w:t xml:space="preserve">Plantilla / salida documental</w:t>
            </w:r>
          </w:p>
        </w:tc>
        <w:tc>
          <w:tcPr/>
          <w:p>
            <w:pPr>
              <w:pStyle w:val="Compact"/>
            </w:pPr>
            <w:r>
              <w:rPr>
                <w:rStyle w:val="VerbatimChar"/>
              </w:rPr>
              <w:t xml:space="preserve">skills/sdd-technical-doc/assets/technical-document-template.md</w:t>
            </w:r>
          </w:p>
        </w:tc>
      </w:tr>
      <w:tr>
        <w:tc>
          <w:tcPr/>
          <w:p>
            <w:pPr>
              <w:pStyle w:val="Compact"/>
            </w:pPr>
            <w:r>
              <w:t xml:space="preserve">TD-011</w:t>
            </w:r>
          </w:p>
        </w:tc>
        <w:tc>
          <w:tcPr/>
          <w:p>
            <w:pPr>
              <w:pStyle w:val="Compact"/>
            </w:pPr>
            <w:r>
              <w:t xml:space="preserve">Marcador de sección no aplicable</w:t>
            </w:r>
          </w:p>
        </w:tc>
        <w:tc>
          <w:tcPr/>
          <w:p>
            <w:pPr>
              <w:pStyle w:val="Compact"/>
            </w:pPr>
            <w:r>
              <w:t xml:space="preserve">Evidencia archivada</w:t>
            </w:r>
          </w:p>
        </w:tc>
        <w:tc>
          <w:tcPr/>
          <w:p>
            <w:pPr>
              <w:pStyle w:val="Compact"/>
            </w:pPr>
            <w:r>
              <w:t xml:space="preserve">Las secciones no aplicables deben usar exactamente</w:t>
            </w:r>
            <w:r>
              <w:t xml:space="preserve"> </w:t>
            </w:r>
            <w:r>
              <w:rPr>
                <w:rStyle w:val="VerbatimChar"/>
              </w:rPr>
              <w:t xml:space="preserve">No aplica.</w:t>
            </w:r>
            <w:r>
              <w:t xml:space="preserve">.</w:t>
            </w:r>
          </w:p>
        </w:tc>
        <w:tc>
          <w:tcPr/>
          <w:p>
            <w:pPr>
              <w:pStyle w:val="Compact"/>
            </w:pPr>
            <w:r>
              <w:t xml:space="preserve">Regla documental</w:t>
            </w:r>
          </w:p>
        </w:tc>
        <w:tc>
          <w:tcPr/>
          <w:p>
            <w:pPr>
              <w:pStyle w:val="Compact"/>
            </w:pPr>
            <w:r>
              <w:t xml:space="preserve">Skill y plantilla</w:t>
            </w:r>
          </w:p>
        </w:tc>
      </w:tr>
      <w:tr>
        <w:tc>
          <w:tcPr/>
          <w:p>
            <w:pPr>
              <w:pStyle w:val="Compact"/>
            </w:pPr>
            <w:r>
              <w:t xml:space="preserve">TD-012</w:t>
            </w:r>
          </w:p>
        </w:tc>
        <w:tc>
          <w:tcPr/>
          <w:p>
            <w:pPr>
              <w:pStyle w:val="Compact"/>
            </w:pPr>
            <w:r>
              <w:t xml:space="preserve">Marcador de información faltante</w:t>
            </w:r>
          </w:p>
        </w:tc>
        <w:tc>
          <w:tcPr/>
          <w:p>
            <w:pPr>
              <w:pStyle w:val="Compact"/>
            </w:pPr>
            <w:r>
              <w:t xml:space="preserve">Evidencia archivada</w:t>
            </w:r>
          </w:p>
        </w:tc>
        <w:tc>
          <w:tcPr/>
          <w:p>
            <w:pPr>
              <w:pStyle w:val="Compact"/>
            </w:pPr>
            <w:r>
              <w:t xml:space="preserve">La información aplicable pero ausente debe usar exactamente</w:t>
            </w:r>
            <w:r>
              <w:t xml:space="preserve"> </w:t>
            </w:r>
            <w:r>
              <w:rPr>
                <w:rStyle w:val="VerbatimChar"/>
              </w:rPr>
              <w:t xml:space="preserve">Información no disponible en la evidencia archivada.</w:t>
            </w:r>
            <w:r>
              <w:t xml:space="preserve">.</w:t>
            </w:r>
          </w:p>
        </w:tc>
        <w:tc>
          <w:tcPr/>
          <w:p>
            <w:pPr>
              <w:pStyle w:val="Compact"/>
            </w:pPr>
            <w:r>
              <w:t xml:space="preserve">Regla documental</w:t>
            </w:r>
          </w:p>
        </w:tc>
        <w:tc>
          <w:tcPr/>
          <w:p>
            <w:pPr>
              <w:pStyle w:val="Compact"/>
            </w:pPr>
            <w:r>
              <w:t xml:space="preserve">Skill y plantilla</w:t>
            </w:r>
          </w:p>
        </w:tc>
      </w:tr>
      <w:tr>
        <w:tc>
          <w:tcPr/>
          <w:p>
            <w:pPr>
              <w:pStyle w:val="Compact"/>
            </w:pPr>
            <w:r>
              <w:t xml:space="preserve">TD-013</w:t>
            </w:r>
          </w:p>
        </w:tc>
        <w:tc>
          <w:tcPr/>
          <w:p>
            <w:pPr>
              <w:pStyle w:val="Compact"/>
            </w:pPr>
            <w:r>
              <w:t xml:space="preserve">Referencias finales restringidas</w:t>
            </w:r>
          </w:p>
        </w:tc>
        <w:tc>
          <w:tcPr/>
          <w:p>
            <w:pPr>
              <w:pStyle w:val="Compact"/>
            </w:pPr>
            <w:r>
              <w:t xml:space="preserve">Evidencia archivada</w:t>
            </w:r>
          </w:p>
        </w:tc>
        <w:tc>
          <w:tcPr/>
          <w:p>
            <w:pPr>
              <w:pStyle w:val="Compact"/>
            </w:pPr>
            <w:r>
              <w:t xml:space="preserve">Las referencias finales solo pueden incluir FCTI, historia y fuentes</w:t>
            </w:r>
            <w:r>
              <w:t xml:space="preserve"> </w:t>
            </w:r>
            <w:r>
              <w:rPr>
                <w:rStyle w:val="VerbatimChar"/>
              </w:rPr>
              <w:t xml:space="preserve">.pks</w:t>
            </w:r>
            <w:r>
              <w:t xml:space="preserve">,</w:t>
            </w:r>
            <w:r>
              <w:t xml:space="preserve"> </w:t>
            </w:r>
            <w:r>
              <w:rPr>
                <w:rStyle w:val="VerbatimChar"/>
              </w:rPr>
              <w:t xml:space="preserve">.pkb</w:t>
            </w:r>
            <w:r>
              <w:t xml:space="preserve"> </w:t>
            </w:r>
            <w:r>
              <w:t xml:space="preserve">o</w:t>
            </w:r>
            <w:r>
              <w:t xml:space="preserve"> </w:t>
            </w:r>
            <w:r>
              <w:rPr>
                <w:rStyle w:val="VerbatimChar"/>
              </w:rPr>
              <w:t xml:space="preserve">.sql</w:t>
            </w:r>
            <w:r>
              <w:t xml:space="preserve"> </w:t>
            </w:r>
            <w:r>
              <w:t xml:space="preserve">de packages/tablas creadas o modificadas.</w:t>
            </w:r>
          </w:p>
        </w:tc>
        <w:tc>
          <w:tcPr/>
          <w:p>
            <w:pPr>
              <w:pStyle w:val="Compact"/>
            </w:pPr>
            <w:r>
              <w:t xml:space="preserve">Regla documental</w:t>
            </w:r>
          </w:p>
        </w:tc>
        <w:tc>
          <w:tcPr/>
          <w:p>
            <w:pPr>
              <w:pStyle w:val="Compact"/>
            </w:pPr>
            <w:r>
              <w:t xml:space="preserve">Skill y plantilla</w:t>
            </w:r>
          </w:p>
        </w:tc>
      </w:tr>
      <w:tr>
        <w:tc>
          <w:tcPr/>
          <w:p>
            <w:pPr>
              <w:pStyle w:val="Compact"/>
            </w:pPr>
            <w:r>
              <w:t xml:space="preserve">TD-014</w:t>
            </w:r>
          </w:p>
        </w:tc>
        <w:tc>
          <w:tcPr/>
          <w:p>
            <w:pPr>
              <w:pStyle w:val="Compact"/>
            </w:pPr>
            <w:r>
              <w:t xml:space="preserve">Exclusión de instaladores</w:t>
            </w:r>
          </w:p>
        </w:tc>
        <w:tc>
          <w:tcPr/>
          <w:p>
            <w:pPr>
              <w:pStyle w:val="Compact"/>
            </w:pPr>
            <w:r>
              <w:t xml:space="preserve">Evidencia archivada</w:t>
            </w:r>
          </w:p>
        </w:tc>
        <w:tc>
          <w:tcPr/>
          <w:p>
            <w:pPr>
              <w:pStyle w:val="Compact"/>
            </w:pPr>
            <w:r>
              <w:t xml:space="preserve">Los scripts instaladores no deben aparecer en referencias finales.</w:t>
            </w:r>
          </w:p>
        </w:tc>
        <w:tc>
          <w:tcPr/>
          <w:p>
            <w:pPr>
              <w:pStyle w:val="Compact"/>
            </w:pPr>
            <w:r>
              <w:t xml:space="preserve">Regla documental</w:t>
            </w:r>
          </w:p>
        </w:tc>
        <w:tc>
          <w:tcPr/>
          <w:p>
            <w:pPr>
              <w:pStyle w:val="Compact"/>
            </w:pPr>
            <w:r>
              <w:t xml:space="preserve">Skill y plantilla</w:t>
            </w:r>
          </w:p>
        </w:tc>
      </w:tr>
      <w:tr>
        <w:tc>
          <w:tcPr/>
          <w:p>
            <w:pPr>
              <w:pStyle w:val="Compact"/>
            </w:pPr>
            <w:r>
              <w:t xml:space="preserve">TD-019</w:t>
            </w:r>
          </w:p>
        </w:tc>
        <w:tc>
          <w:tcPr/>
          <w:p>
            <w:pPr>
              <w:pStyle w:val="Compact"/>
            </w:pPr>
            <w:r>
              <w:t xml:space="preserve">Ruta de salida segura</w:t>
            </w:r>
          </w:p>
        </w:tc>
        <w:tc>
          <w:tcPr/>
          <w:p>
            <w:pPr>
              <w:pStyle w:val="Compact"/>
            </w:pPr>
            <w:r>
              <w:t xml:space="preserve">Ruta objetivo opcional</w:t>
            </w:r>
          </w:p>
        </w:tc>
        <w:tc>
          <w:tcPr/>
          <w:p>
            <w:pPr>
              <w:pStyle w:val="Compact"/>
            </w:pPr>
            <w:r>
              <w:t xml:space="preserve">Si se escribe a disco, debe preferirse una ruta Markdown local al archivo y leerse contenido existente antes de decidir sobrescritura.</w:t>
            </w:r>
          </w:p>
        </w:tc>
        <w:tc>
          <w:tcPr/>
          <w:p>
            <w:pPr>
              <w:pStyle w:val="Compact"/>
            </w:pPr>
            <w:r>
              <w:t xml:space="preserve">Regla de archivo</w:t>
            </w:r>
          </w:p>
        </w:tc>
        <w:tc>
          <w:tcPr/>
          <w:p>
            <w:pPr>
              <w:pStyle w:val="Compact"/>
            </w:pPr>
            <w:r>
              <w:t xml:space="preserve">Skill</w:t>
            </w:r>
          </w:p>
        </w:tc>
      </w:tr>
    </w:tbl>
    <w:bookmarkEnd w:id="52"/>
    <w:bookmarkStart w:id="53" w:name="frontend-aplica-para-bi"/>
    <w:p>
      <w:pPr>
        <w:pStyle w:val="Ttulo2"/>
      </w:pPr>
      <w:r>
        <w:t xml:space="preserve">4.3 FrontEnd (Aplica para BI)</w:t>
      </w:r>
    </w:p>
    <w:p>
      <w:pPr>
        <w:pStyle w:val="FirstParagraph"/>
      </w:pPr>
      <w:r>
        <w:t xml:space="preserve">No aplica.</w:t>
      </w:r>
    </w:p>
    <w:bookmarkEnd w:id="53"/>
    <w:bookmarkStart w:id="54" w:name="restricciones-de-diseño"/>
    <w:p>
      <w:pPr>
        <w:pStyle w:val="Ttulo2"/>
      </w:pPr>
      <w:r>
        <w:t xml:space="preserve">4.4 Restricciones de diseño</w:t>
      </w:r>
    </w:p>
    <w:p>
      <w:pPr>
        <w:pStyle w:val="Compact"/>
        <w:numPr>
          <w:ilvl w:val="0"/>
          <w:numId w:val="1006"/>
        </w:numPr>
      </w:pPr>
      <w:r>
        <w:t xml:space="preserve">La utilidad no debe convertirse en fase requerida del DAG SDD.</w:t>
      </w:r>
    </w:p>
    <w:p>
      <w:pPr>
        <w:pStyle w:val="Compact"/>
        <w:numPr>
          <w:ilvl w:val="0"/>
          <w:numId w:val="1006"/>
        </w:numPr>
      </w:pPr>
      <w:r>
        <w:t xml:space="preserve">No debe modificar orden de fases, ruteo de estado, dependencias, puertas de verificación ni puertas de archivado.</w:t>
      </w:r>
    </w:p>
    <w:p>
      <w:pPr>
        <w:pStyle w:val="Compact"/>
        <w:numPr>
          <w:ilvl w:val="0"/>
          <w:numId w:val="1006"/>
        </w:numPr>
      </w:pPr>
      <w:r>
        <w:t xml:space="preserve">Debe usar solo evidencia archivada y contexto final explícito provisto por el usuario.</w:t>
      </w:r>
    </w:p>
    <w:p>
      <w:pPr>
        <w:pStyle w:val="Compact"/>
        <w:numPr>
          <w:ilvl w:val="0"/>
          <w:numId w:val="1006"/>
        </w:numPr>
      </w:pPr>
      <w:r>
        <w:t xml:space="preserve">No debe inventar datos de producto, responsables, runtime, base de datos, seguridad, integración, objetos ni referencias.</w:t>
      </w:r>
    </w:p>
    <w:p>
      <w:pPr>
        <w:pStyle w:val="Compact"/>
        <w:numPr>
          <w:ilvl w:val="0"/>
          <w:numId w:val="1006"/>
        </w:numPr>
      </w:pPr>
      <w:r>
        <w:t xml:space="preserve">Debe usar marcadores exactos para información no aplicable o no disponible.</w:t>
      </w:r>
    </w:p>
    <w:p>
      <w:pPr>
        <w:pStyle w:val="Compact"/>
        <w:numPr>
          <w:ilvl w:val="0"/>
          <w:numId w:val="1006"/>
        </w:numPr>
      </w:pPr>
      <w:r>
        <w:t xml:space="preserve">Debe generar exactamente un documento Markdown en español profesional por invocación.</w:t>
      </w:r>
    </w:p>
    <w:bookmarkEnd w:id="54"/>
    <w:bookmarkStart w:id="55" w:name="requerimientos-de-licencia"/>
    <w:p>
      <w:pPr>
        <w:pStyle w:val="Ttulo2"/>
      </w:pPr>
      <w:r>
        <w:t xml:space="preserve">4.5 Requerimientos de Licencia</w:t>
      </w:r>
    </w:p>
    <w:p>
      <w:pPr>
        <w:pStyle w:val="FirstParagraph"/>
      </w:pPr>
      <w:r>
        <w:t xml:space="preserve">Información no disponible en la evidencia archivada.</w:t>
      </w:r>
    </w:p>
    <w:bookmarkEnd w:id="55"/>
    <w:bookmarkStart w:id="56" w:name="componentes-comprados"/>
    <w:p>
      <w:pPr>
        <w:pStyle w:val="Ttulo2"/>
      </w:pPr>
      <w:r>
        <w:t xml:space="preserve">4.6 Componentes Comprados</w:t>
      </w:r>
    </w:p>
    <w:p>
      <w:pPr>
        <w:pStyle w:val="FirstParagraph"/>
      </w:pPr>
      <w:r>
        <w:t xml:space="preserve">No aplica.</w:t>
      </w:r>
    </w:p>
    <w:bookmarkEnd w:id="56"/>
    <w:bookmarkStart w:id="57" w:name="interacción-con-otros-sistemas"/>
    <w:p>
      <w:pPr>
        <w:pStyle w:val="Ttulo2"/>
      </w:pPr>
      <w:r>
        <w:t xml:space="preserve">4.7 Interacción con otros sistemas</w:t>
      </w:r>
    </w:p>
    <w:p>
      <w:pPr>
        <w:pStyle w:val="FirstParagraph"/>
      </w:pPr>
      <w:r>
        <w:t xml:space="preserve">La utilidad interactúa con evidencia archivada de OpenSpec y, según el modo de persistencia disponible, puede resolver referencias archivadas del backend seleccionado. No agrega integraciones externas, llamadas de red, servicios de aplicación ni intercambio de información con sistemas productivos.</w:t>
      </w:r>
    </w:p>
    <w:bookmarkEnd w:id="57"/>
    <w:bookmarkStart w:id="58" w:name="X924592be31f5522646c2d9cae17f9b6027201a0"/>
    <w:p>
      <w:pPr>
        <w:pStyle w:val="Ttulo2"/>
      </w:pPr>
      <w:r>
        <w:t xml:space="preserve">4.8 Requerimientos de base de datos, fuentes de información, destinos y procesamiento</w:t>
      </w:r>
    </w:p>
    <w:tbl>
      <w:tblPr>
        <w:tblStyle w:val="Tablaconcuadrcula"/>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Nombre del requerimiento</w:t>
            </w:r>
          </w:p>
        </w:tc>
        <w:tc>
          <w:tcPr/>
          <w:p>
            <w:pPr>
              <w:pStyle w:val="Compact"/>
            </w:pPr>
            <w:r>
              <w:t xml:space="preserve">Dependencias</w:t>
            </w:r>
          </w:p>
        </w:tc>
        <w:tc>
          <w:tcPr/>
          <w:p>
            <w:pPr>
              <w:pStyle w:val="Compact"/>
            </w:pPr>
            <w:r>
              <w:t xml:space="preserve">Descripción</w:t>
            </w:r>
          </w:p>
        </w:tc>
        <w:tc>
          <w:tcPr/>
          <w:p>
            <w:pPr>
              <w:pStyle w:val="Compact"/>
            </w:pPr>
            <w:r>
              <w:t xml:space="preserve">Tipo de Componentes</w:t>
            </w:r>
          </w:p>
        </w:tc>
        <w:tc>
          <w:tcPr/>
          <w:p>
            <w:pPr>
              <w:pStyle w:val="Compact"/>
            </w:pPr>
            <w:r>
              <w:t xml:space="preserve">Componente a utilizar</w:t>
            </w:r>
          </w:p>
        </w:tc>
      </w:tr>
      <w:tr>
        <w:tc>
          <w:tcPr/>
          <w:p>
            <w:pPr>
              <w:pStyle w:val="Compact"/>
            </w:pPr>
            <w:r>
              <w:t xml:space="preserve">TD-006</w:t>
            </w:r>
          </w:p>
        </w:tc>
        <w:tc>
          <w:tcPr/>
          <w:p>
            <w:pPr>
              <w:pStyle w:val="Compact"/>
            </w:pPr>
            <w:r>
              <w:t xml:space="preserve">Generación desde archivo únicamente</w:t>
            </w:r>
          </w:p>
        </w:tc>
        <w:tc>
          <w:tcPr/>
          <w:p>
            <w:pPr>
              <w:pStyle w:val="Compact"/>
            </w:pPr>
            <w:r>
              <w:t xml:space="preserve">Cambio SDD archivado</w:t>
            </w:r>
          </w:p>
        </w:tc>
        <w:tc>
          <w:tcPr/>
          <w:p>
            <w:pPr>
              <w:pStyle w:val="Compact"/>
            </w:pPr>
            <w:r>
              <w:t xml:space="preserve">La utilidad debe rechazar generación desde cambios activos y no debe rerunear fases ni mutar estado SDD.</w:t>
            </w:r>
          </w:p>
        </w:tc>
        <w:tc>
          <w:tcPr/>
          <w:p>
            <w:pPr>
              <w:pStyle w:val="Compact"/>
            </w:pPr>
            <w:r>
              <w:t xml:space="preserve">Evidencia archivada / regla de ejecución</w:t>
            </w:r>
          </w:p>
        </w:tc>
        <w:tc>
          <w:tcPr/>
          <w:p>
            <w:pPr>
              <w:pStyle w:val="Compact"/>
            </w:pPr>
            <w:r>
              <w:rPr>
                <w:rStyle w:val="VerbatimChar"/>
              </w:rPr>
              <w:t xml:space="preserve">openspec/changes/archive/{change}/</w:t>
            </w:r>
            <w:r>
              <w:t xml:space="preserve"> </w:t>
            </w:r>
            <w:r>
              <w:t xml:space="preserve">y</w:t>
            </w:r>
            <w:r>
              <w:t xml:space="preserve"> </w:t>
            </w:r>
            <w:r>
              <w:rPr>
                <w:rStyle w:val="VerbatimChar"/>
              </w:rPr>
              <w:t xml:space="preserve">skills/sdd-technical-doc/SKILL.md</w:t>
            </w:r>
          </w:p>
        </w:tc>
      </w:tr>
      <w:tr>
        <w:tc>
          <w:tcPr/>
          <w:p>
            <w:pPr>
              <w:pStyle w:val="Compact"/>
            </w:pPr>
            <w:r>
              <w:t xml:space="preserve">TD-017</w:t>
            </w:r>
          </w:p>
        </w:tc>
        <w:tc>
          <w:tcPr/>
          <w:p>
            <w:pPr>
              <w:pStyle w:val="Compact"/>
            </w:pPr>
            <w:r>
              <w:t xml:space="preserve">Límite de datos restringidos</w:t>
            </w:r>
          </w:p>
        </w:tc>
        <w:tc>
          <w:tcPr/>
          <w:p>
            <w:pPr>
              <w:pStyle w:val="Compact"/>
            </w:pPr>
            <w:r>
              <w:t xml:space="preserve">Evidencia archivada</w:t>
            </w:r>
          </w:p>
        </w:tc>
        <w:tc>
          <w:tcPr/>
          <w:p>
            <w:pPr>
              <w:pStyle w:val="Compact"/>
            </w:pPr>
            <w:r>
              <w:t xml:space="preserve">No copiar valores sensibles o restringidos desde evidencia archivada hacia artefactos SDD, ejemplos, resúmenes o logs.</w:t>
            </w:r>
          </w:p>
        </w:tc>
        <w:tc>
          <w:tcPr/>
          <w:p>
            <w:pPr>
              <w:pStyle w:val="Compact"/>
            </w:pPr>
            <w:r>
              <w:t xml:space="preserve">Regla de seguridad documental</w:t>
            </w:r>
          </w:p>
        </w:tc>
        <w:tc>
          <w:tcPr/>
          <w:p>
            <w:pPr>
              <w:pStyle w:val="Compact"/>
            </w:pPr>
            <w:r>
              <w:t xml:space="preserve">Skill, plantilla, agente</w:t>
            </w:r>
          </w:p>
        </w:tc>
      </w:tr>
      <w:tr>
        <w:tc>
          <w:tcPr/>
          <w:p>
            <w:pPr>
              <w:pStyle w:val="Compact"/>
            </w:pPr>
            <w:r>
              <w:t xml:space="preserve">TD-020</w:t>
            </w:r>
          </w:p>
        </w:tc>
        <w:tc>
          <w:tcPr/>
          <w:p>
            <w:pPr>
              <w:pStyle w:val="Compact"/>
            </w:pPr>
            <w:r>
              <w:t xml:space="preserve">Resúmenes sanitizados</w:t>
            </w:r>
          </w:p>
        </w:tc>
        <w:tc>
          <w:tcPr/>
          <w:p>
            <w:pPr>
              <w:pStyle w:val="Compact"/>
            </w:pPr>
            <w:r>
              <w:t xml:space="preserve">Evidencia archivada</w:t>
            </w:r>
          </w:p>
        </w:tc>
        <w:tc>
          <w:tcPr/>
          <w:p>
            <w:pPr>
              <w:pStyle w:val="Compact"/>
            </w:pPr>
            <w:r>
              <w:t xml:space="preserve">Las fuentes deben resumirse por ruta, sección o descripción sanitizada.</w:t>
            </w:r>
          </w:p>
        </w:tc>
        <w:tc>
          <w:tcPr/>
          <w:p>
            <w:pPr>
              <w:pStyle w:val="Compact"/>
            </w:pPr>
            <w:r>
              <w:t xml:space="preserve">Regla de evidencia</w:t>
            </w:r>
          </w:p>
        </w:tc>
        <w:tc>
          <w:tcPr/>
          <w:p>
            <w:pPr>
              <w:pStyle w:val="Compact"/>
            </w:pPr>
            <w:r>
              <w:t xml:space="preserve">Skill y agente</w:t>
            </w:r>
          </w:p>
        </w:tc>
      </w:tr>
      <w:tr>
        <w:tc>
          <w:tcPr/>
          <w:p>
            <w:pPr>
              <w:pStyle w:val="Compact"/>
            </w:pPr>
            <w:r>
              <w:t xml:space="preserve">SEC-FILE-001</w:t>
            </w:r>
          </w:p>
        </w:tc>
        <w:tc>
          <w:tcPr/>
          <w:p>
            <w:pPr>
              <w:pStyle w:val="Compact"/>
            </w:pPr>
            <w:r>
              <w:t xml:space="preserve">Documento único</w:t>
            </w:r>
          </w:p>
        </w:tc>
        <w:tc>
          <w:tcPr/>
          <w:p>
            <w:pPr>
              <w:pStyle w:val="Compact"/>
            </w:pPr>
            <w:r>
              <w:t xml:space="preserve">Invocación manual</w:t>
            </w:r>
          </w:p>
        </w:tc>
        <w:tc>
          <w:tcPr/>
          <w:p>
            <w:pPr>
              <w:pStyle w:val="Compact"/>
            </w:pPr>
            <w:r>
              <w:t xml:space="preserve">Producir exactamente un documento Markdown técnico en español por invocación.</w:t>
            </w:r>
          </w:p>
        </w:tc>
        <w:tc>
          <w:tcPr/>
          <w:p>
            <w:pPr>
              <w:pStyle w:val="Compact"/>
            </w:pPr>
            <w:r>
              <w:t xml:space="preserve">Salida documental</w:t>
            </w:r>
          </w:p>
        </w:tc>
        <w:tc>
          <w:tcPr/>
          <w:p>
            <w:pPr>
              <w:pStyle w:val="Compact"/>
            </w:pPr>
            <w:r>
              <w:t xml:space="preserve">Documento</w:t>
            </w:r>
            <w:r>
              <w:t xml:space="preserve"> </w:t>
            </w:r>
            <w:r>
              <w:rPr>
                <w:rStyle w:val="VerbatimChar"/>
              </w:rPr>
              <w:t xml:space="preserve">.md</w:t>
            </w:r>
            <w:r>
              <w:t xml:space="preserve"> </w:t>
            </w:r>
            <w:r>
              <w:t xml:space="preserve">final</w:t>
            </w:r>
          </w:p>
        </w:tc>
      </w:tr>
      <w:tr>
        <w:tc>
          <w:tcPr/>
          <w:p>
            <w:pPr>
              <w:pStyle w:val="Compact"/>
            </w:pPr>
            <w:r>
              <w:t xml:space="preserve">SEC-EVID-003</w:t>
            </w:r>
          </w:p>
        </w:tc>
        <w:tc>
          <w:tcPr/>
          <w:p>
            <w:pPr>
              <w:pStyle w:val="Compact"/>
            </w:pPr>
            <w:r>
              <w:t xml:space="preserve">No backfill de valores finales</w:t>
            </w:r>
          </w:p>
        </w:tc>
        <w:tc>
          <w:tcPr/>
          <w:p>
            <w:pPr>
              <w:pStyle w:val="Compact"/>
            </w:pPr>
            <w:r>
              <w:t xml:space="preserve">Contexto final del usuario</w:t>
            </w:r>
          </w:p>
        </w:tc>
        <w:tc>
          <w:tcPr/>
          <w:p>
            <w:pPr>
              <w:pStyle w:val="Compact"/>
            </w:pPr>
            <w:r>
              <w:t xml:space="preserve">Los valores provistos solo para el documento final no deben copiarse a artefactos SDD, pruebas, reportes ni evidencia archivada.</w:t>
            </w:r>
          </w:p>
        </w:tc>
        <w:tc>
          <w:tcPr/>
          <w:p>
            <w:pPr>
              <w:pStyle w:val="Compact"/>
            </w:pPr>
            <w:r>
              <w:t xml:space="preserve">Regla de evidencia</w:t>
            </w:r>
          </w:p>
        </w:tc>
        <w:tc>
          <w:tcPr/>
          <w:p>
            <w:pPr>
              <w:pStyle w:val="Compact"/>
            </w:pPr>
            <w:r>
              <w:t xml:space="preserve">Skill</w:t>
            </w:r>
          </w:p>
        </w:tc>
      </w:tr>
    </w:tbl>
    <w:bookmarkEnd w:id="58"/>
    <w:bookmarkEnd w:id="59"/>
    <w:bookmarkStart w:id="60" w:name="Xfa7c72c20fdd33283063ca01e3a4d9024e5bf4e"/>
    <w:p>
      <w:pPr>
        <w:pStyle w:val="Ttulo1"/>
      </w:pPr>
      <w:r>
        <w:t xml:space="preserve">5. Matriz de Pruebas Unitarias (Aplica para BI)</w:t>
      </w:r>
    </w:p>
    <w:p>
      <w:pPr>
        <w:pStyle w:val="FirstParagraph"/>
      </w:pPr>
      <w:r>
        <w:t xml:space="preserve">No aplica.</w:t>
      </w:r>
    </w:p>
    <w:bookmarkEnd w:id="60"/>
    <w:bookmarkStart w:id="61" w:name="Xf411a758ca3b48ab0b403f82224730cc62ef62b"/>
    <w:p>
      <w:pPr>
        <w:pStyle w:val="Ttulo1"/>
      </w:pPr>
      <w:r>
        <w:t xml:space="preserve">6. Especificaciones del Software (aplica para POS)</w:t>
      </w:r>
    </w:p>
    <w:p>
      <w:pPr>
        <w:pStyle w:val="FirstParagraph"/>
      </w:pPr>
      <w:r>
        <w:t xml:space="preserve">No aplica.</w:t>
      </w:r>
    </w:p>
    <w:bookmarkEnd w:id="61"/>
    <w:bookmarkStart w:id="62" w:name="firmas-de-aprobación"/>
    <w:p>
      <w:pPr>
        <w:pStyle w:val="Ttulo1"/>
      </w:pPr>
      <w:r>
        <w:t xml:space="preserve">7. Firmas de aprobación</w:t>
      </w:r>
    </w:p>
    <w:tbl>
      <w:tblPr>
        <w:tblStyle w:val="Tablaconcuadrcula"/>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Nombre</w:t>
            </w:r>
          </w:p>
        </w:tc>
        <w:tc>
          <w:tcPr/>
          <w:p>
            <w:pPr>
              <w:pStyle w:val="Compact"/>
            </w:pPr>
            <w:r>
              <w:t xml:space="preserve">Firma</w:t>
            </w:r>
          </w:p>
        </w:tc>
        <w:tc>
          <w:tcPr/>
          <w:p>
            <w:pPr>
              <w:pStyle w:val="Compact"/>
            </w:pPr>
            <w:r>
              <w:t xml:space="preserve">Fecha</w:t>
            </w:r>
          </w:p>
        </w:tc>
      </w:tr>
      <w:tr>
        <w:tc>
          <w:tcPr/>
          <w:p>
            <w:pPr>
              <w:pStyle w:val="Compact"/>
            </w:pPr>
            <w:r>
              <w:t xml:space="preserve">Dueño de aplicación</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r>
        <w:tc>
          <w:tcPr/>
          <w:p>
            <w:pPr>
              <w:pStyle w:val="Compact"/>
            </w:pPr>
            <w:r>
              <w:t xml:space="preserve">Líder de Proyecto TI</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r>
        <w:tc>
          <w:tcPr/>
          <w:p>
            <w:pPr>
              <w:pStyle w:val="Compact"/>
            </w:pPr>
            <w:r>
              <w:t xml:space="preserve">Desarrollador</w:t>
            </w:r>
          </w:p>
        </w:tc>
        <w:tc>
          <w:tcPr/>
          <w:p>
            <w:pPr>
              <w:pStyle w:val="Compact"/>
            </w:pPr>
            <w:r>
              <w:t xml:space="preserve">Por definir</w:t>
            </w:r>
          </w:p>
        </w:tc>
        <w:tc>
          <w:tcPr/>
          <w:p>
            <w:pPr>
              <w:pStyle w:val="Compact"/>
            </w:pPr>
            <w:r>
              <w:t xml:space="preserve">Por definir</w:t>
            </w:r>
          </w:p>
        </w:tc>
        <w:tc>
          <w:tcPr/>
          <w:p>
            <w:pPr>
              <w:pStyle w:val="Compact"/>
            </w:pPr>
            <w:r>
              <w:t xml:space="preserve">Por definir</w:t>
            </w:r>
          </w:p>
        </w:tc>
      </w:tr>
    </w:tbl>
    <w:bookmarkEnd w:id="62"/>
    <w:bookmarkStart w:id="63" w:name="control-de-revisiones"/>
    <w:p>
      <w:pPr>
        <w:pStyle w:val="Ttulo1"/>
      </w:pPr>
      <w:r>
        <w:t xml:space="preserve">8. Control de revisiones</w:t>
      </w:r>
    </w:p>
    <w:tbl>
      <w:tblPr>
        <w:tblStyle w:val="Tablaconcuadrcula"/>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Autor</w:t>
            </w:r>
          </w:p>
        </w:tc>
        <w:tc>
          <w:tcPr/>
          <w:p>
            <w:pPr>
              <w:pStyle w:val="Compact"/>
            </w:pPr>
            <w:r>
              <w:t xml:space="preserve">Descripción</w:t>
            </w:r>
          </w:p>
        </w:tc>
      </w:tr>
      <w:tr>
        <w:tc>
          <w:tcPr/>
          <w:p>
            <w:pPr>
              <w:pStyle w:val="Compact"/>
            </w:pPr>
            <w:r>
              <w:t xml:space="preserve">1.0</w:t>
            </w:r>
          </w:p>
        </w:tc>
        <w:tc>
          <w:tcPr/>
          <w:p>
            <w:pPr>
              <w:pStyle w:val="Compact"/>
            </w:pPr>
            <w:r>
              <w:t xml:space="preserve">Por definir</w:t>
            </w:r>
          </w:p>
        </w:tc>
        <w:tc>
          <w:tcPr/>
          <w:p>
            <w:pPr>
              <w:pStyle w:val="Compact"/>
            </w:pPr>
            <w:r>
              <w:t xml:space="preserve">Por definir</w:t>
            </w:r>
          </w:p>
        </w:tc>
        <w:tc>
          <w:tcPr/>
          <w:p>
            <w:pPr>
              <w:pStyle w:val="Compact"/>
            </w:pPr>
            <w:r>
              <w:t xml:space="preserve">Versión inicial.</w:t>
            </w:r>
          </w:p>
        </w:tc>
      </w:tr>
    </w:tbl>
    <w:bookmarkEnd w:id="63"/>
    <w:sectPr w:rsidR="00133E4F" w:rsidRPr="00133E4F">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99C1E64"/>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
    <w:nsid w:val="4F535B5F"/>
    <w:multiLevelType w:val="multilevel"/>
    <w:tmpl w:val="C37C00DC"/>
    <w:lvl w:ilvl="0">
      <w:start w:val="1"/>
      <w:numFmt w:val="decimal"/>
      <w:lvlText w:val="%1)"/>
      <w:lvlJc w:val="left"/>
      <w:pPr>
        <w:ind w:hanging="360" w:left="360"/>
      </w:pPr>
      <w:rPr>
        <w:rFonts w:hint="default"/>
      </w:rPr>
    </w:lvl>
    <w:lvl w:ilvl="1">
      <w:start w:val="1"/>
      <w:numFmt w:val="lowerLetter"/>
      <w:suff w:val="space"/>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2">
    <w:nsid w:val="5D612B61"/>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
    <w:nsid w:val="775136A5"/>
    <w:multiLevelType w:val="multilevel"/>
    <w:tmpl w:val="5AAE3364"/>
    <w:lvl w:ilvl="0">
      <w:start w:val="1"/>
      <w:numFmt w:val="decimal"/>
      <w:lvlText w:val="%1."/>
      <w:lvlJc w:val="left"/>
      <w:pPr>
        <w:ind w:hanging="216" w:left="216"/>
      </w:pPr>
      <w:rPr>
        <w:rFonts w:hint="default"/>
      </w:rPr>
    </w:lvl>
    <w:lvl w:ilvl="1">
      <w:start w:val="1"/>
      <w:numFmt w:val="decimal"/>
      <w:lvlText w:val="%1.%2."/>
      <w:lvlJc w:val="left"/>
      <w:pPr>
        <w:ind w:hanging="216" w:left="432"/>
      </w:pPr>
      <w:rPr>
        <w:rFonts w:hint="default"/>
      </w:rPr>
    </w:lvl>
    <w:lvl w:ilvl="2">
      <w:start w:val="1"/>
      <w:numFmt w:val="decimal"/>
      <w:lvlText w:val="%1.%2.%3."/>
      <w:lvlJc w:val="left"/>
      <w:pPr>
        <w:ind w:hanging="216" w:left="648"/>
      </w:pPr>
      <w:rPr>
        <w:rFonts w:hint="default"/>
      </w:rPr>
    </w:lvl>
    <w:lvl w:ilvl="3">
      <w:start w:val="1"/>
      <w:numFmt w:val="decimal"/>
      <w:lvlText w:val="%1.%2.%3.%4."/>
      <w:lvlJc w:val="left"/>
      <w:pPr>
        <w:ind w:hanging="216" w:left="864"/>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30153773" w:numId="1">
    <w:abstractNumId w:val="1"/>
  </w:num>
  <w:num w16cid:durableId="422727947" w:numId="2">
    <w:abstractNumId w:val="0"/>
  </w:num>
  <w:num w16cid:durableId="477920901" w:numId="3">
    <w:abstractNumId w:val="3"/>
  </w:num>
  <w:num w16cid:durableId="997883113" w:numId="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7A2"/>
    <w:rsid w:val="00133E4F"/>
    <w:rsid w:val="001877A2"/>
    <w:rsid w:val="005450E5"/>
    <w:rsid w:val="007437F7"/>
    <w:rsid w:val="008B41A4"/>
    <w:rsid w:val="009E27E1"/>
    <w:rsid w:val="009E40E5"/>
    <w:rsid w:val="00BE7E2E"/>
    <w:rsid w:val="00BF664C"/>
    <w:rsid w:val="00DE16AE"/>
  </w:rsids>
  <w:themeFontLang w:val="es-MX"/>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s-MX"/>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E16AE"/>
    <w:pPr>
      <w:ind w:left="576"/>
    </w:pPr>
  </w:style>
  <w:style w:styleId="Ttulo1" w:type="paragraph">
    <w:name w:val="heading 1"/>
    <w:basedOn w:val="Normal"/>
    <w:next w:val="Normal"/>
    <w:link w:val="Ttulo1Car"/>
    <w:uiPriority w:val="9"/>
    <w:qFormat/>
    <w:rsid w:val="00BF664C"/>
    <w:pPr>
      <w:keepNext/>
      <w:keepLines/>
      <w:spacing w:after="40" w:before="400" w:line="240" w:lineRule="auto"/>
      <w:outlineLvl w:val="0"/>
    </w:pPr>
    <w:rPr>
      <w:rFonts w:asciiTheme="majorHAnsi" w:cstheme="majorBidi" w:eastAsiaTheme="majorEastAsia" w:hAnsiTheme="majorHAnsi"/>
      <w:color w:themeColor="accent1" w:themeShade="80" w:val="7B4A08"/>
      <w:sz w:val="36"/>
      <w:szCs w:val="36"/>
    </w:rPr>
  </w:style>
  <w:style w:styleId="Ttulo2" w:type="paragraph">
    <w:name w:val="heading 2"/>
    <w:basedOn w:val="Normal"/>
    <w:next w:val="Normal"/>
    <w:link w:val="Ttulo2Car"/>
    <w:uiPriority w:val="9"/>
    <w:unhideWhenUsed/>
    <w:qFormat/>
    <w:rsid w:val="00133E4F"/>
    <w:pPr>
      <w:keepNext/>
      <w:keepLines/>
      <w:spacing w:after="0" w:before="40" w:line="240" w:lineRule="auto"/>
      <w:ind w:left="708"/>
      <w:outlineLvl w:val="1"/>
    </w:pPr>
    <w:rPr>
      <w:rFonts w:asciiTheme="majorHAnsi" w:cstheme="majorBidi" w:eastAsiaTheme="majorEastAsia" w:hAnsiTheme="majorHAnsi"/>
      <w:color w:themeColor="accent1" w:themeShade="BF" w:val="B76E0B"/>
      <w:sz w:val="32"/>
      <w:szCs w:val="32"/>
    </w:rPr>
  </w:style>
  <w:style w:styleId="Ttulo3" w:type="paragraph">
    <w:name w:val="heading 3"/>
    <w:basedOn w:val="Normal"/>
    <w:next w:val="Normal"/>
    <w:link w:val="Ttulo3Car"/>
    <w:uiPriority w:val="9"/>
    <w:unhideWhenUsed/>
    <w:qFormat/>
    <w:rsid w:val="00133E4F"/>
    <w:pPr>
      <w:keepNext/>
      <w:keepLines/>
      <w:spacing w:after="0" w:before="40" w:line="240" w:lineRule="auto"/>
      <w:ind w:left="1416"/>
      <w:outlineLvl w:val="2"/>
    </w:pPr>
    <w:rPr>
      <w:rFonts w:asciiTheme="majorHAnsi" w:cstheme="majorBidi" w:eastAsiaTheme="majorEastAsia" w:hAnsiTheme="majorHAnsi"/>
      <w:color w:themeColor="accent1" w:themeShade="BF" w:val="B76E0B"/>
      <w:sz w:val="28"/>
      <w:szCs w:val="28"/>
    </w:rPr>
  </w:style>
  <w:style w:styleId="Ttulo4" w:type="paragraph">
    <w:name w:val="heading 4"/>
    <w:basedOn w:val="Normal"/>
    <w:next w:val="Normal"/>
    <w:link w:val="Ttulo4Car"/>
    <w:uiPriority w:val="9"/>
    <w:semiHidden/>
    <w:unhideWhenUsed/>
    <w:qFormat/>
    <w:rsid w:val="00BF664C"/>
    <w:pPr>
      <w:keepNext/>
      <w:keepLines/>
      <w:spacing w:after="0" w:before="40"/>
      <w:outlineLvl w:val="3"/>
    </w:pPr>
    <w:rPr>
      <w:rFonts w:asciiTheme="majorHAnsi" w:cstheme="majorBidi" w:eastAsiaTheme="majorEastAsia" w:hAnsiTheme="majorHAnsi"/>
      <w:color w:themeColor="accent1" w:themeShade="BF" w:val="B76E0B"/>
      <w:sz w:val="24"/>
      <w:szCs w:val="24"/>
    </w:rPr>
  </w:style>
  <w:style w:styleId="Ttulo5" w:type="paragraph">
    <w:name w:val="heading 5"/>
    <w:basedOn w:val="Normal"/>
    <w:next w:val="Normal"/>
    <w:link w:val="Ttulo5Car"/>
    <w:uiPriority w:val="9"/>
    <w:semiHidden/>
    <w:unhideWhenUsed/>
    <w:qFormat/>
    <w:rsid w:val="00BF664C"/>
    <w:pPr>
      <w:keepNext/>
      <w:keepLines/>
      <w:spacing w:after="0" w:before="40"/>
      <w:outlineLvl w:val="4"/>
    </w:pPr>
    <w:rPr>
      <w:rFonts w:asciiTheme="majorHAnsi" w:cstheme="majorBidi" w:eastAsiaTheme="majorEastAsia" w:hAnsiTheme="majorHAnsi"/>
      <w:caps/>
      <w:color w:themeColor="accent1" w:themeShade="BF" w:val="B76E0B"/>
    </w:rPr>
  </w:style>
  <w:style w:styleId="Ttulo6" w:type="paragraph">
    <w:name w:val="heading 6"/>
    <w:basedOn w:val="Normal"/>
    <w:next w:val="Normal"/>
    <w:link w:val="Ttulo6Car"/>
    <w:uiPriority w:val="9"/>
    <w:semiHidden/>
    <w:unhideWhenUsed/>
    <w:qFormat/>
    <w:rsid w:val="00BF664C"/>
    <w:pPr>
      <w:keepNext/>
      <w:keepLines/>
      <w:spacing w:after="0" w:before="40"/>
      <w:outlineLvl w:val="5"/>
    </w:pPr>
    <w:rPr>
      <w:rFonts w:asciiTheme="majorHAnsi" w:cstheme="majorBidi" w:eastAsiaTheme="majorEastAsia" w:hAnsiTheme="majorHAnsi"/>
      <w:i/>
      <w:iCs/>
      <w:caps/>
      <w:color w:themeColor="accent1" w:themeShade="80" w:val="7B4A08"/>
    </w:rPr>
  </w:style>
  <w:style w:styleId="Ttulo7" w:type="paragraph">
    <w:name w:val="heading 7"/>
    <w:basedOn w:val="Normal"/>
    <w:next w:val="Normal"/>
    <w:link w:val="Ttulo7Car"/>
    <w:uiPriority w:val="9"/>
    <w:semiHidden/>
    <w:unhideWhenUsed/>
    <w:qFormat/>
    <w:rsid w:val="00BF664C"/>
    <w:pPr>
      <w:keepNext/>
      <w:keepLines/>
      <w:spacing w:after="0" w:before="40"/>
      <w:outlineLvl w:val="6"/>
    </w:pPr>
    <w:rPr>
      <w:rFonts w:asciiTheme="majorHAnsi" w:cstheme="majorBidi" w:eastAsiaTheme="majorEastAsia" w:hAnsiTheme="majorHAnsi"/>
      <w:b/>
      <w:bCs/>
      <w:color w:themeColor="accent1" w:themeShade="80" w:val="7B4A08"/>
    </w:rPr>
  </w:style>
  <w:style w:styleId="Ttulo8" w:type="paragraph">
    <w:name w:val="heading 8"/>
    <w:basedOn w:val="Normal"/>
    <w:next w:val="Normal"/>
    <w:link w:val="Ttulo8Car"/>
    <w:uiPriority w:val="9"/>
    <w:semiHidden/>
    <w:unhideWhenUsed/>
    <w:qFormat/>
    <w:rsid w:val="00BF664C"/>
    <w:pPr>
      <w:keepNext/>
      <w:keepLines/>
      <w:spacing w:after="0" w:before="40"/>
      <w:outlineLvl w:val="7"/>
    </w:pPr>
    <w:rPr>
      <w:rFonts w:asciiTheme="majorHAnsi" w:cstheme="majorBidi" w:eastAsiaTheme="majorEastAsia" w:hAnsiTheme="majorHAnsi"/>
      <w:b/>
      <w:bCs/>
      <w:i/>
      <w:iCs/>
      <w:color w:themeColor="accent1" w:themeShade="80" w:val="7B4A08"/>
    </w:rPr>
  </w:style>
  <w:style w:styleId="Ttulo9" w:type="paragraph">
    <w:name w:val="heading 9"/>
    <w:basedOn w:val="Normal"/>
    <w:next w:val="Normal"/>
    <w:link w:val="Ttulo9Car"/>
    <w:uiPriority w:val="9"/>
    <w:semiHidden/>
    <w:unhideWhenUsed/>
    <w:qFormat/>
    <w:rsid w:val="00BF664C"/>
    <w:pPr>
      <w:keepNext/>
      <w:keepLines/>
      <w:spacing w:after="0" w:before="40"/>
      <w:outlineLvl w:val="8"/>
    </w:pPr>
    <w:rPr>
      <w:rFonts w:asciiTheme="majorHAnsi" w:cstheme="majorBidi" w:eastAsiaTheme="majorEastAsia" w:hAnsiTheme="majorHAnsi"/>
      <w:i/>
      <w:iCs/>
      <w:color w:themeColor="accent1" w:themeShade="80" w:val="7B4A08"/>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1Car" w:type="character">
    <w:name w:val="Título 1 Car"/>
    <w:basedOn w:val="Fuentedeprrafopredeter"/>
    <w:link w:val="Ttulo1"/>
    <w:uiPriority w:val="9"/>
    <w:rsid w:val="00BF664C"/>
    <w:rPr>
      <w:rFonts w:asciiTheme="majorHAnsi" w:cstheme="majorBidi" w:eastAsiaTheme="majorEastAsia" w:hAnsiTheme="majorHAnsi"/>
      <w:color w:themeColor="accent1" w:themeShade="80" w:val="7B4A08"/>
      <w:sz w:val="36"/>
      <w:szCs w:val="36"/>
    </w:rPr>
  </w:style>
  <w:style w:customStyle="1" w:styleId="Ttulo2Car" w:type="character">
    <w:name w:val="Título 2 Car"/>
    <w:basedOn w:val="Fuentedeprrafopredeter"/>
    <w:link w:val="Ttulo2"/>
    <w:uiPriority w:val="9"/>
    <w:rsid w:val="00133E4F"/>
    <w:rPr>
      <w:rFonts w:asciiTheme="majorHAnsi" w:cstheme="majorBidi" w:eastAsiaTheme="majorEastAsia" w:hAnsiTheme="majorHAnsi"/>
      <w:color w:themeColor="accent1" w:themeShade="BF" w:val="B76E0B"/>
      <w:sz w:val="32"/>
      <w:szCs w:val="32"/>
    </w:rPr>
  </w:style>
  <w:style w:customStyle="1" w:styleId="Ttulo3Car" w:type="character">
    <w:name w:val="Título 3 Car"/>
    <w:basedOn w:val="Fuentedeprrafopredeter"/>
    <w:link w:val="Ttulo3"/>
    <w:uiPriority w:val="9"/>
    <w:rsid w:val="00133E4F"/>
    <w:rPr>
      <w:rFonts w:asciiTheme="majorHAnsi" w:cstheme="majorBidi" w:eastAsiaTheme="majorEastAsia" w:hAnsiTheme="majorHAnsi"/>
      <w:color w:themeColor="accent1" w:themeShade="BF" w:val="B76E0B"/>
      <w:sz w:val="28"/>
      <w:szCs w:val="28"/>
    </w:rPr>
  </w:style>
  <w:style w:customStyle="1" w:styleId="Ttulo4Car" w:type="character">
    <w:name w:val="Título 4 Car"/>
    <w:basedOn w:val="Fuentedeprrafopredeter"/>
    <w:link w:val="Ttulo4"/>
    <w:uiPriority w:val="9"/>
    <w:semiHidden/>
    <w:rsid w:val="00BF664C"/>
    <w:rPr>
      <w:rFonts w:asciiTheme="majorHAnsi" w:cstheme="majorBidi" w:eastAsiaTheme="majorEastAsia" w:hAnsiTheme="majorHAnsi"/>
      <w:color w:themeColor="accent1" w:themeShade="BF" w:val="B76E0B"/>
      <w:sz w:val="24"/>
      <w:szCs w:val="24"/>
    </w:rPr>
  </w:style>
  <w:style w:customStyle="1" w:styleId="Ttulo5Car" w:type="character">
    <w:name w:val="Título 5 Car"/>
    <w:basedOn w:val="Fuentedeprrafopredeter"/>
    <w:link w:val="Ttulo5"/>
    <w:uiPriority w:val="9"/>
    <w:semiHidden/>
    <w:rsid w:val="00BF664C"/>
    <w:rPr>
      <w:rFonts w:asciiTheme="majorHAnsi" w:cstheme="majorBidi" w:eastAsiaTheme="majorEastAsia" w:hAnsiTheme="majorHAnsi"/>
      <w:caps/>
      <w:color w:themeColor="accent1" w:themeShade="BF" w:val="B76E0B"/>
    </w:rPr>
  </w:style>
  <w:style w:customStyle="1" w:styleId="Ttulo6Car" w:type="character">
    <w:name w:val="Título 6 Car"/>
    <w:basedOn w:val="Fuentedeprrafopredeter"/>
    <w:link w:val="Ttulo6"/>
    <w:uiPriority w:val="9"/>
    <w:semiHidden/>
    <w:rsid w:val="00BF664C"/>
    <w:rPr>
      <w:rFonts w:asciiTheme="majorHAnsi" w:cstheme="majorBidi" w:eastAsiaTheme="majorEastAsia" w:hAnsiTheme="majorHAnsi"/>
      <w:i/>
      <w:iCs/>
      <w:caps/>
      <w:color w:themeColor="accent1" w:themeShade="80" w:val="7B4A08"/>
    </w:rPr>
  </w:style>
  <w:style w:customStyle="1" w:styleId="Ttulo7Car" w:type="character">
    <w:name w:val="Título 7 Car"/>
    <w:basedOn w:val="Fuentedeprrafopredeter"/>
    <w:link w:val="Ttulo7"/>
    <w:uiPriority w:val="9"/>
    <w:semiHidden/>
    <w:rsid w:val="00BF664C"/>
    <w:rPr>
      <w:rFonts w:asciiTheme="majorHAnsi" w:cstheme="majorBidi" w:eastAsiaTheme="majorEastAsia" w:hAnsiTheme="majorHAnsi"/>
      <w:b/>
      <w:bCs/>
      <w:color w:themeColor="accent1" w:themeShade="80" w:val="7B4A08"/>
    </w:rPr>
  </w:style>
  <w:style w:customStyle="1" w:styleId="Ttulo8Car" w:type="character">
    <w:name w:val="Título 8 Car"/>
    <w:basedOn w:val="Fuentedeprrafopredeter"/>
    <w:link w:val="Ttulo8"/>
    <w:uiPriority w:val="9"/>
    <w:semiHidden/>
    <w:rsid w:val="00BF664C"/>
    <w:rPr>
      <w:rFonts w:asciiTheme="majorHAnsi" w:cstheme="majorBidi" w:eastAsiaTheme="majorEastAsia" w:hAnsiTheme="majorHAnsi"/>
      <w:b/>
      <w:bCs/>
      <w:i/>
      <w:iCs/>
      <w:color w:themeColor="accent1" w:themeShade="80" w:val="7B4A08"/>
    </w:rPr>
  </w:style>
  <w:style w:customStyle="1" w:styleId="Ttulo9Car" w:type="character">
    <w:name w:val="Título 9 Car"/>
    <w:basedOn w:val="Fuentedeprrafopredeter"/>
    <w:link w:val="Ttulo9"/>
    <w:uiPriority w:val="9"/>
    <w:semiHidden/>
    <w:rsid w:val="00BF664C"/>
    <w:rPr>
      <w:rFonts w:asciiTheme="majorHAnsi" w:cstheme="majorBidi" w:eastAsiaTheme="majorEastAsia" w:hAnsiTheme="majorHAnsi"/>
      <w:i/>
      <w:iCs/>
      <w:color w:themeColor="accent1" w:themeShade="80" w:val="7B4A08"/>
    </w:rPr>
  </w:style>
  <w:style w:styleId="Ttulo" w:type="paragraph">
    <w:name w:val="Title"/>
    <w:basedOn w:val="Normal"/>
    <w:next w:val="Normal"/>
    <w:link w:val="TtuloCar"/>
    <w:uiPriority w:val="10"/>
    <w:qFormat/>
    <w:rsid w:val="00BF664C"/>
    <w:pPr>
      <w:spacing w:after="0" w:line="204" w:lineRule="auto"/>
      <w:contextualSpacing/>
    </w:pPr>
    <w:rPr>
      <w:rFonts w:asciiTheme="majorHAnsi" w:cstheme="majorBidi" w:eastAsiaTheme="majorEastAsia" w:hAnsiTheme="majorHAnsi"/>
      <w:caps/>
      <w:color w:themeColor="text2" w:val="9D360E"/>
      <w:spacing w:val="-15"/>
      <w:sz w:val="72"/>
      <w:szCs w:val="72"/>
    </w:rPr>
  </w:style>
  <w:style w:customStyle="1" w:styleId="TtuloCar" w:type="character">
    <w:name w:val="Título Car"/>
    <w:basedOn w:val="Fuentedeprrafopredeter"/>
    <w:link w:val="Ttulo"/>
    <w:uiPriority w:val="10"/>
    <w:rsid w:val="00BF664C"/>
    <w:rPr>
      <w:rFonts w:asciiTheme="majorHAnsi" w:cstheme="majorBidi" w:eastAsiaTheme="majorEastAsia" w:hAnsiTheme="majorHAnsi"/>
      <w:caps/>
      <w:color w:themeColor="text2" w:val="9D360E"/>
      <w:spacing w:val="-15"/>
      <w:sz w:val="72"/>
      <w:szCs w:val="72"/>
    </w:rPr>
  </w:style>
  <w:style w:styleId="Subttulo" w:type="paragraph">
    <w:name w:val="Subtitle"/>
    <w:basedOn w:val="Normal"/>
    <w:next w:val="Normal"/>
    <w:link w:val="SubttuloCar"/>
    <w:uiPriority w:val="11"/>
    <w:qFormat/>
    <w:rsid w:val="00BF664C"/>
    <w:pPr>
      <w:numPr>
        <w:ilvl w:val="1"/>
      </w:numPr>
      <w:spacing w:after="240" w:line="240" w:lineRule="auto"/>
      <w:ind w:left="576"/>
    </w:pPr>
    <w:rPr>
      <w:rFonts w:asciiTheme="majorHAnsi" w:cstheme="majorBidi" w:eastAsiaTheme="majorEastAsia" w:hAnsiTheme="majorHAnsi"/>
      <w:color w:themeColor="accent1" w:val="F09415"/>
      <w:sz w:val="28"/>
      <w:szCs w:val="28"/>
    </w:rPr>
  </w:style>
  <w:style w:customStyle="1" w:styleId="SubttuloCar" w:type="character">
    <w:name w:val="Subtítulo Car"/>
    <w:basedOn w:val="Fuentedeprrafopredeter"/>
    <w:link w:val="Subttulo"/>
    <w:uiPriority w:val="11"/>
    <w:rsid w:val="00BF664C"/>
    <w:rPr>
      <w:rFonts w:asciiTheme="majorHAnsi" w:cstheme="majorBidi" w:eastAsiaTheme="majorEastAsia" w:hAnsiTheme="majorHAnsi"/>
      <w:color w:themeColor="accent1" w:val="F09415"/>
      <w:sz w:val="28"/>
      <w:szCs w:val="28"/>
    </w:rPr>
  </w:style>
  <w:style w:styleId="Cita" w:type="paragraph">
    <w:name w:val="Quote"/>
    <w:basedOn w:val="Normal"/>
    <w:next w:val="Normal"/>
    <w:link w:val="CitaCar"/>
    <w:uiPriority w:val="29"/>
    <w:qFormat/>
    <w:rsid w:val="00BF664C"/>
    <w:pPr>
      <w:spacing w:after="120" w:before="120"/>
      <w:ind w:left="720"/>
    </w:pPr>
    <w:rPr>
      <w:color w:themeColor="text2" w:val="9D360E"/>
      <w:sz w:val="24"/>
      <w:szCs w:val="24"/>
    </w:rPr>
  </w:style>
  <w:style w:customStyle="1" w:styleId="CitaCar" w:type="character">
    <w:name w:val="Cita Car"/>
    <w:basedOn w:val="Fuentedeprrafopredeter"/>
    <w:link w:val="Cita"/>
    <w:uiPriority w:val="29"/>
    <w:rsid w:val="00BF664C"/>
    <w:rPr>
      <w:color w:themeColor="text2" w:val="9D360E"/>
      <w:sz w:val="24"/>
      <w:szCs w:val="24"/>
    </w:rPr>
  </w:style>
  <w:style w:styleId="Prrafodelista" w:type="paragraph">
    <w:name w:val="List Paragraph"/>
    <w:basedOn w:val="Normal"/>
    <w:uiPriority w:val="34"/>
    <w:qFormat/>
    <w:rsid w:val="001877A2"/>
    <w:pPr>
      <w:ind w:left="720"/>
      <w:contextualSpacing/>
    </w:pPr>
  </w:style>
  <w:style w:styleId="nfasisintenso" w:type="character">
    <w:name w:val="Intense Emphasis"/>
    <w:basedOn w:val="Fuentedeprrafopredeter"/>
    <w:uiPriority w:val="21"/>
    <w:qFormat/>
    <w:rsid w:val="00BF664C"/>
    <w:rPr>
      <w:b/>
      <w:bCs/>
      <w:i/>
      <w:iCs/>
    </w:rPr>
  </w:style>
  <w:style w:styleId="Citadestacada" w:type="paragraph">
    <w:name w:val="Intense Quote"/>
    <w:basedOn w:val="Normal"/>
    <w:next w:val="Normal"/>
    <w:link w:val="CitadestacadaCar"/>
    <w:uiPriority w:val="30"/>
    <w:qFormat/>
    <w:rsid w:val="00BF664C"/>
    <w:pPr>
      <w:spacing w:after="240" w:before="100" w:beforeAutospacing="1" w:line="240" w:lineRule="auto"/>
      <w:ind w:left="720"/>
      <w:jc w:val="center"/>
    </w:pPr>
    <w:rPr>
      <w:rFonts w:asciiTheme="majorHAnsi" w:cstheme="majorBidi" w:eastAsiaTheme="majorEastAsia" w:hAnsiTheme="majorHAnsi"/>
      <w:color w:themeColor="text2" w:val="9D360E"/>
      <w:spacing w:val="-6"/>
      <w:sz w:val="32"/>
      <w:szCs w:val="32"/>
    </w:rPr>
  </w:style>
  <w:style w:customStyle="1" w:styleId="CitadestacadaCar" w:type="character">
    <w:name w:val="Cita destacada Car"/>
    <w:basedOn w:val="Fuentedeprrafopredeter"/>
    <w:link w:val="Citadestacada"/>
    <w:uiPriority w:val="30"/>
    <w:rsid w:val="00BF664C"/>
    <w:rPr>
      <w:rFonts w:asciiTheme="majorHAnsi" w:cstheme="majorBidi" w:eastAsiaTheme="majorEastAsia" w:hAnsiTheme="majorHAnsi"/>
      <w:color w:themeColor="text2" w:val="9D360E"/>
      <w:spacing w:val="-6"/>
      <w:sz w:val="32"/>
      <w:szCs w:val="32"/>
    </w:rPr>
  </w:style>
  <w:style w:styleId="Referenciaintensa" w:type="character">
    <w:name w:val="Intense Reference"/>
    <w:basedOn w:val="Fuentedeprrafopredeter"/>
    <w:uiPriority w:val="32"/>
    <w:qFormat/>
    <w:rsid w:val="00BF664C"/>
    <w:rPr>
      <w:b/>
      <w:bCs/>
      <w:smallCaps/>
      <w:color w:themeColor="text2" w:val="9D360E"/>
      <w:u w:val="single"/>
    </w:rPr>
  </w:style>
  <w:style w:styleId="Tablaconcuadrcula" w:type="table">
    <w:name w:val="Table Grid"/>
    <w:aliases w:val="Table"/>
    <w:basedOn w:val="Tablamoderna"/>
    <w:uiPriority w:val="39"/>
    <w:rsid w:val="00BE7E2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val="auto"/>
      </w:rPr>
      <w:tblPr/>
      <w:tcPr>
        <w:tcBorders>
          <w:tl2br w:color="auto" w:space="0" w:sz="0" w:val="none"/>
          <w:tr2bl w:color="auto" w:space="0" w:sz="0" w:val="none"/>
        </w:tcBorders>
        <w:shd w:color="auto" w:fill="9D360E" w:themeFill="text2" w:val="clear"/>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aconcuadrcula4-nfasis1" w:type="table">
    <w:name w:val="Grid Table 4 Accent 1"/>
    <w:basedOn w:val="Tablanormal"/>
    <w:uiPriority w:val="49"/>
    <w:rsid w:val="001877A2"/>
    <w:pPr>
      <w:spacing w:after="0" w:line="240" w:lineRule="auto"/>
    </w:pPr>
    <w:tblPr>
      <w:tblStyleRowBandSize w:val="1"/>
      <w:tblStyleColBandSize w:val="1"/>
      <w:tblBorders>
        <w:top w:color="F6BE72" w:space="0" w:sz="4" w:themeColor="accent1" w:themeTint="99" w:val="single"/>
        <w:left w:color="F6BE72" w:space="0" w:sz="4" w:themeColor="accent1" w:themeTint="99" w:val="single"/>
        <w:bottom w:color="F6BE72" w:space="0" w:sz="4" w:themeColor="accent1" w:themeTint="99" w:val="single"/>
        <w:right w:color="F6BE72" w:space="0" w:sz="4" w:themeColor="accent1" w:themeTint="99" w:val="single"/>
        <w:insideH w:color="F6BE72" w:space="0" w:sz="4" w:themeColor="accent1" w:themeTint="99" w:val="single"/>
        <w:insideV w:color="F6BE72" w:space="0" w:sz="4" w:themeColor="accent1" w:themeTint="99" w:val="single"/>
      </w:tblBorders>
    </w:tblPr>
    <w:tblStylePr w:type="firstRow">
      <w:rPr>
        <w:b/>
        <w:bCs/>
        <w:color w:themeColor="background1" w:val="FFFFFF"/>
      </w:rPr>
      <w:tblPr/>
      <w:tcPr>
        <w:tcBorders>
          <w:top w:color="F09415" w:space="0" w:sz="4" w:themeColor="accent1" w:val="single"/>
          <w:left w:color="F09415" w:space="0" w:sz="4" w:themeColor="accent1" w:val="single"/>
          <w:bottom w:color="F09415" w:space="0" w:sz="4" w:themeColor="accent1" w:val="single"/>
          <w:right w:color="F09415" w:space="0" w:sz="4" w:themeColor="accent1" w:val="single"/>
          <w:insideH w:val="nil"/>
          <w:insideV w:val="nil"/>
        </w:tcBorders>
        <w:shd w:color="auto" w:fill="F09415" w:themeFill="accent1" w:val="clear"/>
      </w:tcPr>
    </w:tblStylePr>
    <w:tblStylePr w:type="lastRow">
      <w:rPr>
        <w:b/>
        <w:bCs/>
      </w:rPr>
      <w:tblPr/>
      <w:tcPr>
        <w:tcBorders>
          <w:top w:color="F09415" w:space="0" w:sz="4" w:themeColor="accent1" w:val="double"/>
        </w:tcBorders>
      </w:tcPr>
    </w:tblStylePr>
    <w:tblStylePr w:type="firstCol">
      <w:rPr>
        <w:b/>
        <w:bCs/>
      </w:rPr>
    </w:tblStylePr>
    <w:tblStylePr w:type="lastCol">
      <w:rPr>
        <w:b/>
        <w:bCs/>
      </w:rPr>
    </w:tblStylePr>
    <w:tblStylePr w:type="band1Vert">
      <w:tblPr/>
      <w:tcPr>
        <w:shd w:color="auto" w:fill="FCE9D0" w:themeFill="accent1" w:themeFillTint="33" w:val="clear"/>
      </w:tcPr>
    </w:tblStylePr>
    <w:tblStylePr w:type="band1Horz">
      <w:tblPr/>
      <w:tcPr>
        <w:shd w:color="auto" w:fill="FCE9D0" w:themeFill="accent1" w:themeFillTint="33" w:val="clear"/>
      </w:tcPr>
    </w:tblStylePr>
  </w:style>
  <w:style w:styleId="Tablamoderna" w:type="table">
    <w:name w:val="Table Contemporary"/>
    <w:basedOn w:val="Tablanormal"/>
    <w:uiPriority w:val="99"/>
    <w:semiHidden/>
    <w:unhideWhenUsed/>
    <w:rsid w:val="00BE7E2E"/>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Descripcin" w:type="paragraph">
    <w:name w:val="caption"/>
    <w:basedOn w:val="Normal"/>
    <w:next w:val="Normal"/>
    <w:uiPriority w:val="35"/>
    <w:semiHidden/>
    <w:unhideWhenUsed/>
    <w:qFormat/>
    <w:rsid w:val="00BF664C"/>
    <w:pPr>
      <w:spacing w:line="240" w:lineRule="auto"/>
    </w:pPr>
    <w:rPr>
      <w:b/>
      <w:bCs/>
      <w:smallCaps/>
      <w:color w:themeColor="text2" w:val="9D360E"/>
    </w:rPr>
  </w:style>
  <w:style w:styleId="Fuerte" w:type="character">
    <w:name w:val="Strong"/>
    <w:basedOn w:val="Fuentedeprrafopredeter"/>
    <w:uiPriority w:val="22"/>
    <w:qFormat/>
    <w:rsid w:val="00BF664C"/>
    <w:rPr>
      <w:b/>
      <w:bCs/>
    </w:rPr>
  </w:style>
  <w:style w:styleId="nfasis" w:type="character">
    <w:name w:val="Emphasis"/>
    <w:basedOn w:val="Fuentedeprrafopredeter"/>
    <w:uiPriority w:val="20"/>
    <w:qFormat/>
    <w:rsid w:val="00BF664C"/>
    <w:rPr>
      <w:i/>
      <w:iCs/>
    </w:rPr>
  </w:style>
  <w:style w:styleId="Sinespaciado" w:type="paragraph">
    <w:name w:val="No Spacing"/>
    <w:uiPriority w:val="1"/>
    <w:qFormat/>
    <w:rsid w:val="00BF664C"/>
    <w:pPr>
      <w:spacing w:after="0" w:line="240" w:lineRule="auto"/>
    </w:pPr>
  </w:style>
  <w:style w:styleId="nfasissutil" w:type="character">
    <w:name w:val="Subtle Emphasis"/>
    <w:basedOn w:val="Fuentedeprrafopredeter"/>
    <w:uiPriority w:val="19"/>
    <w:qFormat/>
    <w:rsid w:val="00BF664C"/>
    <w:rPr>
      <w:i/>
      <w:iCs/>
      <w:color w:themeColor="text1" w:themeTint="A6" w:val="595959"/>
    </w:rPr>
  </w:style>
  <w:style w:styleId="Referenciasutil" w:type="character">
    <w:name w:val="Subtle Reference"/>
    <w:basedOn w:val="Fuentedeprrafopredeter"/>
    <w:uiPriority w:val="31"/>
    <w:qFormat/>
    <w:rsid w:val="00BF664C"/>
    <w:rPr>
      <w:smallCaps/>
      <w:color w:themeColor="text1" w:themeTint="A6" w:val="595959"/>
      <w:u w:color="7F7F7F" w:themeColor="text1" w:themeTint="80" w:val="none"/>
      <w:bdr w:color="auto" w:space="0" w:sz="0" w:val="none"/>
    </w:rPr>
  </w:style>
  <w:style w:styleId="Ttulodellibro" w:type="character">
    <w:name w:val="Book Title"/>
    <w:basedOn w:val="Fuentedeprrafopredeter"/>
    <w:uiPriority w:val="33"/>
    <w:qFormat/>
    <w:rsid w:val="00BF664C"/>
    <w:rPr>
      <w:b/>
      <w:bCs/>
      <w:smallCaps/>
      <w:spacing w:val="10"/>
    </w:rPr>
  </w:style>
  <w:style w:styleId="TtuloTDC" w:type="paragraph">
    <w:name w:val="TOC Heading"/>
    <w:basedOn w:val="Ttulo1"/>
    <w:next w:val="Normal"/>
    <w:uiPriority w:val="39"/>
    <w:semiHidden/>
    <w:unhideWhenUsed/>
    <w:qFormat/>
    <w:rsid w:val="00BF664C"/>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Berlín">
  <a:themeElements>
    <a:clrScheme name="Berlí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2026-07-10T16:24:53Z</dcterms:created>
  <dcterms:modified xsi:type="dcterms:W3CDTF">2026-07-10T16:24:53Z</dcterms:modified>
</cp:coreProperties>
</file>

<file path=docProps/custom.xml><?xml version="1.0" encoding="utf-8"?>
<Properties xmlns="http://schemas.openxmlformats.org/officeDocument/2006/custom-properties" xmlns:vt="http://schemas.openxmlformats.org/officeDocument/2006/docPropsVTypes"/>
</file>