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 w:val="0"/>
          <w:bCs w:val="0"/>
          <w:sz w:val="32"/>
          <w:szCs w:val="32"/>
        </w:rPr>
      </w:pPr>
      <w:r>
        <w:rPr>
          <w:rFonts w:hint="eastAsia"/>
          <w:b w:val="0"/>
          <w:bCs w:val="0"/>
          <w:sz w:val="32"/>
          <w:szCs w:val="32"/>
        </w:rPr>
        <w:t>阶段3-软件流程图</w:t>
      </w:r>
      <w:bookmarkStart w:id="0" w:name="_GoBack"/>
      <w:bookmarkEnd w:id="0"/>
    </w:p>
    <w:p/>
    <w:p/>
    <w:p>
      <w:r>
        <w:drawing>
          <wp:inline distT="0" distB="0" distL="114300" distR="114300">
            <wp:extent cx="5270500" cy="56826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C31C1"/>
    <w:rsid w:val="1D9B05D6"/>
    <w:rsid w:val="4DBF5164"/>
    <w:rsid w:val="58E5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黑体"/>
      <w:b/>
      <w:bCs/>
      <w:w w:val="100"/>
      <w:kern w:val="10"/>
      <w:sz w:val="24"/>
      <w:szCs w:val="8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