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377440" cy="3169920"/>
            <wp:docPr id="1" name="Picture 1"/>
            <wp:cNvGraphicFramePr>
              <a:graphicFrameLocks noChangeAspect="1"/>
            </wp:cNvGraphicFramePr>
            <a:graphic>
              <a:graphicData uri="http://schemas.openxmlformats.org/drawingml/2006/picture">
                <pic:pic>
                  <pic:nvPicPr>
                    <pic:cNvPr id="0" name="cover.jpg"/>
                    <pic:cNvPicPr/>
                  </pic:nvPicPr>
                  <pic:blipFill>
                    <a:blip r:embed="rId9"/>
                    <a:stretch>
                      <a:fillRect/>
                    </a:stretch>
                  </pic:blipFill>
                  <pic:spPr>
                    <a:xfrm>
                      <a:off x="0" y="0"/>
                      <a:ext cx="2377440" cy="3169920"/>
                    </a:xfrm>
                    <a:prstGeom prst="rect"/>
                  </pic:spPr>
                </pic:pic>
              </a:graphicData>
            </a:graphic>
          </wp:inline>
        </w:drawing>
      </w:r>
    </w:p>
    <w:p>
      <w:pPr>
        <w:spacing w:after="200"/>
        <w:jc w:val="center"/>
      </w:pPr>
      <w:r>
        <w:rPr>
          <w:i/>
          <w:color w:val="7C8B7F"/>
          <w:sz w:val="17"/>
        </w:rPr>
        <w:t>Main stage, AI Summit Seoul (AIS26)</w:t>
      </w:r>
    </w:p>
    <w:p>
      <w:r>
        <w:rPr>
          <w:rFonts w:ascii="Avenir Next" w:hAnsi="Avenir Next"/>
          <w:b/>
          <w:color w:val="08291A"/>
          <w:sz w:val="56"/>
        </w:rPr>
        <w:t>AI Summit Seoul 2026</w:t>
      </w:r>
    </w:p>
    <w:p>
      <w:pPr>
        <w:spacing w:after="280"/>
      </w:pPr>
      <w:r>
        <w:rPr>
          <w:color w:val="48584D"/>
          <w:sz w:val="28"/>
        </w:rPr>
        <w:t>Session Report — Talks, Panels, and Expo Highlights</w:t>
      </w:r>
    </w:p>
    <w:p>
      <w:pPr>
        <w:spacing w:after="120"/>
      </w:pPr>
      <w:r>
        <w:rPr>
          <w:rFonts w:ascii="Avenir Next" w:hAnsi="Avenir Next"/>
          <w:color w:val="7C8B7F"/>
          <w:sz w:val="19"/>
        </w:rPr>
        <w:t>Talks &amp; panels: Aug 19-20, 2026 (exhibit floor ran through Aug 21)   |   Venue: COEX Grand Ballroom &amp; Exhibition Hall B, Samseong-dong, Gangnam-gu, Seoul</w:t>
      </w:r>
    </w:p>
    <w:p>
      <w:pPr>
        <w:spacing w:after="120"/>
      </w:pPr>
      <w:r>
        <w:rPr>
          <w:rFonts w:ascii="Avenir Next" w:hAnsi="Avenir Next"/>
          <w:color w:val="7C8B7F"/>
          <w:sz w:val="19"/>
        </w:rPr>
        <w:t>Sessions logged: 21 talks/panels + 3 expo booths   |   Source: 231 photos, 8 live-caption sequences, 7 short clips</w:t>
      </w:r>
    </w:p>
    <w:p/>
    <w:p>
      <w:r>
        <w:rPr>
          <w:color w:val="7C8B7F"/>
          <w:sz w:val="19"/>
        </w:rPr>
        <w:t xml:space="preserve">Each session below is broken into three layers: </w:t>
      </w:r>
      <w:r>
        <w:rPr>
          <w:b/>
          <w:color w:val="0C5C3D"/>
          <w:sz w:val="19"/>
        </w:rPr>
        <w:t>Highlights</w:t>
      </w:r>
      <w:r>
        <w:rPr>
          <w:color w:val="7C8B7F"/>
          <w:sz w:val="19"/>
        </w:rPr>
        <w:t xml:space="preserve"> (what was actually said/shown), </w:t>
      </w:r>
      <w:r>
        <w:rPr>
          <w:b/>
          <w:color w:val="3B5B7A"/>
          <w:sz w:val="19"/>
        </w:rPr>
        <w:t>Insight</w:t>
      </w:r>
      <w:r>
        <w:rPr>
          <w:color w:val="7C8B7F"/>
          <w:sz w:val="19"/>
        </w:rPr>
        <w:t xml:space="preserve"> (what it actually means / why it matters), and </w:t>
      </w:r>
      <w:r>
        <w:rPr>
          <w:b/>
          <w:color w:val="0C5C3D"/>
          <w:sz w:val="19"/>
        </w:rPr>
        <w:t>Takeaway</w:t>
      </w:r>
      <w:r>
        <w:rPr>
          <w:color w:val="7C8B7F"/>
          <w:sz w:val="19"/>
        </w:rPr>
        <w:t xml:space="preserve"> (the one line worth remembering).</w:t>
      </w:r>
    </w:p>
    <w:p>
      <w:r>
        <w:br w:type="page"/>
      </w:r>
    </w:p>
    <w:p>
      <w:pPr>
        <w:pStyle w:val="Heading1"/>
      </w:pPr>
      <w:r>
        <w:rPr>
          <w:rFonts w:ascii="Avenir Next" w:hAnsi="Avenir Next"/>
          <w:color w:val="08291A"/>
          <w:sz w:val="36"/>
        </w:rPr>
        <w:t>10 Things I Took Away as an Attendee</w:t>
      </w:r>
    </w:p>
    <w:p/>
    <w:p>
      <w:pPr>
        <w:spacing w:after="40"/>
      </w:pPr>
      <w:r>
        <w:rPr>
          <w:b/>
          <w:color w:val="0C5C3D"/>
          <w:sz w:val="24"/>
        </w:rPr>
        <w:t xml:space="preserve">01.  </w:t>
      </w:r>
      <w:r>
        <w:rPr>
          <w:b/>
          <w:color w:val="08291A"/>
          <w:sz w:val="24"/>
        </w:rPr>
        <w:t>Data is the bottleneck, not the model.</w:t>
      </w:r>
    </w:p>
    <w:p>
      <w:pPr>
        <w:spacing w:after="240"/>
        <w:ind w:left="340"/>
      </w:pPr>
      <w:r>
        <w:rPr>
          <w:color w:val="48584D"/>
          <w:sz w:val="20"/>
        </w:rPr>
        <w:t>The unglamorous work — cleaning, structuring, connecting — is where AI actually lives or dies.</w:t>
      </w:r>
    </w:p>
    <w:p>
      <w:pPr>
        <w:spacing w:after="40"/>
      </w:pPr>
      <w:r>
        <w:rPr>
          <w:b/>
          <w:color w:val="0C5C3D"/>
          <w:sz w:val="24"/>
        </w:rPr>
        <w:t xml:space="preserve">02.  </w:t>
      </w:r>
      <w:r>
        <w:rPr>
          <w:b/>
          <w:color w:val="08291A"/>
          <w:sz w:val="24"/>
        </w:rPr>
        <w:t>PoC ≠ production.</w:t>
      </w:r>
    </w:p>
    <w:p>
      <w:pPr>
        <w:spacing w:after="240"/>
        <w:ind w:left="340"/>
      </w:pPr>
      <w:r>
        <w:rPr>
          <w:color w:val="48584D"/>
          <w:sz w:val="20"/>
        </w:rPr>
        <w:t>What works in testing often breaks at scale.</w:t>
      </w:r>
    </w:p>
    <w:p>
      <w:pPr>
        <w:spacing w:after="40"/>
      </w:pPr>
      <w:r>
        <w:rPr>
          <w:b/>
          <w:color w:val="0C5C3D"/>
          <w:sz w:val="24"/>
        </w:rPr>
        <w:t xml:space="preserve">03.  </w:t>
      </w:r>
      <w:r>
        <w:rPr>
          <w:b/>
          <w:color w:val="08291A"/>
          <w:sz w:val="24"/>
        </w:rPr>
        <w:t>Building is easy.</w:t>
      </w:r>
    </w:p>
    <w:p>
      <w:pPr>
        <w:spacing w:after="240"/>
        <w:ind w:left="340"/>
      </w:pPr>
      <w:r>
        <w:rPr>
          <w:color w:val="48584D"/>
          <w:sz w:val="20"/>
        </w:rPr>
        <w:t>Scaling is the real work.</w:t>
      </w:r>
    </w:p>
    <w:p>
      <w:pPr>
        <w:spacing w:after="40"/>
      </w:pPr>
      <w:r>
        <w:rPr>
          <w:b/>
          <w:color w:val="0C5C3D"/>
          <w:sz w:val="24"/>
        </w:rPr>
        <w:t xml:space="preserve">04.  </w:t>
      </w:r>
      <w:r>
        <w:rPr>
          <w:b/>
          <w:color w:val="08291A"/>
          <w:sz w:val="24"/>
        </w:rPr>
        <w:t>Tacit knowledge is the new gold.</w:t>
      </w:r>
    </w:p>
    <w:p>
      <w:pPr>
        <w:spacing w:after="240"/>
        <w:ind w:left="340"/>
      </w:pPr>
      <w:r>
        <w:rPr>
          <w:color w:val="48584D"/>
          <w:sz w:val="20"/>
        </w:rPr>
        <w:t>Capture the judgment calls before you can automate them.</w:t>
      </w:r>
    </w:p>
    <w:p>
      <w:pPr>
        <w:spacing w:after="240"/>
      </w:pPr>
      <w:r>
        <w:rPr>
          <w:b/>
          <w:color w:val="0C5C3D"/>
          <w:sz w:val="24"/>
        </w:rPr>
        <w:t xml:space="preserve">05.  </w:t>
      </w:r>
      <w:r>
        <w:rPr>
          <w:b/>
          <w:color w:val="08291A"/>
          <w:sz w:val="24"/>
        </w:rPr>
        <w:t>Redesign process with the tech, not after it.</w:t>
      </w:r>
    </w:p>
    <w:p>
      <w:pPr>
        <w:spacing w:after="40"/>
      </w:pPr>
      <w:r>
        <w:rPr>
          <w:b/>
          <w:color w:val="0C5C3D"/>
          <w:sz w:val="24"/>
        </w:rPr>
        <w:t xml:space="preserve">06.  </w:t>
      </w:r>
      <w:r>
        <w:rPr>
          <w:b/>
          <w:color w:val="08291A"/>
          <w:sz w:val="24"/>
        </w:rPr>
        <w:t>Adoption isn't a tech problem — it's a courage problem.</w:t>
      </w:r>
    </w:p>
    <w:p>
      <w:pPr>
        <w:spacing w:after="240"/>
        <w:ind w:left="340"/>
      </w:pPr>
      <w:r>
        <w:rPr>
          <w:color w:val="48584D"/>
          <w:sz w:val="20"/>
        </w:rPr>
        <w:t>Someone has to press the button.</w:t>
      </w:r>
    </w:p>
    <w:p>
      <w:pPr>
        <w:spacing w:after="240"/>
      </w:pPr>
      <w:r>
        <w:rPr>
          <w:b/>
          <w:color w:val="0C5C3D"/>
          <w:sz w:val="24"/>
        </w:rPr>
        <w:t xml:space="preserve">07.  </w:t>
      </w:r>
      <w:r>
        <w:rPr>
          <w:b/>
          <w:color w:val="08291A"/>
          <w:sz w:val="24"/>
        </w:rPr>
        <w:t>Silos slow AI more than compute ever will.</w:t>
      </w:r>
    </w:p>
    <w:p>
      <w:pPr>
        <w:spacing w:after="40"/>
      </w:pPr>
      <w:r>
        <w:rPr>
          <w:b/>
          <w:color w:val="0C5C3D"/>
          <w:sz w:val="24"/>
        </w:rPr>
        <w:t xml:space="preserve">08.  </w:t>
      </w:r>
      <w:r>
        <w:rPr>
          <w:b/>
          <w:color w:val="08291A"/>
          <w:sz w:val="24"/>
        </w:rPr>
        <w:t>AI agents are becoming coworkers.</w:t>
      </w:r>
    </w:p>
    <w:p>
      <w:pPr>
        <w:spacing w:after="240"/>
        <w:ind w:left="340"/>
      </w:pPr>
      <w:r>
        <w:rPr>
          <w:color w:val="48584D"/>
          <w:sz w:val="20"/>
        </w:rPr>
        <w:t>Start managing them like it.</w:t>
      </w:r>
    </w:p>
    <w:p>
      <w:pPr>
        <w:spacing w:after="40"/>
      </w:pPr>
      <w:r>
        <w:rPr>
          <w:b/>
          <w:color w:val="0C5C3D"/>
          <w:sz w:val="24"/>
        </w:rPr>
        <w:t xml:space="preserve">09.  </w:t>
      </w:r>
      <w:r>
        <w:rPr>
          <w:b/>
          <w:color w:val="08291A"/>
          <w:sz w:val="24"/>
        </w:rPr>
        <w:t>Invest in the connectors, not just the AI.</w:t>
      </w:r>
    </w:p>
    <w:p>
      <w:pPr>
        <w:spacing w:after="240"/>
        <w:ind w:left="340"/>
      </w:pPr>
      <w:r>
        <w:rPr>
          <w:color w:val="48584D"/>
          <w:sz w:val="20"/>
        </w:rPr>
        <w:t>People + process are the missing link.</w:t>
      </w:r>
    </w:p>
    <w:p>
      <w:pPr>
        <w:spacing w:after="40"/>
      </w:pPr>
      <w:r>
        <w:rPr>
          <w:b/>
          <w:color w:val="0C5C3D"/>
          <w:sz w:val="24"/>
        </w:rPr>
        <w:t xml:space="preserve">10.  </w:t>
      </w:r>
      <w:r>
        <w:rPr>
          <w:b/>
          <w:color w:val="08291A"/>
          <w:sz w:val="24"/>
        </w:rPr>
        <w:t>In every gold rush, the infrastructure wins.</w:t>
      </w:r>
    </w:p>
    <w:p>
      <w:pPr>
        <w:spacing w:after="240"/>
        <w:ind w:left="340"/>
      </w:pPr>
      <w:r>
        <w:rPr>
          <w:color w:val="48584D"/>
          <w:sz w:val="20"/>
        </w:rPr>
        <w:t>Bet on the picks and shovels.</w:t>
      </w:r>
    </w:p>
    <w:p/>
    <w:p>
      <w:pPr>
        <w:pStyle w:val="Heading2"/>
      </w:pPr>
      <w:r>
        <w:rPr>
          <w:rFonts w:ascii="Avenir Next" w:hAnsi="Avenir Next"/>
          <w:color w:val="0C5C3D"/>
          <w:sz w:val="28"/>
        </w:rPr>
        <w:t>Why This One Mattered to Me</w:t>
      </w:r>
    </w:p>
    <w:p>
      <w:pPr>
        <w:shd w:val="clear" w:color="auto" w:fill="F1E8D4"/>
        <w:spacing w:before="120" w:after="80"/>
        <w:ind w:left="113"/>
      </w:pPr>
      <w:r>
        <w:rPr>
          <w:color w:val="132018"/>
          <w:sz w:val="21"/>
        </w:rPr>
        <w:t>I went into this summit wearing two hats: Program Lead for the Digital Transformation Office, and currently seconded as IT Director at De La Salle Lipa (DLSL). That combination is exactly why I took these notes as seriously as I did -- almost every session below landed twice for me, once as "here's what we should be doing differently," and again as "here's what I'm already dealing with on the ground, right now, at DLSL." The Woori/LG panel's point about nobody wanting to press the button, the manufacturing panel's point about writing down tacit knowledge before automating it -- those aren't theory to me, they're this month's actual work.</w:t>
      </w:r>
    </w:p>
    <w:p>
      <w:pPr>
        <w:shd w:val="clear" w:color="auto" w:fill="F1E8D4"/>
        <w:spacing w:after="200"/>
        <w:ind w:left="113"/>
      </w:pPr>
      <w:r>
        <w:rPr>
          <w:color w:val="132018"/>
          <w:sz w:val="21"/>
        </w:rPr>
        <w:t>What follows isn't a polished executive summary written after the fact. It's closer to my own working notes from the two days -- the ten takeaways up top are genuinely what I walked away believing, and I've tried to keep that same plain, first-hand voice through every session. A quick honest note on the notes themselves: this was pieced together from live-translation screenshots and photos, not an official transcript, so treat exact numbers and quotes as what the speaker said rather than something I independently verified -- a few names have uncertain spelling too, marked "name unconfirmed." And the summit itself ran Aug 19-21; my coverage below is mostly the two days of talks and panels, plus what I caught on the expo floor.</w:t>
      </w:r>
    </w:p>
    <w:p>
      <w:r>
        <w:br w:type="page"/>
      </w:r>
    </w:p>
    <w:p>
      <w:pPr>
        <w:pStyle w:val="Heading1"/>
      </w:pPr>
      <w:r>
        <w:rPr>
          <w:rFonts w:ascii="Avenir Next" w:hAnsi="Avenir Next"/>
          <w:color w:val="08291A"/>
          <w:sz w:val="36"/>
        </w:rPr>
        <w:t>Six Terms Worth Knowing</w:t>
      </w:r>
    </w:p>
    <w:p>
      <w:pPr>
        <w:spacing w:after="160"/>
      </w:pPr>
      <w:r>
        <w:rPr>
          <w:b/>
          <w:color w:val="0C5C3D"/>
          <w:sz w:val="21"/>
        </w:rPr>
        <w:t xml:space="preserve">Agentic AI — </w:t>
      </w:r>
      <w:r>
        <w:rPr>
          <w:sz w:val="21"/>
        </w:rPr>
        <w:t>AI that doesn't just answer a question, but takes multi-step actions on its own toward a goal.</w:t>
      </w:r>
    </w:p>
    <w:p>
      <w:pPr>
        <w:spacing w:after="160"/>
      </w:pPr>
      <w:r>
        <w:rPr>
          <w:b/>
          <w:color w:val="0C5C3D"/>
          <w:sz w:val="21"/>
        </w:rPr>
        <w:t xml:space="preserve">AX — </w:t>
      </w:r>
      <w:r>
        <w:rPr>
          <w:sz w:val="21"/>
        </w:rPr>
        <w:t>Shorthand used throughout the summit for "AI Transformation" — enterprise-wide AI adoption, not just one tool.</w:t>
      </w:r>
    </w:p>
    <w:p>
      <w:pPr>
        <w:spacing w:after="160"/>
      </w:pPr>
      <w:r>
        <w:rPr>
          <w:b/>
          <w:color w:val="0C5C3D"/>
          <w:sz w:val="21"/>
        </w:rPr>
        <w:t xml:space="preserve">Harness Engineering — </w:t>
      </w:r>
      <w:r>
        <w:rPr>
          <w:sz w:val="21"/>
        </w:rPr>
        <w:t>The tooling and guardrails built around an AI model so it can run unsupervised in production.</w:t>
      </w:r>
    </w:p>
    <w:p>
      <w:pPr>
        <w:spacing w:after="160"/>
      </w:pPr>
      <w:r>
        <w:rPr>
          <w:b/>
          <w:color w:val="0C5C3D"/>
          <w:sz w:val="21"/>
        </w:rPr>
        <w:t xml:space="preserve">Sim-to-Real gap — </w:t>
      </w:r>
      <w:r>
        <w:rPr>
          <w:sz w:val="21"/>
        </w:rPr>
        <w:t>When something that works in a simulator/lab fails once it meets real-world mess (lighting, heat, unpredictable people).</w:t>
      </w:r>
    </w:p>
    <w:p>
      <w:pPr>
        <w:spacing w:after="160"/>
      </w:pPr>
      <w:r>
        <w:rPr>
          <w:b/>
          <w:color w:val="0C5C3D"/>
          <w:sz w:val="21"/>
        </w:rPr>
        <w:t xml:space="preserve">World model — </w:t>
      </w:r>
      <w:r>
        <w:rPr>
          <w:sz w:val="21"/>
        </w:rPr>
        <w:t>An AI's internal understanding of how physical things behave — the piece robots need that chatbots don't.</w:t>
      </w:r>
    </w:p>
    <w:p>
      <w:pPr>
        <w:spacing w:after="160"/>
      </w:pPr>
      <w:r>
        <w:rPr>
          <w:b/>
          <w:color w:val="0C5C3D"/>
          <w:sz w:val="21"/>
        </w:rPr>
        <w:t xml:space="preserve">FDE (Forward-Deployed Engineer) — </w:t>
      </w:r>
      <w:r>
        <w:rPr>
          <w:sz w:val="21"/>
        </w:rPr>
        <w:t>A vendor's own engineer embedded inside a customer's rollout, rather than just selling a license.</w:t>
      </w:r>
    </w:p>
    <w:p>
      <w:r>
        <w:br w:type="page"/>
      </w:r>
    </w:p>
    <w:p>
      <w:pPr>
        <w:pStyle w:val="Heading1"/>
      </w:pPr>
      <w:r>
        <w:rPr>
          <w:rFonts w:ascii="Avenir Next" w:hAnsi="Avenir Next"/>
          <w:color w:val="08291A"/>
          <w:sz w:val="36"/>
        </w:rPr>
        <w:t>Day 1 — Foundations &amp; the Enterprise Reality Check</w:t>
      </w:r>
    </w:p>
    <w:p>
      <w:r>
        <w:rPr>
          <w:i/>
          <w:color w:val="48584D"/>
          <w:sz w:val="20"/>
        </w:rPr>
        <w:t>The first day moved from where agentic AI came from, to how far it actually reaches into production today — with two recurring warnings: most AI pilots never scale past a demo, and "Physical AI" is arriving faster than the safety testing built for it.</w:t>
      </w:r>
    </w:p>
    <w:p/>
    <w:p>
      <w:r>
        <w:rPr>
          <w:rFonts w:ascii="Avenir Next" w:hAnsi="Avenir Next"/>
          <w:b/>
          <w:color w:val="132018"/>
          <w:sz w:val="25"/>
        </w:rPr>
        <w:t>The Long Road to Agentic AI: A Pioneer's Perspective</w:t>
      </w:r>
    </w:p>
    <w:p>
      <w:pPr>
        <w:spacing w:after="40"/>
      </w:pPr>
      <w:r>
        <w:rPr>
          <w:i/>
          <w:color w:val="7C8B7F"/>
          <w:sz w:val="19"/>
        </w:rPr>
        <w:t>선구자의 관점에서 본 AI 어시스턴트에서 에이전틱 AI의 시대</w:t>
      </w:r>
    </w:p>
    <w:p>
      <w:pPr>
        <w:spacing w:after="80"/>
      </w:pPr>
      <w:r>
        <w:rPr>
          <w:i/>
          <w:color w:val="08291A"/>
          <w:sz w:val="19"/>
        </w:rPr>
        <w:t>Larry Heck -- Professor, Georgia Institute of Technology  |  Career: SRI -&gt; Nuance -&gt; Yahoo -&gt; Cortana -&gt; Google Assistant -&gt; Samsung Bixby/Viv -&gt; Georgia Tech</w:t>
      </w:r>
    </w:p>
    <w:p>
      <w:pPr>
        <w:spacing w:before="160" w:after="60"/>
      </w:pPr>
      <w:r>
        <w:rPr>
          <w:b/>
          <w:color w:val="0C5C3D"/>
          <w:sz w:val="18"/>
        </w:rPr>
        <w:t>HIGHLIGHTS</w:t>
      </w:r>
    </w:p>
    <w:p>
      <w:pPr>
        <w:pStyle w:val="ListBullet"/>
        <w:spacing w:after="120"/>
      </w:pPr>
      <w:r>
        <w:rPr>
          <w:color w:val="132018"/>
          <w:sz w:val="21"/>
        </w:rPr>
        <w:t>Traced "agentic AI" back to SRI's 1995 Office Assistant — a system that routed speech, email, and calendar requests to specialist agents, the direct ancestor of Siri.</w:t>
      </w:r>
    </w:p>
    <w:p>
      <w:pPr>
        <w:pStyle w:val="ListBullet"/>
        <w:spacing w:after="120"/>
      </w:pPr>
      <w:r>
        <w:rPr>
          <w:color w:val="132018"/>
          <w:sz w:val="21"/>
        </w:rPr>
        <w:t>Argued 2010s-era assistants (Cortana, Google Assistant, Bixby) were deliberately limited, but controllable and fixable when something went wrong.</w:t>
      </w:r>
    </w:p>
    <w:p>
      <w:pPr>
        <w:pStyle w:val="ListBullet"/>
        <w:spacing w:after="120"/>
      </w:pPr>
      <w:r>
        <w:rPr>
          <w:color w:val="132018"/>
          <w:sz w:val="21"/>
        </w:rPr>
        <w:t>Called 2022's ChatGPT moment "the wrong turn": fluent, but the older, more controllable structure was thrown out along with the friction.</w:t>
      </w:r>
    </w:p>
    <w:p>
      <w:pPr>
        <w:pStyle w:val="ListBullet"/>
        <w:spacing w:after="120"/>
      </w:pPr>
      <w:r>
        <w:rPr>
          <w:color w:val="132018"/>
          <w:sz w:val="21"/>
        </w:rPr>
        <w:t>Cited 2026 research: today's agents guess when a task is unclear (89% success with a clear task vs. 6.7% with a vague one) and get stuck repeating their own wrong assumptions in longer conversations.</w:t>
      </w:r>
    </w:p>
    <w:p>
      <w:pPr>
        <w:pStyle w:val="ListBullet"/>
        <w:spacing w:after="120"/>
      </w:pPr>
      <w:r>
        <w:rPr>
          <w:color w:val="132018"/>
          <w:sz w:val="21"/>
        </w:rPr>
        <w:t>Proposed a fix: a much smaller "sidecar" system that checks the model's actual reasoning, plus better real-time back-and-forth — "a meeting of the minds," not more autonomy.</w:t>
      </w:r>
    </w:p>
    <w:p>
      <w:pPr>
        <w:jc w:val="center"/>
      </w:pPr>
      <w:r>
        <w:drawing>
          <wp:inline xmlns:a="http://schemas.openxmlformats.org/drawingml/2006/main" xmlns:pic="http://schemas.openxmlformats.org/drawingml/2006/picture">
            <wp:extent cx="3657600" cy="4876800"/>
            <wp:docPr id="2" name="Picture 2"/>
            <wp:cNvGraphicFramePr>
              <a:graphicFrameLocks noChangeAspect="1"/>
            </wp:cNvGraphicFramePr>
            <a:graphic>
              <a:graphicData uri="http://schemas.openxmlformats.org/drawingml/2006/picture">
                <pic:pic>
                  <pic:nvPicPr>
                    <pic:cNvPr id="0" name="pioneer.jpg"/>
                    <pic:cNvPicPr/>
                  </pic:nvPicPr>
                  <pic:blipFill>
                    <a:blip r:embed="rId10"/>
                    <a:stretch>
                      <a:fillRect/>
                    </a:stretch>
                  </pic:blipFill>
                  <pic:spPr>
                    <a:xfrm>
                      <a:off x="0" y="0"/>
                      <a:ext cx="3657600" cy="4876800"/>
                    </a:xfrm>
                    <a:prstGeom prst="rect"/>
                  </pic:spPr>
                </pic:pic>
              </a:graphicData>
            </a:graphic>
          </wp:inline>
        </w:drawing>
      </w:r>
    </w:p>
    <w:p>
      <w:pPr>
        <w:spacing w:after="200"/>
        <w:jc w:val="center"/>
      </w:pPr>
      <w:r>
        <w:rPr>
          <w:i/>
          <w:color w:val="7C8B7F"/>
          <w:sz w:val="17"/>
        </w:rPr>
        <w:t>SRI's 1995 "Office Assistant" — presented as the direct ancestor of today's AI agents.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Sitting through this, what stuck with me is that the old assistants could actually explain themselves and get fixed when they got something wrong. Today's AI just sounds confident, even when it is guessing. For any chatbot or advising tool we look at, that is the real question to ask a vendor: what does it do when it is not sure? A smooth demo will not show you that; you have to ask directly.</w:t>
      </w:r>
    </w:p>
    <w:p>
      <w:pPr>
        <w:spacing w:before="160" w:after="60"/>
      </w:pPr>
      <w:r>
        <w:rPr>
          <w:b/>
          <w:color w:val="0C5C3D"/>
          <w:sz w:val="18"/>
        </w:rPr>
        <w:t>TAKEAWAY</w:t>
      </w:r>
    </w:p>
    <w:p>
      <w:pPr>
        <w:shd w:val="clear" w:color="auto" w:fill="E6EFE4"/>
        <w:spacing w:before="40" w:after="200"/>
        <w:ind w:left="113"/>
      </w:pPr>
      <w:r>
        <w:rPr>
          <w:b/>
          <w:color w:val="08291A"/>
          <w:sz w:val="21"/>
        </w:rPr>
        <w:t>Sounding smart is not the same as being reliable. Before we put any AI assistant in front of students for advising or admissions, we should make the vendor show us what happens when a student asks something confusing or off-topic, not just watch a polished demo.</w:t>
      </w:r>
    </w:p>
    <w:p>
      <w:pPr>
        <w:spacing w:after="40"/>
      </w:pPr>
    </w:p>
    <w:p>
      <w:pPr>
        <w:pBdr>
          <w:bottom w:val="single" w:sz="6" w:space="1" w:color="DFE3DC"/>
        </w:pBdr>
      </w:pPr>
    </w:p>
    <w:p/>
    <w:p>
      <w:r>
        <w:rPr>
          <w:rFonts w:ascii="Avenir Next" w:hAnsi="Avenir Next"/>
          <w:b/>
          <w:color w:val="132018"/>
          <w:sz w:val="25"/>
        </w:rPr>
        <w:t>Agentic AI in Space: Traditional and Agentic AI Are Revolutionizing Space</w:t>
      </w:r>
    </w:p>
    <w:p>
      <w:pPr>
        <w:spacing w:after="40"/>
      </w:pPr>
      <w:r>
        <w:rPr>
          <w:i/>
          <w:color w:val="7C8B7F"/>
          <w:sz w:val="19"/>
        </w:rPr>
        <w:t>지구 밖의 자율 AI: 60개 위성이 스스로 생각하고 협력하는 법</w:t>
      </w:r>
    </w:p>
    <w:p>
      <w:pPr>
        <w:spacing w:after="80"/>
      </w:pPr>
      <w:r>
        <w:rPr>
          <w:i/>
          <w:color w:val="08291A"/>
          <w:sz w:val="19"/>
        </w:rPr>
        <w:t>Steve Chien -- JPL Fellow &amp; Senior Research Scientist, NASA Jet Propulsion Laboratory</w:t>
      </w:r>
    </w:p>
    <w:p>
      <w:pPr>
        <w:spacing w:before="160" w:after="60"/>
      </w:pPr>
      <w:r>
        <w:rPr>
          <w:b/>
          <w:color w:val="0C5C3D"/>
          <w:sz w:val="18"/>
        </w:rPr>
        <w:t>HIGHLIGHTS</w:t>
      </w:r>
    </w:p>
    <w:p>
      <w:pPr>
        <w:pStyle w:val="ListBullet"/>
        <w:spacing w:after="120"/>
      </w:pPr>
      <w:r>
        <w:rPr>
          <w:color w:val="132018"/>
          <w:sz w:val="21"/>
        </w:rPr>
        <w:t>Demoed a workflow that detects an event, automatically picks the right satellites to look at it, and tracks it — shown live with a simulated Mount Pinatubo eruption.</w:t>
      </w:r>
    </w:p>
    <w:p>
      <w:pPr>
        <w:pStyle w:val="ListBullet"/>
        <w:spacing w:after="120"/>
      </w:pPr>
      <w:r>
        <w:rPr>
          <w:color w:val="132018"/>
          <w:sz w:val="21"/>
        </w:rPr>
        <w:t>Framed the goal as "humans on the loop, not in the loop" — people set intent and check results; the system does the coordination.</w:t>
      </w:r>
    </w:p>
    <w:p>
      <w:pPr>
        <w:pStyle w:val="ListBullet"/>
        <w:spacing w:after="120"/>
      </w:pPr>
      <w:r>
        <w:rPr>
          <w:color w:val="132018"/>
          <w:sz w:val="21"/>
        </w:rPr>
        <w:t>Closed on AI that builds its own step-by-step plan from a goal, instead of engineers hand-building a plan for every new situation.</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works because if the system points a satellite the wrong way, you just point it again, no harm done. A school does not get that luxury: a misrouted student inquiry, or a wrongly flagged academic-integrity case, is not something you just try again. So "let AI coordinate, humans just check" only really works for the low-stakes stuff.</w:t>
      </w:r>
    </w:p>
    <w:p>
      <w:pPr>
        <w:spacing w:before="160" w:after="60"/>
      </w:pPr>
      <w:r>
        <w:rPr>
          <w:b/>
          <w:color w:val="0C5C3D"/>
          <w:sz w:val="18"/>
        </w:rPr>
        <w:t>TAKEAWAY</w:t>
      </w:r>
    </w:p>
    <w:p>
      <w:pPr>
        <w:shd w:val="clear" w:color="auto" w:fill="E6EFE4"/>
        <w:spacing w:before="40" w:after="200"/>
        <w:ind w:left="113"/>
      </w:pPr>
      <w:r>
        <w:rPr>
          <w:b/>
          <w:color w:val="08291A"/>
          <w:sz w:val="21"/>
        </w:rPr>
        <w:t>This "set the goal, let it coordinate, check the result" pattern is worth borrowing, but only for tasks where a mistake is cheap to catch and fix, like syncing schedules between offices. Anything touching a student's record should stay more hands-on.</w:t>
      </w:r>
    </w:p>
    <w:p>
      <w:pPr>
        <w:spacing w:after="40"/>
      </w:pPr>
    </w:p>
    <w:p>
      <w:pPr>
        <w:pBdr>
          <w:bottom w:val="single" w:sz="6" w:space="1" w:color="DFE3DC"/>
        </w:pBdr>
      </w:pPr>
    </w:p>
    <w:p/>
    <w:p>
      <w:r>
        <w:rPr>
          <w:rFonts w:ascii="Avenir Next" w:hAnsi="Avenir Next"/>
          <w:b/>
          <w:color w:val="132018"/>
          <w:sz w:val="25"/>
        </w:rPr>
        <w:t>Is AI Actually Helping Enterprise Productivity?</w:t>
      </w:r>
    </w:p>
    <w:p>
      <w:pPr>
        <w:spacing w:after="40"/>
      </w:pPr>
      <w:r>
        <w:rPr>
          <w:i/>
          <w:color w:val="7C8B7F"/>
          <w:sz w:val="19"/>
        </w:rPr>
        <w:t>LLM &amp; Productivity</w:t>
      </w:r>
    </w:p>
    <w:p>
      <w:pPr>
        <w:spacing w:after="80"/>
      </w:pPr>
      <w:r>
        <w:rPr>
          <w:i/>
          <w:color w:val="08291A"/>
          <w:sz w:val="19"/>
        </w:rPr>
        <w:t>Prof. Jun-gi Lee, Yonsei University  |  Young-ok Kim, CAIO, HD Hyundai  |  Jong-hwan Kim, Executive Director, Lotte Shopping  |  Kyung-jong Lee, Executive Director, KB Kookmin Bank</w:t>
      </w:r>
    </w:p>
    <w:p>
      <w:pPr>
        <w:spacing w:before="160" w:after="60"/>
      </w:pPr>
      <w:r>
        <w:rPr>
          <w:b/>
          <w:color w:val="0C5C3D"/>
          <w:sz w:val="18"/>
        </w:rPr>
        <w:t>HIGHLIGHTS</w:t>
      </w:r>
    </w:p>
    <w:p>
      <w:pPr>
        <w:pStyle w:val="ListBullet"/>
        <w:spacing w:after="120"/>
      </w:pPr>
      <w:r>
        <w:rPr>
          <w:color w:val="132018"/>
          <w:sz w:val="21"/>
        </w:rPr>
        <w:t>Of executives running multiple AI projects, only 6% said the projects moved profit by more than 2% — 94% saw no measurable financial impact.</w:t>
      </w:r>
    </w:p>
    <w:p>
      <w:pPr>
        <w:pStyle w:val="ListBullet"/>
        <w:spacing w:after="120"/>
      </w:pPr>
      <w:r>
        <w:rPr>
          <w:color w:val="132018"/>
          <w:sz w:val="21"/>
        </w:rPr>
        <w:t>A Bank of Korea survey found 60-70% of Korean companies say they're adopting AI, but fewer than 10% report actual results.</w:t>
      </w:r>
    </w:p>
    <w:p>
      <w:pPr>
        <w:pStyle w:val="ListBullet"/>
        <w:spacing w:after="120"/>
      </w:pPr>
      <w:r>
        <w:rPr>
          <w:color w:val="132018"/>
          <w:sz w:val="21"/>
        </w:rPr>
        <w:t>Gartner data: over half of enterprise AI projects get cancelled at the pilot stage, before ever reaching real use.</w:t>
      </w:r>
    </w:p>
    <w:p>
      <w:pPr>
        <w:pStyle w:val="ListBullet"/>
        <w:spacing w:after="120"/>
      </w:pPr>
      <w:r>
        <w:rPr>
          <w:color w:val="132018"/>
          <w:sz w:val="21"/>
        </w:rPr>
        <w:t>KB Financial Group described its own path: its AI-agent platform started development in 2024, launched in April 2025, and is now scaling up.</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Three separate studies, same story: most companies using AI cannot actually show it did anything for their numbers. That is my takeaway #2 in a nutshell: a working pilot and a working product are two different things. We should expect the same slow, unclear payoff from our own chatbot and advising pilots, and just say that plainly to the Board instead of overpromising.</w:t>
      </w:r>
    </w:p>
    <w:p>
      <w:pPr>
        <w:spacing w:before="160" w:after="60"/>
      </w:pPr>
      <w:r>
        <w:rPr>
          <w:b/>
          <w:color w:val="0C5C3D"/>
          <w:sz w:val="18"/>
        </w:rPr>
        <w:t>TAKEAWAY</w:t>
      </w:r>
    </w:p>
    <w:p>
      <w:pPr>
        <w:shd w:val="clear" w:color="auto" w:fill="E6EFE4"/>
        <w:spacing w:before="40" w:after="200"/>
        <w:ind w:left="113"/>
      </w:pPr>
      <w:r>
        <w:rPr>
          <w:b/>
          <w:color w:val="08291A"/>
          <w:sz w:val="21"/>
        </w:rPr>
        <w:t>Using AI and AI actually helping are two different claims. Every pilot we run should track one specific thing (hours saved, faster replies, more students staying enrolled) before we call it a win or spend more on it. Ties to takeaway #2: PoC does not equal production.</w:t>
      </w:r>
    </w:p>
    <w:p>
      <w:pPr>
        <w:spacing w:after="40"/>
      </w:pPr>
    </w:p>
    <w:p>
      <w:pPr>
        <w:pBdr>
          <w:bottom w:val="single" w:sz="6" w:space="1" w:color="DFE3DC"/>
        </w:pBdr>
      </w:pPr>
    </w:p>
    <w:p/>
    <w:p>
      <w:r>
        <w:rPr>
          <w:rFonts w:ascii="Avenir Next" w:hAnsi="Avenir Next"/>
          <w:b/>
          <w:color w:val="132018"/>
          <w:sz w:val="25"/>
        </w:rPr>
        <w:t>2026 Enterprise Agentic AX Technology Trends: Harness &amp; Loop Engineering</w:t>
      </w:r>
    </w:p>
    <w:p>
      <w:pPr>
        <w:spacing w:after="40"/>
      </w:pPr>
      <w:r>
        <w:rPr>
          <w:i/>
          <w:color w:val="7C8B7F"/>
          <w:sz w:val="19"/>
        </w:rPr>
        <w:t>2026 Enterprise Agentic AX 기술 트렌드 및 Harness &amp; Loop 엔지니어링 적용 사례 소개</w:t>
      </w:r>
    </w:p>
    <w:p>
      <w:pPr>
        <w:spacing w:after="80"/>
      </w:pPr>
      <w:r>
        <w:rPr>
          <w:i/>
          <w:color w:val="08291A"/>
          <w:sz w:val="19"/>
        </w:rPr>
        <w:t>Hun-dong Kim -- Architect Manager, Microsoft</w:t>
      </w:r>
    </w:p>
    <w:p>
      <w:pPr>
        <w:spacing w:before="160" w:after="60"/>
      </w:pPr>
      <w:r>
        <w:rPr>
          <w:b/>
          <w:color w:val="0C5C3D"/>
          <w:sz w:val="18"/>
        </w:rPr>
        <w:t>HIGHLIGHTS</w:t>
      </w:r>
    </w:p>
    <w:p>
      <w:pPr>
        <w:pStyle w:val="ListBullet"/>
        <w:spacing w:after="120"/>
      </w:pPr>
      <w:r>
        <w:rPr>
          <w:color w:val="132018"/>
          <w:sz w:val="21"/>
        </w:rPr>
        <w:t>Described a maturity ladder — casual chatbot use, then simple developer tools, then multi-tool platforms, then fully governed enterprise setups — the faster end of that ladder is also the hardest to control.</w:t>
      </w:r>
    </w:p>
    <w:p>
      <w:pPr>
        <w:pStyle w:val="ListBullet"/>
        <w:spacing w:after="120"/>
      </w:pPr>
      <w:r>
        <w:rPr>
          <w:color w:val="132018"/>
          <w:sz w:val="21"/>
        </w:rPr>
        <w:t>Explained "Loop Engineering": design a small loop — set a goal, let the agent try, have it check its own work, fix on failure, stop on success — with a human checking the bigger picture, not every step.</w:t>
      </w:r>
    </w:p>
    <w:p>
      <w:pPr>
        <w:pStyle w:val="ListBullet"/>
        <w:spacing w:after="120"/>
      </w:pPr>
      <w:r>
        <w:rPr>
          <w:color w:val="132018"/>
          <w:sz w:val="21"/>
        </w:rPr>
        <w:t>Covered tools that give AI agents working "memory" across conversations, which most systems still lack by default.</w:t>
      </w:r>
    </w:p>
    <w:p>
      <w:pPr>
        <w:pStyle w:val="ListBullet"/>
        <w:spacing w:after="120"/>
      </w:pPr>
      <w:r>
        <w:rPr>
          <w:color w:val="132018"/>
          <w:sz w:val="21"/>
        </w:rPr>
        <w:t>Closed on a striking fact: Anthropic, OpenAI, AWS, and Microsoft have together committed over $9 billion combined to embedding their own staff inside customers' AI rollouts.</w:t>
      </w:r>
    </w:p>
    <w:p>
      <w:pPr>
        <w:jc w:val="center"/>
      </w:pPr>
      <w:r>
        <w:drawing>
          <wp:inline xmlns:a="http://schemas.openxmlformats.org/drawingml/2006/main" xmlns:pic="http://schemas.openxmlformats.org/drawingml/2006/picture">
            <wp:extent cx="3657600" cy="4876800"/>
            <wp:docPr id="3" name="Picture 3"/>
            <wp:cNvGraphicFramePr>
              <a:graphicFrameLocks noChangeAspect="1"/>
            </wp:cNvGraphicFramePr>
            <a:graphic>
              <a:graphicData uri="http://schemas.openxmlformats.org/drawingml/2006/picture">
                <pic:pic>
                  <pic:nvPicPr>
                    <pic:cNvPr id="0" name="harness.jpg"/>
                    <pic:cNvPicPr/>
                  </pic:nvPicPr>
                  <pic:blipFill>
                    <a:blip r:embed="rId11"/>
                    <a:stretch>
                      <a:fillRect/>
                    </a:stretch>
                  </pic:blipFill>
                  <pic:spPr>
                    <a:xfrm>
                      <a:off x="0" y="0"/>
                      <a:ext cx="3657600" cy="4876800"/>
                    </a:xfrm>
                    <a:prstGeom prst="rect"/>
                  </pic:spPr>
                </pic:pic>
              </a:graphicData>
            </a:graphic>
          </wp:inline>
        </w:drawing>
      </w:r>
    </w:p>
    <w:p>
      <w:pPr>
        <w:spacing w:after="200"/>
        <w:jc w:val="center"/>
      </w:pPr>
      <w:r>
        <w:rPr>
          <w:i/>
          <w:color w:val="7C8B7F"/>
          <w:sz w:val="17"/>
        </w:rPr>
        <w:t>"Harness Engineering" — the missing layer between a weekend prototype and enterprise-grade AI.</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Every big AI company is now doing the same thing: sending their own people to actually help clients set things up, not just selling the software. That told me picking an AI is not the hard part anymore, getting it running properly is. When we talk to vendors, we should be asking what hands-on help comes with the contract, not just what the AI can do.</w:t>
      </w:r>
    </w:p>
    <w:p>
      <w:pPr>
        <w:spacing w:before="160" w:after="60"/>
      </w:pPr>
      <w:r>
        <w:rPr>
          <w:b/>
          <w:color w:val="0C5C3D"/>
          <w:sz w:val="18"/>
        </w:rPr>
        <w:t>TAKEAWAY</w:t>
      </w:r>
    </w:p>
    <w:p>
      <w:pPr>
        <w:shd w:val="clear" w:color="auto" w:fill="E6EFE4"/>
        <w:spacing w:before="40" w:after="200"/>
        <w:ind w:left="113"/>
      </w:pPr>
      <w:r>
        <w:rPr>
          <w:b/>
          <w:color w:val="08291A"/>
          <w:sz w:val="21"/>
        </w:rPr>
        <w:t>Ask every vendor what real setup help they will give us. Most of the big names now offer it. Building a demo is easy; getting it actually running for the whole school is the real work. Ties to takeaway #3: building is easy, scaling is the real work.</w:t>
      </w:r>
    </w:p>
    <w:p>
      <w:pPr>
        <w:spacing w:after="40"/>
      </w:pPr>
    </w:p>
    <w:p>
      <w:pPr>
        <w:pBdr>
          <w:bottom w:val="single" w:sz="6" w:space="1" w:color="DFE3DC"/>
        </w:pBdr>
      </w:pPr>
    </w:p>
    <w:p/>
    <w:p>
      <w:r>
        <w:rPr>
          <w:rFonts w:ascii="Avenir Next" w:hAnsi="Avenir Next"/>
          <w:b/>
          <w:color w:val="132018"/>
          <w:sz w:val="25"/>
        </w:rPr>
        <w:t>The Agentic Data Stack: Speed and Simplicity for AI That Scales</w:t>
      </w:r>
    </w:p>
    <w:p>
      <w:pPr>
        <w:spacing w:after="80"/>
      </w:pPr>
      <w:r>
        <w:rPr>
          <w:i/>
          <w:color w:val="08291A"/>
          <w:sz w:val="19"/>
        </w:rPr>
        <w:t>Ki-hoon Lee -- Solutions Architect, ClickHouse</w:t>
      </w:r>
    </w:p>
    <w:p>
      <w:pPr>
        <w:spacing w:before="160" w:after="60"/>
      </w:pPr>
      <w:r>
        <w:rPr>
          <w:b/>
          <w:color w:val="0C5C3D"/>
          <w:sz w:val="18"/>
        </w:rPr>
        <w:t>HIGHLIGHTS</w:t>
      </w:r>
    </w:p>
    <w:p>
      <w:pPr>
        <w:pStyle w:val="ListBullet"/>
        <w:spacing w:after="120"/>
      </w:pPr>
      <w:r>
        <w:rPr>
          <w:color w:val="132018"/>
          <w:sz w:val="21"/>
        </w:rPr>
        <w:t>Walked through how AI queries databases changed over 2022-2025: from one predictable request per user, to an AI agent firing off many unpredictable requests at once.</w:t>
      </w:r>
    </w:p>
    <w:p>
      <w:pPr>
        <w:pStyle w:val="ListBullet"/>
        <w:spacing w:after="120"/>
      </w:pPr>
      <w:r>
        <w:rPr>
          <w:color w:val="132018"/>
          <w:sz w:val="21"/>
        </w:rPr>
        <w:t>Shared that OpenAI's daily log data is comparable to "500 Libraries of Congress a day," growing over 20% a month — and Anthropic credited this technology as instrumental in shipping Claude 4.</w:t>
      </w:r>
    </w:p>
    <w:p>
      <w:pPr>
        <w:jc w:val="center"/>
      </w:pPr>
      <w:r>
        <w:drawing>
          <wp:inline xmlns:a="http://schemas.openxmlformats.org/drawingml/2006/main" xmlns:pic="http://schemas.openxmlformats.org/drawingml/2006/picture">
            <wp:extent cx="3657600" cy="4876800"/>
            <wp:docPr id="4" name="Picture 4"/>
            <wp:cNvGraphicFramePr>
              <a:graphicFrameLocks noChangeAspect="1"/>
            </wp:cNvGraphicFramePr>
            <a:graphic>
              <a:graphicData uri="http://schemas.openxmlformats.org/drawingml/2006/picture">
                <pic:pic>
                  <pic:nvPicPr>
                    <pic:cNvPr id="0" name="clickhouse.jpg"/>
                    <pic:cNvPicPr/>
                  </pic:nvPicPr>
                  <pic:blipFill>
                    <a:blip r:embed="rId12"/>
                    <a:stretch>
                      <a:fillRect/>
                    </a:stretch>
                  </pic:blipFill>
                  <pic:spPr>
                    <a:xfrm>
                      <a:off x="0" y="0"/>
                      <a:ext cx="3657600" cy="4876800"/>
                    </a:xfrm>
                    <a:prstGeom prst="rect"/>
                  </pic:spPr>
                </pic:pic>
              </a:graphicData>
            </a:graphic>
          </wp:inline>
        </w:drawing>
      </w:r>
    </w:p>
    <w:p>
      <w:pPr>
        <w:spacing w:after="200"/>
        <w:jc w:val="center"/>
      </w:pPr>
      <w:r>
        <w:rPr>
          <w:i/>
          <w:color w:val="7C8B7F"/>
          <w:sz w:val="17"/>
        </w:rPr>
        <w:t>ClickHouse's closing slide, citing its use inside OpenAI's and Anthropic's own systems.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An AI tool hits a database very differently than a normal app does: lots of requests firing off at once, not one at a time. If a lot of students use our chatbot or advising tool together, our current systems could slow down or break in ways nobody tested for. That is a data problem before it is ever a model problem.</w:t>
      </w:r>
    </w:p>
    <w:p>
      <w:pPr>
        <w:spacing w:before="160" w:after="60"/>
      </w:pPr>
      <w:r>
        <w:rPr>
          <w:b/>
          <w:color w:val="0C5C3D"/>
          <w:sz w:val="18"/>
        </w:rPr>
        <w:t>TAKEAWAY</w:t>
      </w:r>
    </w:p>
    <w:p>
      <w:pPr>
        <w:shd w:val="clear" w:color="auto" w:fill="E6EFE4"/>
        <w:spacing w:before="40" w:after="200"/>
        <w:ind w:left="113"/>
      </w:pPr>
      <w:r>
        <w:rPr>
          <w:b/>
          <w:color w:val="08291A"/>
          <w:sz w:val="21"/>
        </w:rPr>
        <w:t>Before we pick a platform, IT should check if our systems can actually handle a lot of students using an AI tool at the same time, not just one person testing it quietly. Ties to takeaway #1: data is the bottleneck, not the model.</w:t>
      </w:r>
    </w:p>
    <w:p>
      <w:pPr>
        <w:spacing w:after="40"/>
      </w:pPr>
    </w:p>
    <w:p>
      <w:pPr>
        <w:pBdr>
          <w:bottom w:val="single" w:sz="6" w:space="1" w:color="DFE3DC"/>
        </w:pBdr>
      </w:pPr>
    </w:p>
    <w:p/>
    <w:p>
      <w:r>
        <w:rPr>
          <w:rFonts w:ascii="Avenir Next" w:hAnsi="Avenir Next"/>
          <w:b/>
          <w:color w:val="132018"/>
          <w:sz w:val="25"/>
        </w:rPr>
        <w:t>From Models to Reality: What It Takes to Run AI Reliably at Scale</w:t>
      </w:r>
    </w:p>
    <w:p>
      <w:pPr>
        <w:spacing w:after="40"/>
      </w:pPr>
      <w:r>
        <w:rPr>
          <w:i/>
          <w:color w:val="7C8B7F"/>
          <w:sz w:val="19"/>
        </w:rPr>
        <w:t>모델에서 현실까지: 대규모 AI를 안정적으로 운영하기 위한 조건</w:t>
      </w:r>
    </w:p>
    <w:p>
      <w:pPr>
        <w:spacing w:after="80"/>
      </w:pPr>
      <w:r>
        <w:rPr>
          <w:i/>
          <w:color w:val="08291A"/>
          <w:sz w:val="19"/>
        </w:rPr>
        <w:t>Colin Presly — VP, Customer Engineering, Seagate Technology</w:t>
      </w:r>
    </w:p>
    <w:p>
      <w:pPr>
        <w:spacing w:before="160" w:after="60"/>
      </w:pPr>
      <w:r>
        <w:rPr>
          <w:b/>
          <w:color w:val="0C5C3D"/>
          <w:sz w:val="18"/>
        </w:rPr>
        <w:t>HIGHLIGHTS</w:t>
      </w:r>
    </w:p>
    <w:p>
      <w:pPr>
        <w:pStyle w:val="ListBullet"/>
        <w:spacing w:after="120"/>
      </w:pPr>
      <w:r>
        <w:rPr>
          <w:color w:val="132018"/>
          <w:sz w:val="21"/>
        </w:rPr>
        <w:t>Described three stages most companies pass through: can we build something useful, can we run it in production, does it create lasting value. Most are still stuck between the first two.</w:t>
      </w:r>
    </w:p>
    <w:p>
      <w:pPr>
        <w:pStyle w:val="ListBullet"/>
        <w:spacing w:after="120"/>
      </w:pPr>
      <w:r>
        <w:rPr>
          <w:color w:val="132018"/>
          <w:sz w:val="21"/>
        </w:rPr>
        <w:t>Cited data-growth estimates: under 1 zettabyte existed in 2005, 72 in 2020, and a projected 527 by 2029 — with AI training and daily use creating two different, both-growing kinds of demand.</w:t>
      </w:r>
    </w:p>
    <w:p>
      <w:pPr>
        <w:pStyle w:val="ListBullet"/>
        <w:spacing w:after="120"/>
      </w:pPr>
      <w:r>
        <w:rPr>
          <w:color w:val="132018"/>
          <w:sz w:val="21"/>
        </w:rPr>
        <w:t>Noted 85-95% of all AI data ultimately rests on ordinary hard drives, making basic storage density and cost a real lever on AI's overall cost and footprint.</w:t>
      </w:r>
    </w:p>
    <w:p>
      <w:pPr>
        <w:jc w:val="center"/>
      </w:pPr>
      <w:r>
        <w:drawing>
          <wp:inline xmlns:a="http://schemas.openxmlformats.org/drawingml/2006/main" xmlns:pic="http://schemas.openxmlformats.org/drawingml/2006/picture">
            <wp:extent cx="3657600" cy="4876800"/>
            <wp:docPr id="5" name="Picture 5"/>
            <wp:cNvGraphicFramePr>
              <a:graphicFrameLocks noChangeAspect="1"/>
            </wp:cNvGraphicFramePr>
            <a:graphic>
              <a:graphicData uri="http://schemas.openxmlformats.org/drawingml/2006/picture">
                <pic:pic>
                  <pic:nvPicPr>
                    <pic:cNvPr id="0" name="seagate.jpg"/>
                    <pic:cNvPicPr/>
                  </pic:nvPicPr>
                  <pic:blipFill>
                    <a:blip r:embed="rId13"/>
                    <a:stretch>
                      <a:fillRect/>
                    </a:stretch>
                  </pic:blipFill>
                  <pic:spPr>
                    <a:xfrm>
                      <a:off x="0" y="0"/>
                      <a:ext cx="3657600" cy="4876800"/>
                    </a:xfrm>
                    <a:prstGeom prst="rect"/>
                  </pic:spPr>
                </pic:pic>
              </a:graphicData>
            </a:graphic>
          </wp:inline>
        </w:drawing>
      </w:r>
    </w:p>
    <w:p>
      <w:pPr>
        <w:spacing w:after="200"/>
        <w:jc w:val="center"/>
      </w:pPr>
      <w:r>
        <w:rPr>
          <w:i/>
          <w:color w:val="7C8B7F"/>
          <w:sz w:val="17"/>
        </w:rPr>
        <w:t>Seagate's closing point: AI made the underlying data itself the scarce, valuable asset.</w:t>
      </w:r>
    </w:p>
    <w:p>
      <w:pPr>
        <w:shd w:val="clear" w:color="auto" w:fill="F1E8D4"/>
        <w:spacing w:before="120" w:after="120"/>
        <w:ind w:left="113"/>
      </w:pPr>
      <w:r>
        <w:rPr>
          <w:b/>
          <w:color w:val="6B5320"/>
          <w:sz w:val="17"/>
        </w:rPr>
        <w:t xml:space="preserve">VISION 2030 PILLAR(S): </w:t>
      </w:r>
      <w:r>
        <w:rPr>
          <w:color w:val="132018"/>
          <w:sz w:val="19"/>
        </w:rPr>
        <w:t>Financial Growth | Future Ready</w:t>
      </w:r>
    </w:p>
    <w:p>
      <w:pPr>
        <w:spacing w:before="160" w:after="60"/>
      </w:pPr>
      <w:r>
        <w:rPr>
          <w:b/>
          <w:color w:val="3B5B7A"/>
          <w:sz w:val="18"/>
        </w:rPr>
        <w:t>INSIGHT</w:t>
      </w:r>
    </w:p>
    <w:p>
      <w:pPr>
        <w:spacing w:after="80"/>
      </w:pPr>
      <w:r>
        <w:rPr>
          <w:i/>
          <w:color w:val="48584D"/>
          <w:sz w:val="21"/>
        </w:rPr>
        <w:t>It is easy to forget, but every AI tool has to keep its data somewhere, and that costs money for years, not just once. Yes, the speaker sells storage, but the point held up: most of what a school ends up paying for AI comes down to where the data lives and how long we keep it, not the flashy part.</w:t>
      </w:r>
    </w:p>
    <w:p>
      <w:pPr>
        <w:spacing w:before="160" w:after="60"/>
      </w:pPr>
      <w:r>
        <w:rPr>
          <w:b/>
          <w:color w:val="0C5C3D"/>
          <w:sz w:val="18"/>
        </w:rPr>
        <w:t>TAKEAWAY</w:t>
      </w:r>
    </w:p>
    <w:p>
      <w:pPr>
        <w:shd w:val="clear" w:color="auto" w:fill="E6EFE4"/>
        <w:spacing w:before="40" w:after="200"/>
        <w:ind w:left="113"/>
      </w:pPr>
      <w:r>
        <w:rPr>
          <w:b/>
          <w:color w:val="08291A"/>
          <w:sz w:val="21"/>
        </w:rPr>
        <w:t>Before we spend more on AI, Finance and IT should figure out where all this student data will actually live, and what that costs us over time, not just the price tag on the AI tool itself. Ties to takeaway #10: infrastructure wins the gold rush.</w:t>
      </w:r>
    </w:p>
    <w:p>
      <w:pPr>
        <w:spacing w:after="40"/>
      </w:pPr>
    </w:p>
    <w:p>
      <w:pPr>
        <w:pBdr>
          <w:bottom w:val="single" w:sz="6" w:space="1" w:color="DFE3DC"/>
        </w:pBdr>
      </w:pPr>
    </w:p>
    <w:p/>
    <w:p>
      <w:r>
        <w:rPr>
          <w:rFonts w:ascii="Avenir Next" w:hAnsi="Avenir Next"/>
          <w:b/>
          <w:color w:val="132018"/>
          <w:sz w:val="25"/>
        </w:rPr>
        <w:t>How AI Is Redefining the Future of Work</w:t>
      </w:r>
    </w:p>
    <w:p>
      <w:pPr>
        <w:spacing w:after="40"/>
      </w:pPr>
      <w:r>
        <w:rPr>
          <w:i/>
          <w:color w:val="7C8B7F"/>
          <w:sz w:val="19"/>
        </w:rPr>
        <w:t>AI가 바꾸는 일의 미래</w:t>
      </w:r>
    </w:p>
    <w:p>
      <w:pPr>
        <w:spacing w:after="80"/>
      </w:pPr>
      <w:r>
        <w:rPr>
          <w:i/>
          <w:color w:val="08291A"/>
          <w:sz w:val="19"/>
        </w:rPr>
        <w:t>Ryan Kang -- CEO, HP Korea</w:t>
      </w:r>
    </w:p>
    <w:p>
      <w:pPr>
        <w:spacing w:before="160" w:after="60"/>
      </w:pPr>
      <w:r>
        <w:rPr>
          <w:b/>
          <w:color w:val="0C5C3D"/>
          <w:sz w:val="18"/>
        </w:rPr>
        <w:t>HIGHLIGHTS</w:t>
      </w:r>
    </w:p>
    <w:p>
      <w:pPr>
        <w:pStyle w:val="ListBullet"/>
        <w:spacing w:after="120"/>
      </w:pPr>
      <w:r>
        <w:rPr>
          <w:color w:val="132018"/>
          <w:sz w:val="21"/>
        </w:rPr>
        <w:t>Roughly 30% of the global office workforce is now Gen Z, a group with notably higher entrepreneurial and side-project instincts than earlier generations.</w:t>
      </w:r>
    </w:p>
    <w:p>
      <w:pPr>
        <w:pStyle w:val="ListBullet"/>
        <w:spacing w:after="120"/>
      </w:pPr>
      <w:r>
        <w:rPr>
          <w:color w:val="132018"/>
          <w:sz w:val="21"/>
        </w:rPr>
        <w:t>Noted a Korea-specific detail: mandatory military service and long job-hunting periods push back the age Korean Gen Z workers start full-time roles, versus other countries.</w:t>
      </w:r>
    </w:p>
    <w:p>
      <w:pPr>
        <w:jc w:val="center"/>
      </w:pPr>
      <w:r>
        <w:drawing>
          <wp:inline xmlns:a="http://schemas.openxmlformats.org/drawingml/2006/main" xmlns:pic="http://schemas.openxmlformats.org/drawingml/2006/picture">
            <wp:extent cx="3657600" cy="4876800"/>
            <wp:docPr id="6" name="Picture 6"/>
            <wp:cNvGraphicFramePr>
              <a:graphicFrameLocks noChangeAspect="1"/>
            </wp:cNvGraphicFramePr>
            <a:graphic>
              <a:graphicData uri="http://schemas.openxmlformats.org/drawingml/2006/picture">
                <pic:pic>
                  <pic:nvPicPr>
                    <pic:cNvPr id="0" name="genz.jpg"/>
                    <pic:cNvPicPr/>
                  </pic:nvPicPr>
                  <pic:blipFill>
                    <a:blip r:embed="rId14"/>
                    <a:stretch>
                      <a:fillRect/>
                    </a:stretch>
                  </pic:blipFill>
                  <pic:spPr>
                    <a:xfrm>
                      <a:off x="0" y="0"/>
                      <a:ext cx="3657600" cy="4876800"/>
                    </a:xfrm>
                    <a:prstGeom prst="rect"/>
                  </pic:spPr>
                </pic:pic>
              </a:graphicData>
            </a:graphic>
          </wp:inline>
        </w:drawing>
      </w:r>
    </w:p>
    <w:p>
      <w:pPr>
        <w:spacing w:after="200"/>
        <w:jc w:val="center"/>
      </w:pPr>
      <w:r>
        <w:rPr>
          <w:i/>
          <w:color w:val="7C8B7F"/>
          <w:sz w:val="17"/>
        </w:rPr>
        <w:t>Workforce-composition framing for why AI-native habits are arriving from the entry level up.</w:t>
      </w:r>
    </w:p>
    <w:p>
      <w:pPr>
        <w:shd w:val="clear" w:color="auto" w:fill="F1E8D4"/>
        <w:spacing w:before="120" w:after="120"/>
        <w:ind w:left="113"/>
      </w:pPr>
      <w:r>
        <w:rPr>
          <w:b/>
          <w:color w:val="6B5320"/>
          <w:sz w:val="17"/>
        </w:rPr>
        <w:t xml:space="preserve">VISION 2030 PILLAR(S): </w:t>
      </w:r>
      <w:r>
        <w:rPr>
          <w:color w:val="132018"/>
          <w:sz w:val="19"/>
        </w:rPr>
        <w:t>Enrollment Growth | Future Ready</w:t>
      </w:r>
    </w:p>
    <w:p>
      <w:pPr>
        <w:spacing w:before="160" w:after="60"/>
      </w:pPr>
      <w:r>
        <w:rPr>
          <w:b/>
          <w:color w:val="3B5B7A"/>
          <w:sz w:val="18"/>
        </w:rPr>
        <w:t>INSIGHT</w:t>
      </w:r>
    </w:p>
    <w:p>
      <w:pPr>
        <w:spacing w:after="80"/>
      </w:pPr>
      <w:r>
        <w:rPr>
          <w:i/>
          <w:color w:val="48584D"/>
          <w:sz w:val="21"/>
        </w:rPr>
        <w:t>This talk was about the workforce, but it made me think about our own students instead. Gen Z already grew up using AI. Our incoming students are the same: they will already know these tools before they even enroll. So our AI training should not just be for staff; the students are already ahead of us on this one.</w:t>
      </w:r>
    </w:p>
    <w:p>
      <w:pPr>
        <w:spacing w:before="160" w:after="60"/>
      </w:pPr>
      <w:r>
        <w:rPr>
          <w:b/>
          <w:color w:val="0C5C3D"/>
          <w:sz w:val="18"/>
        </w:rPr>
        <w:t>TAKEAWAY</w:t>
      </w:r>
    </w:p>
    <w:p>
      <w:pPr>
        <w:shd w:val="clear" w:color="auto" w:fill="E6EFE4"/>
        <w:spacing w:before="40" w:after="200"/>
        <w:ind w:left="113"/>
      </w:pPr>
      <w:r>
        <w:rPr>
          <w:b/>
          <w:color w:val="08291A"/>
          <w:sz w:val="21"/>
        </w:rPr>
        <w:t>Our newest students are probably more comfortable with AI than a lot of our staff are. If we only train faculty and leadership, we are missing where AI use is already strongest, with the students themselves.</w:t>
      </w:r>
    </w:p>
    <w:p>
      <w:pPr>
        <w:spacing w:after="40"/>
      </w:pPr>
    </w:p>
    <w:p>
      <w:pPr>
        <w:pBdr>
          <w:bottom w:val="single" w:sz="6" w:space="1" w:color="DFE3DC"/>
        </w:pBdr>
      </w:pPr>
    </w:p>
    <w:p/>
    <w:p>
      <w:r>
        <w:rPr>
          <w:rFonts w:ascii="Avenir Next" w:hAnsi="Avenir Next"/>
          <w:b/>
          <w:color w:val="132018"/>
          <w:sz w:val="25"/>
        </w:rPr>
        <w:t>The Rise of AI-Native Work</w:t>
      </w:r>
    </w:p>
    <w:p>
      <w:pPr>
        <w:spacing w:after="40"/>
      </w:pPr>
      <w:r>
        <w:rPr>
          <w:i/>
          <w:color w:val="7C8B7F"/>
          <w:sz w:val="19"/>
        </w:rPr>
        <w:t>AI 네이티브 워크플로우 혁명</w:t>
      </w:r>
    </w:p>
    <w:p>
      <w:pPr>
        <w:spacing w:after="80"/>
      </w:pPr>
      <w:r>
        <w:rPr>
          <w:i/>
          <w:color w:val="08291A"/>
          <w:sz w:val="19"/>
        </w:rPr>
        <w:t>Laurent Thevenet — Head of Creative Technology, APAC &amp; MEA, Publicis Groupe</w:t>
      </w:r>
    </w:p>
    <w:p>
      <w:pPr>
        <w:spacing w:before="160" w:after="60"/>
      </w:pPr>
      <w:r>
        <w:rPr>
          <w:b/>
          <w:color w:val="0C5C3D"/>
          <w:sz w:val="18"/>
        </w:rPr>
        <w:t>HIGHLIGHTS</w:t>
      </w:r>
    </w:p>
    <w:p>
      <w:pPr>
        <w:pStyle w:val="ListBullet"/>
        <w:spacing w:after="120"/>
      </w:pPr>
      <w:r>
        <w:rPr>
          <w:color w:val="132018"/>
          <w:sz w:val="21"/>
        </w:rPr>
        <w:t>"Instant capability isn't expertise": AI gives fast output, but a person still needs to judge whether it's good and what could go wrong — "the gap is slop."</w:t>
      </w:r>
    </w:p>
    <w:p>
      <w:pPr>
        <w:pStyle w:val="ListBullet"/>
        <w:spacing w:after="120"/>
      </w:pPr>
      <w:r>
        <w:rPr>
          <w:color w:val="132018"/>
          <w:sz w:val="21"/>
        </w:rPr>
        <w:t>Warned against treating "which model for which task" as a strategy on its own — it's plumbing, not transformation.</w:t>
      </w:r>
    </w:p>
    <w:p>
      <w:pPr>
        <w:pStyle w:val="ListBullet"/>
        <w:spacing w:after="120"/>
      </w:pPr>
      <w:r>
        <w:rPr>
          <w:color w:val="132018"/>
          <w:sz w:val="21"/>
        </w:rPr>
        <w:t>Argued the fix for ungoverned tool sprawl is giving people a shared, well-supported set of tools and data, not restricting them.</w:t>
      </w:r>
    </w:p>
    <w:p>
      <w:pPr>
        <w:pStyle w:val="ListBullet"/>
        <w:spacing w:after="120"/>
      </w:pPr>
      <w:r>
        <w:rPr>
          <w:color w:val="132018"/>
          <w:sz w:val="21"/>
        </w:rPr>
        <w:t>Proposed a rule for when a tool needs formal ownership: 5 users, the builder still owns it; 50 users, it needs a named owner; 500 users, it needs a full team.</w:t>
      </w:r>
    </w:p>
    <w:p>
      <w:pPr>
        <w:jc w:val="center"/>
      </w:pPr>
      <w:r>
        <w:drawing>
          <wp:inline xmlns:a="http://schemas.openxmlformats.org/drawingml/2006/main" xmlns:pic="http://schemas.openxmlformats.org/drawingml/2006/picture">
            <wp:extent cx="3657600" cy="4876800"/>
            <wp:docPr id="7" name="Picture 7"/>
            <wp:cNvGraphicFramePr>
              <a:graphicFrameLocks noChangeAspect="1"/>
            </wp:cNvGraphicFramePr>
            <a:graphic>
              <a:graphicData uri="http://schemas.openxmlformats.org/drawingml/2006/picture">
                <pic:pic>
                  <pic:nvPicPr>
                    <pic:cNvPr id="0" name="publicis.jpg"/>
                    <pic:cNvPicPr/>
                  </pic:nvPicPr>
                  <pic:blipFill>
                    <a:blip r:embed="rId15"/>
                    <a:stretch>
                      <a:fillRect/>
                    </a:stretch>
                  </pic:blipFill>
                  <pic:spPr>
                    <a:xfrm>
                      <a:off x="0" y="0"/>
                      <a:ext cx="3657600" cy="4876800"/>
                    </a:xfrm>
                    <a:prstGeom prst="rect"/>
                  </pic:spPr>
                </pic:pic>
              </a:graphicData>
            </a:graphic>
          </wp:inline>
        </w:drawing>
      </w:r>
    </w:p>
    <w:p>
      <w:pPr>
        <w:spacing w:after="200"/>
        <w:jc w:val="center"/>
      </w:pPr>
      <w:r>
        <w:rPr>
          <w:i/>
          <w:color w:val="7C8B7F"/>
          <w:sz w:val="17"/>
        </w:rPr>
        <w:t>Routing tasks to the "best" model is plumbing, not a strategy on its own.</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The rule was: 5 users, one person owns it casually; 50, it needs a real owner; 500, it needs a team. What I would add is that it is less about headcount and more about how much damage a mistake could do. One teacher using an AI grading tool casually is fine; the same tool deciding grades department-wide is a different animal entirely.</w:t>
      </w:r>
    </w:p>
    <w:p>
      <w:pPr>
        <w:spacing w:before="160" w:after="60"/>
      </w:pPr>
      <w:r>
        <w:rPr>
          <w:b/>
          <w:color w:val="0C5C3D"/>
          <w:sz w:val="18"/>
        </w:rPr>
        <w:t>TAKEAWAY</w:t>
      </w:r>
    </w:p>
    <w:p>
      <w:pPr>
        <w:shd w:val="clear" w:color="auto" w:fill="E6EFE4"/>
        <w:spacing w:before="40" w:after="200"/>
        <w:ind w:left="113"/>
      </w:pPr>
      <w:r>
        <w:rPr>
          <w:b/>
          <w:color w:val="08291A"/>
          <w:sz w:val="21"/>
        </w:rPr>
        <w:t>The moment a personal AI habit becomes something a whole department relies on, someone needs to officially own it. Do not wait until it is already everyone's tool to figure out who is in charge. Ties to takeaway #5: redesign process with the tech, not after it.</w:t>
      </w:r>
    </w:p>
    <w:p>
      <w:pPr>
        <w:spacing w:after="40"/>
      </w:pPr>
    </w:p>
    <w:p>
      <w:pPr>
        <w:pBdr>
          <w:bottom w:val="single" w:sz="6" w:space="1" w:color="DFE3DC"/>
        </w:pBdr>
      </w:pPr>
    </w:p>
    <w:p/>
    <w:p>
      <w:r>
        <w:br w:type="page"/>
      </w:r>
    </w:p>
    <w:p>
      <w:pPr>
        <w:pStyle w:val="Heading1"/>
      </w:pPr>
      <w:r>
        <w:rPr>
          <w:rFonts w:ascii="Avenir Next" w:hAnsi="Avenir Next"/>
          <w:color w:val="08291A"/>
          <w:sz w:val="36"/>
        </w:rPr>
        <w:t>Day 2 — Industry Deployment &amp; Governance</w:t>
      </w:r>
    </w:p>
    <w:p>
      <w:r>
        <w:rPr>
          <w:i/>
          <w:color w:val="48584D"/>
          <w:sz w:val="20"/>
        </w:rPr>
        <w:t>The second day shifted from "what is agentic AI" to "why doesn't it work yet at our scale" — messy data, change management, and the uncomfortable question of who's actually willing to approve scaling something up.</w:t>
      </w:r>
    </w:p>
    <w:p/>
    <w:p>
      <w:r>
        <w:rPr>
          <w:rFonts w:ascii="Avenir Next" w:hAnsi="Avenir Next"/>
          <w:b/>
          <w:color w:val="132018"/>
          <w:sz w:val="25"/>
        </w:rPr>
        <w:t>Building as a Creative Act: An Innovator's Mindset for the AI Age</w:t>
      </w:r>
    </w:p>
    <w:p>
      <w:pPr>
        <w:spacing w:after="40"/>
      </w:pPr>
      <w:r>
        <w:rPr>
          <w:i/>
          <w:color w:val="7C8B7F"/>
          <w:sz w:val="19"/>
        </w:rPr>
        <w:t>AI 시대의 혁신가의 마인드셋</w:t>
      </w:r>
    </w:p>
    <w:p>
      <w:pPr>
        <w:spacing w:after="80"/>
      </w:pPr>
      <w:r>
        <w:rPr>
          <w:i/>
          <w:color w:val="08291A"/>
          <w:sz w:val="19"/>
        </w:rPr>
        <w:t>Savannah Kunovsky — Managing Director, IDEO AI &amp; EmTech Lab  |  09:00-09:20, Opening Keynote</w:t>
      </w:r>
    </w:p>
    <w:p>
      <w:pPr>
        <w:spacing w:before="160" w:after="60"/>
      </w:pPr>
      <w:r>
        <w:rPr>
          <w:b/>
          <w:color w:val="0C5C3D"/>
          <w:sz w:val="18"/>
        </w:rPr>
        <w:t>HIGHLIGHTS</w:t>
      </w:r>
    </w:p>
    <w:p>
      <w:pPr>
        <w:pStyle w:val="ListBullet"/>
        <w:spacing w:after="120"/>
      </w:pPr>
      <w:r>
        <w:rPr>
          <w:color w:val="132018"/>
          <w:sz w:val="21"/>
        </w:rPr>
        <w:t>Opening keynote of Day 2, framed as "the innovator's mindset in the age of AI" from IDEO's AI-focused lab.</w:t>
      </w:r>
    </w:p>
    <w:p>
      <w:pPr>
        <w:pStyle w:val="ListBullet"/>
        <w:spacing w:after="120"/>
      </w:pPr>
      <w:r>
        <w:rPr>
          <w:color w:val="132018"/>
          <w:sz w:val="21"/>
        </w:rPr>
        <w:t>Its framing of embodiment was picked up directly, by name, later that same morning in the Physical AI panel.</w:t>
      </w:r>
    </w:p>
    <w:p>
      <w:pPr>
        <w:jc w:val="center"/>
      </w:pPr>
      <w:r>
        <w:drawing>
          <wp:inline xmlns:a="http://schemas.openxmlformats.org/drawingml/2006/main" xmlns:pic="http://schemas.openxmlformats.org/drawingml/2006/picture">
            <wp:extent cx="3657600" cy="4876800"/>
            <wp:docPr id="8" name="Picture 8"/>
            <wp:cNvGraphicFramePr>
              <a:graphicFrameLocks noChangeAspect="1"/>
            </wp:cNvGraphicFramePr>
            <a:graphic>
              <a:graphicData uri="http://schemas.openxmlformats.org/drawingml/2006/picture">
                <pic:pic>
                  <pic:nvPicPr>
                    <pic:cNvPr id="0" name="kunovsky.jpg"/>
                    <pic:cNvPicPr/>
                  </pic:nvPicPr>
                  <pic:blipFill>
                    <a:blip r:embed="rId16"/>
                    <a:stretch>
                      <a:fillRect/>
                    </a:stretch>
                  </pic:blipFill>
                  <pic:spPr>
                    <a:xfrm>
                      <a:off x="0" y="0"/>
                      <a:ext cx="3657600" cy="4876800"/>
                    </a:xfrm>
                    <a:prstGeom prst="rect"/>
                  </pic:spPr>
                </pic:pic>
              </a:graphicData>
            </a:graphic>
          </wp:inline>
        </w:drawing>
      </w:r>
    </w:p>
    <w:p>
      <w:pPr>
        <w:spacing w:after="200"/>
        <w:jc w:val="center"/>
      </w:pPr>
      <w:r>
        <w:rPr>
          <w:i/>
          <w:color w:val="7C8B7F"/>
          <w:sz w:val="17"/>
        </w:rPr>
        <w:t>Introduction slide for the IDEO AI &amp; EmTech Lab keynote.</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The word "embodiment" kept coming back later that same morning, especially in the robotics panel. It basically means AI that has to actually do something in the real world, not just chat. Worth keeping in mind once we go beyond a simple chatbot: things like campus access systems, labs, or hands-on design work.</w:t>
      </w:r>
    </w:p>
    <w:p>
      <w:pPr>
        <w:spacing w:before="160" w:after="60"/>
      </w:pPr>
      <w:r>
        <w:rPr>
          <w:b/>
          <w:color w:val="0C5C3D"/>
          <w:sz w:val="18"/>
        </w:rPr>
        <w:t>TAKEAWAY</w:t>
      </w:r>
    </w:p>
    <w:p>
      <w:pPr>
        <w:shd w:val="clear" w:color="auto" w:fill="E6EFE4"/>
        <w:spacing w:before="40" w:after="200"/>
        <w:ind w:left="113"/>
      </w:pPr>
      <w:r>
        <w:rPr>
          <w:b/>
          <w:color w:val="08291A"/>
          <w:sz w:val="21"/>
        </w:rPr>
        <w:t>Keep an eye on AI that has to act in the real world, not just answer questions. It matters most once we move past classroom chat tools into things like campus safety systems or studio work.</w:t>
      </w:r>
    </w:p>
    <w:p>
      <w:pPr>
        <w:spacing w:after="40"/>
      </w:pPr>
    </w:p>
    <w:p>
      <w:pPr>
        <w:pBdr>
          <w:bottom w:val="single" w:sz="6" w:space="1" w:color="DFE3DC"/>
        </w:pBdr>
      </w:pPr>
    </w:p>
    <w:p/>
    <w:p>
      <w:r>
        <w:rPr>
          <w:rFonts w:ascii="Avenir Next" w:hAnsi="Avenir Next"/>
          <w:b/>
          <w:color w:val="132018"/>
          <w:sz w:val="25"/>
        </w:rPr>
        <w:t>The Era of Physical AI: The Future of Industry Transformed by Physical AI</w:t>
      </w:r>
    </w:p>
    <w:p>
      <w:pPr>
        <w:spacing w:after="80"/>
      </w:pPr>
      <w:r>
        <w:rPr>
          <w:i/>
          <w:color w:val="08291A"/>
          <w:sz w:val="19"/>
        </w:rPr>
        <w:t>Moderator: Prof. Doohee Jeong (Handong Global University / Impactive AI)  |  Panelists: Prof. Ahyoung Kim (Seoul National University), Tony Jang (CEO, FactoryLab.AI, ex-Hyundai AutoEver), CTO Seung-young Lee (LIG Defense &amp; Aerospace)  |  10:40-11:10, Keynote Panel</w:t>
      </w:r>
    </w:p>
    <w:p>
      <w:pPr>
        <w:spacing w:before="160" w:after="60"/>
      </w:pPr>
      <w:r>
        <w:rPr>
          <w:b/>
          <w:color w:val="0C5C3D"/>
          <w:sz w:val="18"/>
        </w:rPr>
        <w:t>HIGHLIGHTS</w:t>
      </w:r>
    </w:p>
    <w:p>
      <w:pPr>
        <w:pStyle w:val="ListBullet"/>
        <w:spacing w:after="120"/>
      </w:pPr>
      <w:r>
        <w:rPr>
          <w:color w:val="132018"/>
          <w:sz w:val="21"/>
        </w:rPr>
      </w:r>
      <w:r>
        <w:rPr>
          <w:b/>
          <w:color w:val="08291A"/>
          <w:sz w:val="21"/>
        </w:rPr>
        <w:t>Why now:</w:t>
      </w:r>
      <w:r>
        <w:rPr>
          <w:color w:val="132018"/>
          <w:sz w:val="21"/>
        </w:rPr>
        <w:t xml:space="preserve"> the turning point traced through AlphaGo, an earlier disappointing wave of AI for robotics (2014-2020), then the technology behind ChatGPT succeeding in language, then vision, then robotics.</w:t>
      </w:r>
    </w:p>
    <w:p>
      <w:pPr>
        <w:pStyle w:val="ListBullet"/>
        <w:spacing w:after="120"/>
      </w:pPr>
      <w:r>
        <w:rPr>
          <w:color w:val="132018"/>
          <w:sz w:val="21"/>
        </w:rPr>
      </w:r>
      <w:r>
        <w:rPr>
          <w:b/>
          <w:color w:val="08291A"/>
          <w:sz w:val="21"/>
        </w:rPr>
        <w:t>Demo vs. real deployment (Tony Jang):</w:t>
      </w:r>
      <w:r>
        <w:rPr>
          <w:color w:val="132018"/>
          <w:sz w:val="21"/>
        </w:rPr>
        <w:t xml:space="preserve"> does using it require changing how things already work? Does a failure fit inside normal turnaround time? Is the data needed to keep it accurate clearly someone's job? All three checking out means it's real, not just "a cool demo."</w:t>
      </w:r>
    </w:p>
    <w:p>
      <w:pPr>
        <w:pStyle w:val="ListBullet"/>
        <w:spacing w:after="120"/>
      </w:pPr>
      <w:r>
        <w:rPr>
          <w:color w:val="132018"/>
          <w:sz w:val="21"/>
        </w:rPr>
      </w:r>
      <w:r>
        <w:rPr>
          <w:b/>
          <w:color w:val="08291A"/>
          <w:sz w:val="21"/>
        </w:rPr>
        <w:t>When is a "world model" real, not marketing?</w:t>
      </w:r>
      <w:r>
        <w:rPr>
          <w:color w:val="132018"/>
          <w:sz w:val="21"/>
        </w:rPr>
        <w:t xml:space="preserve"> A simulator built on real physics is proven technology; one claiming to perfectly understand physics from scratch is "still at the packaging stage." A described Tesla Optimus incident — misidentifying a coworker as a part and pinning them to a wall — was cited as the real cost of getting this wrong.</w:t>
      </w:r>
    </w:p>
    <w:p>
      <w:pPr>
        <w:pStyle w:val="ListBullet"/>
        <w:spacing w:after="120"/>
      </w:pPr>
      <w:r>
        <w:rPr>
          <w:color w:val="132018"/>
          <w:sz w:val="21"/>
        </w:rPr>
      </w:r>
      <w:r>
        <w:rPr>
          <w:b/>
          <w:color w:val="08291A"/>
          <w:sz w:val="21"/>
        </w:rPr>
        <w:t>Where should AI's freedom to act stop? (CTO Seung-young Lee):</w:t>
      </w:r>
      <w:r>
        <w:rPr>
          <w:color w:val="132018"/>
          <w:sz w:val="21"/>
        </w:rPr>
        <w:t xml:space="preserve"> the line is whether the outcome is reversible, not how smart the AI seems. Where a decision can't be undone, AI's job is to hand humans better information faster — not to decide.</w:t>
      </w:r>
    </w:p>
    <w:p>
      <w:pPr>
        <w:pStyle w:val="ListBullet"/>
        <w:spacing w:after="120"/>
      </w:pPr>
      <w:r>
        <w:rPr>
          <w:color w:val="132018"/>
          <w:sz w:val="21"/>
        </w:rPr>
      </w:r>
      <w:r>
        <w:rPr>
          <w:b/>
          <w:color w:val="08291A"/>
          <w:sz w:val="21"/>
        </w:rPr>
        <w:t>Why lab-tested AI often fails in the real world:</w:t>
      </w:r>
      <w:r>
        <w:rPr>
          <w:color w:val="132018"/>
          <w:sz w:val="21"/>
        </w:rPr>
        <w:t xml:space="preserve"> roughly half the time it's software (lab conditions don't match reality); the other half is hardware (heat, vibration, signal loss that's hard to simulate).</w:t>
      </w:r>
    </w:p>
    <w:p>
      <w:pPr>
        <w:pStyle w:val="ListBullet"/>
        <w:spacing w:after="120"/>
      </w:pPr>
      <w:r>
        <w:rPr>
          <w:color w:val="132018"/>
          <w:sz w:val="21"/>
        </w:rPr>
      </w:r>
      <w:r>
        <w:rPr>
          <w:b/>
          <w:color w:val="08291A"/>
          <w:sz w:val="21"/>
        </w:rPr>
        <w:t>Testing under active interference:</w:t>
      </w:r>
      <w:r>
        <w:rPr>
          <w:color w:val="132018"/>
          <w:sz w:val="21"/>
        </w:rPr>
        <w:t xml:space="preserve"> in defense, the threat is deliberate jamming and deception, not accidental error. The fix: test against a wide range of realistic conditions, keep expanding that range, and treat this as needing government-level involvement.</w:t>
      </w:r>
    </w:p>
    <w:p>
      <w:pPr>
        <w:jc w:val="center"/>
      </w:pPr>
      <w:r>
        <w:drawing>
          <wp:inline xmlns:a="http://schemas.openxmlformats.org/drawingml/2006/main" xmlns:pic="http://schemas.openxmlformats.org/drawingml/2006/picture">
            <wp:extent cx="3657600" cy="4876800"/>
            <wp:docPr id="9" name="Picture 9"/>
            <wp:cNvGraphicFramePr>
              <a:graphicFrameLocks noChangeAspect="1"/>
            </wp:cNvGraphicFramePr>
            <a:graphic>
              <a:graphicData uri="http://schemas.openxmlformats.org/drawingml/2006/picture">
                <pic:pic>
                  <pic:nvPicPr>
                    <pic:cNvPr id="0" name="robots.jpg"/>
                    <pic:cNvPicPr/>
                  </pic:nvPicPr>
                  <pic:blipFill>
                    <a:blip r:embed="rId17"/>
                    <a:stretch>
                      <a:fillRect/>
                    </a:stretch>
                  </pic:blipFill>
                  <pic:spPr>
                    <a:xfrm>
                      <a:off x="0" y="0"/>
                      <a:ext cx="3657600" cy="4876800"/>
                    </a:xfrm>
                    <a:prstGeom prst="rect"/>
                  </pic:spPr>
                </pic:pic>
              </a:graphicData>
            </a:graphic>
          </wp:inline>
        </w:drawing>
      </w:r>
    </w:p>
    <w:p>
      <w:pPr>
        <w:spacing w:after="200"/>
        <w:jc w:val="center"/>
      </w:pPr>
      <w:r>
        <w:rPr>
          <w:i/>
          <w:color w:val="7C8B7F"/>
          <w:sz w:val="17"/>
        </w:rPr>
        <w:t>Humanoid and quadruped robots on the expo floor — "Physical AI" made tangible one floor down from the panel.</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is the one rule from the whole summit I would actually want us to write down: let AI decide on its own only if a mistake can be undone. If it cannot be undone, like flagging a student for probation or a safety escalation, a person makes that call, no matter how good the AI looks. That is not really a tech decision, that is someone having the nerve to say "not this one."</w:t>
      </w:r>
    </w:p>
    <w:p>
      <w:pPr>
        <w:spacing w:before="160" w:after="60"/>
      </w:pPr>
      <w:r>
        <w:rPr>
          <w:b/>
          <w:color w:val="0C5C3D"/>
          <w:sz w:val="18"/>
        </w:rPr>
        <w:t>TAKEAWAY</w:t>
      </w:r>
    </w:p>
    <w:p>
      <w:pPr>
        <w:shd w:val="clear" w:color="auto" w:fill="E6EFE4"/>
        <w:spacing w:before="40" w:after="200"/>
        <w:ind w:left="113"/>
      </w:pPr>
      <w:r>
        <w:rPr>
          <w:b/>
          <w:color w:val="08291A"/>
          <w:sz w:val="21"/>
        </w:rPr>
        <w:t>For our Mental Health and Advising AI tools: let the AI notice things and suggest, but keep the final call with a person for anything that is hard to undo. Write this down now, while both tools are still being built. Ties to takeaway #6: someone has to press the button.</w:t>
      </w:r>
    </w:p>
    <w:p>
      <w:pPr>
        <w:spacing w:after="40"/>
      </w:pPr>
    </w:p>
    <w:p>
      <w:pPr>
        <w:pBdr>
          <w:bottom w:val="single" w:sz="6" w:space="1" w:color="DFE3DC"/>
        </w:pBdr>
      </w:pPr>
    </w:p>
    <w:p/>
    <w:p>
      <w:r>
        <w:rPr>
          <w:rFonts w:ascii="Avenir Next" w:hAnsi="Avenir Next"/>
          <w:b/>
          <w:color w:val="132018"/>
          <w:sz w:val="25"/>
        </w:rPr>
        <w:t>Beyond Better Models: What Will Define the Next Era of AI?</w:t>
      </w:r>
    </w:p>
    <w:p>
      <w:pPr>
        <w:spacing w:after="40"/>
      </w:pPr>
      <w:r>
        <w:rPr>
          <w:i/>
          <w:color w:val="7C8B7F"/>
          <w:sz w:val="19"/>
        </w:rPr>
        <w:t>AI 에이전트의 미래: 더 나은 모델이 아니라 더 나은 워크플로우</w:t>
      </w:r>
    </w:p>
    <w:p>
      <w:pPr>
        <w:spacing w:after="80"/>
      </w:pPr>
      <w:r>
        <w:rPr>
          <w:i/>
          <w:color w:val="08291A"/>
          <w:sz w:val="19"/>
        </w:rPr>
        <w:t>Kay Zhu — Co-founder &amp; CTO, Genspark  |  11:10-11:35, Main Stage</w:t>
      </w:r>
    </w:p>
    <w:p>
      <w:pPr>
        <w:spacing w:before="160" w:after="60"/>
      </w:pPr>
      <w:r>
        <w:rPr>
          <w:b/>
          <w:color w:val="0C5C3D"/>
          <w:sz w:val="18"/>
        </w:rPr>
        <w:t>HIGHLIGHTS</w:t>
      </w:r>
    </w:p>
    <w:p>
      <w:pPr>
        <w:pStyle w:val="ListBullet"/>
        <w:spacing w:after="120"/>
      </w:pPr>
      <w:r>
        <w:rPr>
          <w:color w:val="132018"/>
          <w:sz w:val="21"/>
        </w:rPr>
        <w:t>Shared growth numbers as evidence: $250M in yearly revenue within 12 months from zero, $645M raised at a $2.6B valuation, over 7,000 paying business customers.</w:t>
      </w:r>
    </w:p>
    <w:p>
      <w:pPr>
        <w:pStyle w:val="ListBullet"/>
        <w:spacing w:after="120"/>
      </w:pPr>
      <w:r>
        <w:rPr>
          <w:color w:val="132018"/>
          <w:sz w:val="21"/>
        </w:rPr>
        <w:t>Core message: "better models will keep shipping — the breakthrough is context." Described a "second brain" layer that follows a person across apps.</w:t>
      </w:r>
    </w:p>
    <w:p>
      <w:pPr>
        <w:jc w:val="center"/>
      </w:pPr>
      <w:r>
        <w:drawing>
          <wp:inline xmlns:a="http://schemas.openxmlformats.org/drawingml/2006/main" xmlns:pic="http://schemas.openxmlformats.org/drawingml/2006/picture">
            <wp:extent cx="3657600" cy="4876800"/>
            <wp:docPr id="10" name="Picture 10"/>
            <wp:cNvGraphicFramePr>
              <a:graphicFrameLocks noChangeAspect="1"/>
            </wp:cNvGraphicFramePr>
            <a:graphic>
              <a:graphicData uri="http://schemas.openxmlformats.org/drawingml/2006/picture">
                <pic:pic>
                  <pic:nvPicPr>
                    <pic:cNvPr id="0" name="genspark.jpg"/>
                    <pic:cNvPicPr/>
                  </pic:nvPicPr>
                  <pic:blipFill>
                    <a:blip r:embed="rId18"/>
                    <a:stretch>
                      <a:fillRect/>
                    </a:stretch>
                  </pic:blipFill>
                  <pic:spPr>
                    <a:xfrm>
                      <a:off x="0" y="0"/>
                      <a:ext cx="3657600" cy="4876800"/>
                    </a:xfrm>
                    <a:prstGeom prst="rect"/>
                  </pic:spPr>
                </pic:pic>
              </a:graphicData>
            </a:graphic>
          </wp:inline>
        </w:drawing>
      </w:r>
    </w:p>
    <w:p>
      <w:pPr>
        <w:spacing w:after="200"/>
        <w:jc w:val="center"/>
      </w:pPr>
      <w:r>
        <w:rPr>
          <w:i/>
          <w:color w:val="7C8B7F"/>
          <w:sz w:val="17"/>
        </w:rPr>
        <w:t>Genspark's growth numbers, offered as evidence for its "context, not bigger models" argument.</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Two completely separate speakers, hours apart, basically said the same thing: the real improvement is not a smarter model, it is an AI that remembers you. For us, that means the real question for any vendor is whether the tool remembers a student's history, not which brand of AI sits behind it.</w:t>
      </w:r>
    </w:p>
    <w:p>
      <w:pPr>
        <w:spacing w:before="160" w:after="60"/>
      </w:pPr>
      <w:r>
        <w:rPr>
          <w:b/>
          <w:color w:val="0C5C3D"/>
          <w:sz w:val="18"/>
        </w:rPr>
        <w:t>TAKEAWAY</w:t>
      </w:r>
    </w:p>
    <w:p>
      <w:pPr>
        <w:shd w:val="clear" w:color="auto" w:fill="E6EFE4"/>
        <w:spacing w:before="40" w:after="200"/>
        <w:ind w:left="113"/>
      </w:pPr>
      <w:r>
        <w:rPr>
          <w:b/>
          <w:color w:val="08291A"/>
          <w:sz w:val="21"/>
        </w:rPr>
        <w:t>An AI that remembers a student across conversations matters more than which model powers it. Ask vendors about memory, not just intelligence.</w:t>
      </w:r>
    </w:p>
    <w:p>
      <w:pPr>
        <w:spacing w:after="40"/>
      </w:pPr>
    </w:p>
    <w:p>
      <w:pPr>
        <w:pBdr>
          <w:bottom w:val="single" w:sz="6" w:space="1" w:color="DFE3DC"/>
        </w:pBdr>
      </w:pPr>
    </w:p>
    <w:p/>
    <w:p>
      <w:r>
        <w:rPr>
          <w:rFonts w:ascii="Avenir Next" w:hAnsi="Avenir Next"/>
          <w:b/>
          <w:color w:val="132018"/>
          <w:sz w:val="25"/>
        </w:rPr>
        <w:t>The Conditions for AX Success and a Truly AI-Native Enterprise</w:t>
      </w:r>
    </w:p>
    <w:p>
      <w:pPr>
        <w:spacing w:after="40"/>
      </w:pPr>
      <w:r>
        <w:rPr>
          <w:i/>
          <w:color w:val="7C8B7F"/>
          <w:sz w:val="19"/>
        </w:rPr>
        <w:t>AX 성공과 AI Native Enterprise의 성공 조건</w:t>
      </w:r>
    </w:p>
    <w:p>
      <w:pPr>
        <w:spacing w:after="80"/>
      </w:pPr>
      <w:r>
        <w:rPr>
          <w:i/>
          <w:color w:val="08291A"/>
          <w:sz w:val="19"/>
        </w:rPr>
        <w:t>Jun-hee Jeon — CTO, Musinsa  |  Jae-sun Hwang — CIO, SK Bioscience  |  A-yeon Seo — Executive Director, GS E&amp;C  |  11:35-12:05, Main Stage Panel</w:t>
      </w:r>
    </w:p>
    <w:p>
      <w:pPr>
        <w:spacing w:before="160" w:after="60"/>
      </w:pPr>
      <w:r>
        <w:rPr>
          <w:b/>
          <w:color w:val="0C5C3D"/>
          <w:sz w:val="18"/>
        </w:rPr>
        <w:t>HIGHLIGHTS</w:t>
      </w:r>
    </w:p>
    <w:p>
      <w:pPr>
        <w:pStyle w:val="ListBullet"/>
        <w:spacing w:after="120"/>
      </w:pPr>
      <w:r>
        <w:rPr>
          <w:color w:val="132018"/>
          <w:sz w:val="21"/>
        </w:rPr>
        <w:t>Presented a 4-level scorecard for AI maturity — from occasional tool use to genuine, everyday agentic work.</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Simple idea, but a good one: a 4-level scale for how far along a team actually is with AI, instead of just saying we use AI now. We could use something like this ourselves so departments are not all just guessing how ready they really are.</w:t>
      </w:r>
    </w:p>
    <w:p>
      <w:pPr>
        <w:spacing w:after="40"/>
      </w:pPr>
    </w:p>
    <w:p>
      <w:pPr>
        <w:pBdr>
          <w:bottom w:val="single" w:sz="6" w:space="1" w:color="DFE3DC"/>
        </w:pBdr>
      </w:pPr>
    </w:p>
    <w:p/>
    <w:p>
      <w:r>
        <w:rPr>
          <w:rFonts w:ascii="Avenir Next" w:hAnsi="Avenir Next"/>
          <w:b/>
          <w:color w:val="132018"/>
          <w:sz w:val="25"/>
        </w:rPr>
        <w:t>Accelerating Breakthroughs with AI: Unlocking Opportunities in Traditional Industries</w:t>
      </w:r>
    </w:p>
    <w:p>
      <w:pPr>
        <w:spacing w:after="80"/>
      </w:pPr>
      <w:r>
        <w:rPr>
          <w:i/>
          <w:color w:val="08291A"/>
          <w:sz w:val="19"/>
        </w:rPr>
        <w:t>Ramine Tinati — Head of APAC, Google DeepMind  |  Moderator: Seri Kim  |  13:30-14:00, Track A</w:t>
      </w:r>
    </w:p>
    <w:p>
      <w:pPr>
        <w:spacing w:before="160" w:after="60"/>
      </w:pPr>
      <w:r>
        <w:rPr>
          <w:b/>
          <w:color w:val="0C5C3D"/>
          <w:sz w:val="18"/>
        </w:rPr>
        <w:t>HIGHLIGHTS</w:t>
      </w:r>
    </w:p>
    <w:p>
      <w:pPr>
        <w:pStyle w:val="ListBullet"/>
        <w:spacing w:after="120"/>
      </w:pPr>
      <w:r>
        <w:rPr>
          <w:color w:val="132018"/>
          <w:sz w:val="21"/>
        </w:rPr>
        <w:t>Opened with DeepMind's science-first roots (the AlphaGo match, played in Seoul a decade ago), then its non-chatbot track record: AlphaFold (200M+ protein structures, now free even commercially), a materials-science model with 2.2M predicted crystal structures, and weather-forecasting tools.</w:t>
      </w:r>
    </w:p>
    <w:p>
      <w:pPr>
        <w:pStyle w:val="ListBullet"/>
        <w:spacing w:after="120"/>
      </w:pPr>
      <w:r>
        <w:rPr>
          <w:color w:val="132018"/>
          <w:sz w:val="21"/>
        </w:rPr>
        <w:t>Repeated the central statistic: roughly 80% of AI projects never reach full production — a systems problem, not a "model isn't smart enough" problem.</w:t>
      </w:r>
    </w:p>
    <w:p>
      <w:pPr>
        <w:pStyle w:val="ListBullet"/>
        <w:spacing w:after="120"/>
      </w:pPr>
      <w:r>
        <w:rPr>
          <w:color w:val="132018"/>
          <w:sz w:val="21"/>
        </w:rPr>
      </w:r>
      <w:r>
        <w:rPr>
          <w:b/>
          <w:color w:val="08291A"/>
          <w:sz w:val="21"/>
        </w:rPr>
        <w:t>Why pilots stall:</w:t>
      </w:r>
      <w:r>
        <w:rPr>
          <w:color w:val="132018"/>
          <w:sz w:val="21"/>
        </w:rPr>
        <w:t xml:space="preserve"> scattered/unusable data, AI added on top of a workflow instead of built into it, and cultural resistance (no one senior owning it).</w:t>
      </w:r>
    </w:p>
    <w:p>
      <w:pPr>
        <w:pStyle w:val="ListBullet"/>
        <w:spacing w:after="120"/>
      </w:pPr>
      <w:r>
        <w:rPr>
          <w:color w:val="132018"/>
          <w:sz w:val="21"/>
        </w:rPr>
      </w:r>
      <w:r>
        <w:rPr>
          <w:b/>
          <w:color w:val="08291A"/>
          <w:sz w:val="21"/>
        </w:rPr>
        <w:t>Four fixes:</w:t>
      </w:r>
      <w:r>
        <w:rPr>
          <w:color w:val="132018"/>
          <w:sz w:val="21"/>
        </w:rPr>
        <w:t xml:space="preserve"> get the data solid and verified first; keep re-checking AI against how the industry actually talks; build AI into daily tasks, not just chat; put real safety/oversight checks in place.</w:t>
      </w:r>
    </w:p>
    <w:p>
      <w:pPr>
        <w:pStyle w:val="ListBullet"/>
        <w:spacing w:after="120"/>
      </w:pPr>
      <w:r>
        <w:rPr>
          <w:color w:val="132018"/>
          <w:sz w:val="21"/>
        </w:rPr>
        <w:t>Named three industries with the most room to benefit: healthcare/life sciences, manufacturing/supply chain, and telecom/infrastructure.</w:t>
      </w:r>
    </w:p>
    <w:p>
      <w:pPr>
        <w:jc w:val="center"/>
      </w:pPr>
      <w:r>
        <w:drawing>
          <wp:inline xmlns:a="http://schemas.openxmlformats.org/drawingml/2006/main" xmlns:pic="http://schemas.openxmlformats.org/drawingml/2006/picture">
            <wp:extent cx="3657600" cy="2743200"/>
            <wp:docPr id="11" name="Picture 11"/>
            <wp:cNvGraphicFramePr>
              <a:graphicFrameLocks noChangeAspect="1"/>
            </wp:cNvGraphicFramePr>
            <a:graphic>
              <a:graphicData uri="http://schemas.openxmlformats.org/drawingml/2006/picture">
                <pic:pic>
                  <pic:nvPicPr>
                    <pic:cNvPr id="0" name="deepmind.jpg"/>
                    <pic:cNvPicPr/>
                  </pic:nvPicPr>
                  <pic:blipFill>
                    <a:blip r:embed="rId19"/>
                    <a:stretch>
                      <a:fillRect/>
                    </a:stretch>
                  </pic:blipFill>
                  <pic:spPr>
                    <a:xfrm>
                      <a:off x="0" y="0"/>
                      <a:ext cx="3657600" cy="2743200"/>
                    </a:xfrm>
                    <a:prstGeom prst="rect"/>
                  </pic:spPr>
                </pic:pic>
              </a:graphicData>
            </a:graphic>
          </wp:inline>
        </w:drawing>
      </w:r>
    </w:p>
    <w:p>
      <w:pPr>
        <w:spacing w:after="200"/>
        <w:jc w:val="center"/>
      </w:pPr>
      <w:r>
        <w:rPr>
          <w:i/>
          <w:color w:val="7C8B7F"/>
          <w:sz w:val="17"/>
        </w:rPr>
        <w:t>DeepMind's framing: AI transformation succeeds or fails as a systems-level exercise.</w:t>
      </w:r>
    </w:p>
    <w:p>
      <w:pPr>
        <w:shd w:val="clear" w:color="auto" w:fill="F1E8D4"/>
        <w:spacing w:before="120" w:after="120"/>
        <w:ind w:left="113"/>
      </w:pPr>
      <w:r>
        <w:rPr>
          <w:b/>
          <w:color w:val="6B5320"/>
          <w:sz w:val="17"/>
        </w:rPr>
        <w:t xml:space="preserve">VISION 2030 PILLAR(S): </w:t>
      </w:r>
      <w:r>
        <w:rPr>
          <w:color w:val="132018"/>
          <w:sz w:val="19"/>
        </w:rPr>
        <w:t>Future Ready | Global Partnership Engagement</w:t>
      </w:r>
    </w:p>
    <w:p>
      <w:pPr>
        <w:spacing w:before="160" w:after="60"/>
      </w:pPr>
      <w:r>
        <w:rPr>
          <w:b/>
          <w:color w:val="3B5B7A"/>
          <w:sz w:val="18"/>
        </w:rPr>
        <w:t>INSIGHT</w:t>
      </w:r>
    </w:p>
    <w:p>
      <w:pPr>
        <w:spacing w:after="80"/>
      </w:pPr>
      <w:r>
        <w:rPr>
          <w:i/>
          <w:color w:val="48584D"/>
          <w:sz w:val="21"/>
        </w:rPr>
        <w:t>What stood out is that DeepMind opened with their slowest, least flashy work, predicting protein shapes, instead of a chatbot trick. It felt like "we do not need a gimmick, our stuff actually works." Good habit to copy: ask any vendor to show their most boring, most tested work, not their flashiest demo.</w:t>
      </w:r>
    </w:p>
    <w:p>
      <w:pPr>
        <w:spacing w:before="160" w:after="60"/>
      </w:pPr>
      <w:r>
        <w:rPr>
          <w:b/>
          <w:color w:val="0C5C3D"/>
          <w:sz w:val="18"/>
        </w:rPr>
        <w:t>TAKEAWAY</w:t>
      </w:r>
    </w:p>
    <w:p>
      <w:pPr>
        <w:shd w:val="clear" w:color="auto" w:fill="E6EFE4"/>
        <w:spacing w:before="40" w:after="200"/>
        <w:ind w:left="113"/>
      </w:pPr>
      <w:r>
        <w:rPr>
          <w:b/>
          <w:color w:val="08291A"/>
          <w:sz w:val="21"/>
        </w:rPr>
        <w:t>80% of AI projects never really launch, and it comes down to messy data and weak habits, not bad AI. DeepMind also offers some research tools free to schools, worth someone looking into. Ties to takeaways #1 and #2: data first, and testing well does not equal working at scale.</w:t>
      </w:r>
    </w:p>
    <w:p>
      <w:pPr>
        <w:spacing w:after="40"/>
      </w:pPr>
    </w:p>
    <w:p>
      <w:pPr>
        <w:pBdr>
          <w:bottom w:val="single" w:sz="6" w:space="1" w:color="DFE3DC"/>
        </w:pBdr>
      </w:pPr>
    </w:p>
    <w:p/>
    <w:p>
      <w:r>
        <w:rPr>
          <w:rFonts w:ascii="Avenir Next" w:hAnsi="Avenir Next"/>
          <w:b/>
          <w:color w:val="132018"/>
          <w:sz w:val="25"/>
        </w:rPr>
        <w:t>The Present and Future of Payment in the Age of AI</w:t>
      </w:r>
    </w:p>
    <w:p>
      <w:pPr>
        <w:spacing w:after="40"/>
      </w:pPr>
      <w:r>
        <w:rPr>
          <w:i/>
          <w:color w:val="7C8B7F"/>
          <w:sz w:val="19"/>
        </w:rPr>
        <w:t>AI 기술과 만난 결제(Payment)의 현재와 미래</w:t>
      </w:r>
    </w:p>
    <w:p>
      <w:pPr>
        <w:spacing w:after="80"/>
      </w:pPr>
      <w:r>
        <w:rPr>
          <w:i/>
          <w:color w:val="08291A"/>
          <w:sz w:val="19"/>
        </w:rPr>
        <w:t>Sunghee An — Executive Director, Shinhan Card AX Research Institute  |  14:00-14:30, Track A</w:t>
      </w:r>
    </w:p>
    <w:p>
      <w:pPr>
        <w:spacing w:before="160" w:after="60"/>
      </w:pPr>
      <w:r>
        <w:rPr>
          <w:b/>
          <w:color w:val="0C5C3D"/>
          <w:sz w:val="18"/>
        </w:rPr>
        <w:t>HIGHLIGHTS</w:t>
      </w:r>
    </w:p>
    <w:p>
      <w:pPr>
        <w:pStyle w:val="ListBullet"/>
        <w:spacing w:after="120"/>
      </w:pPr>
      <w:r>
        <w:rPr>
          <w:color w:val="132018"/>
          <w:sz w:val="21"/>
        </w:rPr>
        <w:t>Mapped the competition across four player types: AI companies partnering into payments (OpenAI + Stripe, Google), existing wallets (KakaoPay, NaverPay, Samsung Pay), online retailers (Amazon, Walmart), and card networks (Mastercard, Visa).</w:t>
      </w:r>
    </w:p>
    <w:p>
      <w:pPr>
        <w:pStyle w:val="ListBullet"/>
        <w:spacing w:after="120"/>
      </w:pPr>
      <w:r>
        <w:rPr>
          <w:color w:val="132018"/>
          <w:sz w:val="21"/>
        </w:rPr>
        <w:t>Introduced Shinhan's own "Agent Pay" pilot — AI agents managing payments on a customer's behalf.</w:t>
      </w:r>
    </w:p>
    <w:p>
      <w:pPr>
        <w:jc w:val="center"/>
      </w:pPr>
      <w:r>
        <w:drawing>
          <wp:inline xmlns:a="http://schemas.openxmlformats.org/drawingml/2006/main" xmlns:pic="http://schemas.openxmlformats.org/drawingml/2006/picture">
            <wp:extent cx="3657600" cy="4876800"/>
            <wp:docPr id="12" name="Picture 12"/>
            <wp:cNvGraphicFramePr>
              <a:graphicFrameLocks noChangeAspect="1"/>
            </wp:cNvGraphicFramePr>
            <a:graphic>
              <a:graphicData uri="http://schemas.openxmlformats.org/drawingml/2006/picture">
                <pic:pic>
                  <pic:nvPicPr>
                    <pic:cNvPr id="0" name="shinhan.jpg"/>
                    <pic:cNvPicPr/>
                  </pic:nvPicPr>
                  <pic:blipFill>
                    <a:blip r:embed="rId20"/>
                    <a:stretch>
                      <a:fillRect/>
                    </a:stretch>
                  </pic:blipFill>
                  <pic:spPr>
                    <a:xfrm>
                      <a:off x="0" y="0"/>
                      <a:ext cx="3657600" cy="4876800"/>
                    </a:xfrm>
                    <a:prstGeom prst="rect"/>
                  </pic:spPr>
                </pic:pic>
              </a:graphicData>
            </a:graphic>
          </wp:inline>
        </w:drawing>
      </w:r>
    </w:p>
    <w:p>
      <w:pPr>
        <w:spacing w:after="200"/>
        <w:jc w:val="center"/>
      </w:pPr>
      <w:r>
        <w:rPr>
          <w:i/>
          <w:color w:val="7C8B7F"/>
          <w:sz w:val="17"/>
        </w:rPr>
        <w:t>Shinhan Card's map of AI entering payments from four directions at once.</w:t>
      </w:r>
    </w:p>
    <w:p>
      <w:pPr>
        <w:shd w:val="clear" w:color="auto" w:fill="F1E8D4"/>
        <w:spacing w:before="120" w:after="120"/>
        <w:ind w:left="113"/>
      </w:pPr>
      <w:r>
        <w:rPr>
          <w:b/>
          <w:color w:val="6B5320"/>
          <w:sz w:val="17"/>
        </w:rPr>
        <w:t xml:space="preserve">VISION 2030 PILLAR(S): </w:t>
      </w:r>
      <w:r>
        <w:rPr>
          <w:color w:val="132018"/>
          <w:sz w:val="19"/>
        </w:rPr>
        <w:t>Financial Growth | Global Partnership Engagement</w:t>
      </w:r>
    </w:p>
    <w:p>
      <w:pPr>
        <w:spacing w:before="160" w:after="60"/>
      </w:pPr>
      <w:r>
        <w:rPr>
          <w:b/>
          <w:color w:val="3B5B7A"/>
          <w:sz w:val="18"/>
        </w:rPr>
        <w:t>INSIGHT</w:t>
      </w:r>
    </w:p>
    <w:p>
      <w:pPr>
        <w:spacing w:after="80"/>
      </w:pPr>
      <w:r>
        <w:rPr>
          <w:i/>
          <w:color w:val="48584D"/>
          <w:sz w:val="21"/>
        </w:rPr>
        <w:t>Four completely different types of companies are racing into AI payments at once. That usually means something real is happening, but nobody has actually won yet. For our own Finance office, this is more "keep watching" than "act now."</w:t>
      </w:r>
    </w:p>
    <w:p>
      <w:pPr>
        <w:spacing w:before="160" w:after="60"/>
      </w:pPr>
      <w:r>
        <w:rPr>
          <w:b/>
          <w:color w:val="0C5C3D"/>
          <w:sz w:val="18"/>
        </w:rPr>
        <w:t>TAKEAWAY</w:t>
      </w:r>
    </w:p>
    <w:p>
      <w:pPr>
        <w:shd w:val="clear" w:color="auto" w:fill="E6EFE4"/>
        <w:spacing w:before="40" w:after="200"/>
        <w:ind w:left="113"/>
      </w:pPr>
      <w:r>
        <w:rPr>
          <w:b/>
          <w:color w:val="08291A"/>
          <w:sz w:val="21"/>
        </w:rPr>
        <w:t>AI is showing up in payments from every direction at once, worth Finance keeping an eye on since tuition and financial aid could eventually be touched by this, but no need to rush into anything.</w:t>
      </w:r>
    </w:p>
    <w:p>
      <w:pPr>
        <w:spacing w:after="40"/>
      </w:pPr>
    </w:p>
    <w:p>
      <w:pPr>
        <w:pBdr>
          <w:bottom w:val="single" w:sz="6" w:space="1" w:color="DFE3DC"/>
        </w:pBdr>
      </w:pPr>
    </w:p>
    <w:p/>
    <w:p>
      <w:r>
        <w:rPr>
          <w:rFonts w:ascii="Avenir Next" w:hAnsi="Avenir Next"/>
          <w:b/>
          <w:color w:val="132018"/>
          <w:sz w:val="25"/>
        </w:rPr>
        <w:t>Decisions vs. Tasks: What Agentic AI Actually Means in Operations</w:t>
      </w:r>
    </w:p>
    <w:p>
      <w:pPr>
        <w:spacing w:after="80"/>
      </w:pPr>
      <w:r>
        <w:rPr>
          <w:i/>
          <w:color w:val="08291A"/>
          <w:sz w:val="19"/>
        </w:rPr>
        <w:t>Prerit Mishra — Domain Director, Data Tools, DHL  |  14:30-15:00, Track A</w:t>
      </w:r>
    </w:p>
    <w:p>
      <w:pPr>
        <w:spacing w:before="160" w:after="60"/>
      </w:pPr>
      <w:r>
        <w:rPr>
          <w:b/>
          <w:color w:val="0C5C3D"/>
          <w:sz w:val="18"/>
        </w:rPr>
        <w:t>HIGHLIGHTS</w:t>
      </w:r>
    </w:p>
    <w:p>
      <w:pPr>
        <w:pStyle w:val="ListBullet"/>
        <w:spacing w:after="120"/>
      </w:pPr>
      <w:r>
        <w:rPr>
          <w:color w:val="132018"/>
          <w:sz w:val="21"/>
        </w:rPr>
        <w:t>Captured via stage/slide photos only; the full argument wasn't recovered from the source images.</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Even with limited notes from this one, the main point stuck: doing a task for someone (drafting a reply) is very different from making a decision for them (approving an appeal). Before we approve any new AI tool, we should just ask plainly which one it is actually doing.</w:t>
      </w:r>
    </w:p>
    <w:p>
      <w:r>
        <w:rPr>
          <w:i/>
          <w:color w:val="7C8B7F"/>
          <w:sz w:val="18"/>
        </w:rPr>
        <w:t>Worth following up on if a fuller recording turns up.</w:t>
      </w:r>
    </w:p>
    <w:p>
      <w:pPr>
        <w:spacing w:after="40"/>
      </w:pPr>
    </w:p>
    <w:p>
      <w:pPr>
        <w:pBdr>
          <w:bottom w:val="single" w:sz="6" w:space="1" w:color="DFE3DC"/>
        </w:pBdr>
      </w:pPr>
    </w:p>
    <w:p/>
    <w:p>
      <w:r>
        <w:rPr>
          <w:rFonts w:ascii="Avenir Next" w:hAnsi="Avenir Next"/>
          <w:b/>
          <w:color w:val="132018"/>
          <w:sz w:val="25"/>
        </w:rPr>
        <w:t>Panel: Hidden Bottlenecks in Enterprise AI — Data Quality, Governance, and Reality</w:t>
      </w:r>
    </w:p>
    <w:p>
      <w:pPr>
        <w:spacing w:after="40"/>
      </w:pPr>
      <w:r>
        <w:rPr>
          <w:i/>
          <w:color w:val="7C8B7F"/>
          <w:sz w:val="19"/>
        </w:rPr>
        <w:t>엔터프라이즈 AI의 숨겨진 병목: 데이터 품질, 거버넌스, 그리고 현실</w:t>
      </w:r>
    </w:p>
    <w:p>
      <w:pPr>
        <w:spacing w:after="80"/>
      </w:pPr>
      <w:r>
        <w:rPr>
          <w:i/>
          <w:color w:val="08291A"/>
          <w:sz w:val="19"/>
        </w:rPr>
        <w:t>Moderator: Yong-hwan Lee, Deputy CEO, Samil PwC  |  Yong-won Choi, Head of AI Strategy Center, Woori Financial Group  |  Yoon-hee Hwang, Executive Director, LG Electronics  |  16:10-16:40, Track D</w:t>
      </w:r>
    </w:p>
    <w:p>
      <w:pPr>
        <w:spacing w:before="160" w:after="60"/>
      </w:pPr>
      <w:r>
        <w:rPr>
          <w:b/>
          <w:color w:val="0C5C3D"/>
          <w:sz w:val="18"/>
        </w:rPr>
        <w:t>HIGHLIGHTS</w:t>
      </w:r>
    </w:p>
    <w:p>
      <w:pPr>
        <w:pStyle w:val="ListBullet"/>
        <w:spacing w:after="120"/>
      </w:pPr>
      <w:r>
        <w:rPr>
          <w:color w:val="132018"/>
          <w:sz w:val="21"/>
        </w:rPr>
        <w:t>Named the real bottleneck of the last 2-3 years as that exact moment — someone senior has to approve scaling a pilot that already works.</w:t>
      </w:r>
    </w:p>
    <w:p>
      <w:pPr>
        <w:pStyle w:val="ListBullet"/>
        <w:spacing w:after="120"/>
      </w:pPr>
      <w:r>
        <w:rPr>
          <w:color w:val="132018"/>
          <w:sz w:val="21"/>
        </w:rPr>
        <w:t>Used a gold-rush comparison: in past tech waves, the money went to companies selling infrastructure, not most people trying to use it.</w:t>
      </w:r>
    </w:p>
    <w:p>
      <w:pPr>
        <w:pStyle w:val="ListBullet"/>
        <w:spacing w:after="120"/>
      </w:pPr>
      <w:r>
        <w:rPr>
          <w:color w:val="132018"/>
          <w:sz w:val="21"/>
        </w:rPr>
        <w:t>Debated whether AI agents should be managed like software accounts or like digital employees with defined roles — an open question.</w:t>
      </w:r>
    </w:p>
    <w:p>
      <w:pPr>
        <w:pStyle w:val="ListBullet"/>
        <w:spacing w:after="120"/>
      </w:pPr>
      <w:r>
        <w:rPr>
          <w:color w:val="132018"/>
          <w:sz w:val="21"/>
        </w:rPr>
        <w:t>LG Electronics described a common trap: a "plain-English database search" tool that worked great in testing broke down once scaled to thousands of real tables.</w:t>
      </w:r>
    </w:p>
    <w:p>
      <w:pPr>
        <w:pStyle w:val="ListBullet"/>
        <w:spacing w:after="120"/>
      </w:pPr>
      <w:r>
        <w:rPr>
          <w:color w:val="132018"/>
          <w:sz w:val="21"/>
        </w:rPr>
        <w:t>Closing advice: pair every AI rollout with an actual redesign of the process and people's roles — don't just bolt AI onto how things already work.</w:t>
      </w:r>
    </w:p>
    <w:p>
      <w:pPr>
        <w:shd w:val="clear" w:color="auto" w:fill="F1E8D4"/>
        <w:spacing w:before="120" w:after="120"/>
        <w:ind w:left="113"/>
      </w:pPr>
      <w:r>
        <w:rPr>
          <w:b/>
          <w:color w:val="6B5320"/>
          <w:sz w:val="17"/>
        </w:rPr>
        <w:t xml:space="preserve">VISION 2030 PILLAR(S): </w:t>
      </w:r>
      <w:r>
        <w:rPr>
          <w:color w:val="132018"/>
          <w:sz w:val="19"/>
        </w:rPr>
        <w:t>Future Ready | Financial Growth</w:t>
      </w:r>
    </w:p>
    <w:p>
      <w:pPr>
        <w:spacing w:before="160" w:after="60"/>
      </w:pPr>
      <w:r>
        <w:rPr>
          <w:b/>
          <w:color w:val="3B5B7A"/>
          <w:sz w:val="18"/>
        </w:rPr>
        <w:t>INSIGHT</w:t>
      </w:r>
    </w:p>
    <w:p>
      <w:pPr>
        <w:spacing w:after="80"/>
      </w:pPr>
      <w:r>
        <w:rPr>
          <w:i/>
          <w:color w:val="48584D"/>
          <w:sz w:val="21"/>
        </w:rPr>
        <w:t>What struck me here: the biggest reason AI projects stall is not the tech, it is that nobody senior wants to be the one to say yes, scale it up. LG also mentioned a tool that worked fine in testing but broke once it hit real scale, which probably makes leadership even more hesitant to approve the next one. We should fix both at once, not wait for one before starting the other.</w:t>
      </w:r>
    </w:p>
    <w:p>
      <w:pPr>
        <w:spacing w:before="160" w:after="60"/>
      </w:pPr>
      <w:r>
        <w:rPr>
          <w:b/>
          <w:color w:val="0C5C3D"/>
          <w:sz w:val="18"/>
        </w:rPr>
        <w:t>TAKEAWAY</w:t>
      </w:r>
    </w:p>
    <w:p>
      <w:pPr>
        <w:shd w:val="clear" w:color="auto" w:fill="E6EFE4"/>
        <w:spacing w:before="40" w:after="200"/>
        <w:ind w:left="113"/>
      </w:pPr>
      <w:r>
        <w:rPr>
          <w:b/>
          <w:color w:val="08291A"/>
          <w:sz w:val="21"/>
        </w:rPr>
        <w:t>The biggest blocker was not the AI, it was nobody wanting to be the one to approve scaling it up. We should name that person for every pilot from day one, not scramble to find them once a pilot is ready to grow. This is takeaway #6, word for word: adoption is a courage problem.</w:t>
      </w:r>
    </w:p>
    <w:p>
      <w:pPr>
        <w:spacing w:after="40"/>
      </w:pPr>
    </w:p>
    <w:p>
      <w:pPr>
        <w:pBdr>
          <w:bottom w:val="single" w:sz="6" w:space="1" w:color="DFE3DC"/>
        </w:pBdr>
      </w:pPr>
    </w:p>
    <w:p/>
    <w:p>
      <w:r>
        <w:rPr>
          <w:rFonts w:ascii="Avenir Next" w:hAnsi="Avenir Next"/>
          <w:b/>
          <w:color w:val="132018"/>
          <w:sz w:val="25"/>
        </w:rPr>
        <w:t>Panel, continued: AI Governance in Manufacturing</w:t>
      </w:r>
    </w:p>
    <w:p>
      <w:pPr>
        <w:spacing w:after="80"/>
      </w:pPr>
      <w:r>
        <w:rPr>
          <w:i/>
          <w:color w:val="08291A"/>
          <w:sz w:val="19"/>
        </w:rPr>
        <w:t>Same Track D panel as above — manufacturing-specific portion led by Yoon-hee Hwang, LG Electronics</w:t>
      </w:r>
    </w:p>
    <w:p>
      <w:pPr>
        <w:spacing w:before="160" w:after="60"/>
      </w:pPr>
      <w:r>
        <w:rPr>
          <w:b/>
          <w:color w:val="0C5C3D"/>
          <w:sz w:val="18"/>
        </w:rPr>
        <w:t>HIGHLIGHTS</w:t>
      </w:r>
    </w:p>
    <w:p>
      <w:pPr>
        <w:pStyle w:val="ListBullet"/>
        <w:spacing w:after="120"/>
      </w:pPr>
      <w:r>
        <w:rPr>
          <w:color w:val="132018"/>
          <w:sz w:val="21"/>
        </w:rPr>
        <w:t>Named the core difficulty as turning knowledge that lives only in experienced staff's heads into shared, written data.</w:t>
      </w:r>
    </w:p>
    <w:p>
      <w:pPr>
        <w:pStyle w:val="ListBullet"/>
        <w:spacing w:after="120"/>
      </w:pPr>
      <w:r>
        <w:rPr>
          <w:color w:val="132018"/>
          <w:sz w:val="21"/>
        </w:rPr>
        <w:t>Raised real cost pressure from cheaper competitors and the difficulty of hiring skilled on-site staff internationally as reasons manufacturers are turning to AI.</w:t>
      </w:r>
    </w:p>
    <w:p>
      <w:pPr>
        <w:pStyle w:val="ListBullet"/>
        <w:spacing w:after="120"/>
      </w:pPr>
      <w:r>
        <w:rPr>
          <w:color w:val="132018"/>
          <w:sz w:val="21"/>
        </w:rPr>
        <w:t>Closed with a candid point: when agents absorb roughly half a team's old workload, the goal isn't to cut the team — it's to move them to work the tools still can't do.</w:t>
      </w:r>
    </w:p>
    <w:p>
      <w:pPr>
        <w:shd w:val="clear" w:color="auto" w:fill="F1E8D4"/>
        <w:spacing w:before="120" w:after="120"/>
        <w:ind w:left="113"/>
      </w:pPr>
      <w:r>
        <w:rPr>
          <w:b/>
          <w:color w:val="6B5320"/>
          <w:sz w:val="17"/>
        </w:rPr>
        <w:t xml:space="preserve">VISION 2030 PILLAR(S): </w:t>
      </w:r>
      <w:r>
        <w:rPr>
          <w:color w:val="132018"/>
          <w:sz w:val="19"/>
        </w:rPr>
        <w:t>Future Ready</w:t>
      </w:r>
    </w:p>
    <w:p>
      <w:pPr>
        <w:spacing w:before="160" w:after="60"/>
      </w:pPr>
      <w:r>
        <w:rPr>
          <w:b/>
          <w:color w:val="3B5B7A"/>
          <w:sz w:val="18"/>
        </w:rPr>
        <w:t>INSIGHT</w:t>
      </w:r>
    </w:p>
    <w:p>
      <w:pPr>
        <w:spacing w:after="80"/>
      </w:pPr>
      <w:r>
        <w:rPr>
          <w:i/>
          <w:color w:val="48584D"/>
          <w:sz w:val="21"/>
        </w:rPr>
        <w:t>This one hit close to home. A lot of what makes a school actually run well lives in the heads of a few long-time staff, a registrar who just knows how to handle a weird case, an advisor who has seen every version of a tricky appeal. Before any AI tool can help with that kind of judgment call, someone has to write that knowledge down first. That is slow, unglamorous work, and it comes before the AI, not after.</w:t>
      </w:r>
    </w:p>
    <w:p>
      <w:pPr>
        <w:spacing w:before="160" w:after="60"/>
      </w:pPr>
      <w:r>
        <w:rPr>
          <w:b/>
          <w:color w:val="0C5C3D"/>
          <w:sz w:val="18"/>
        </w:rPr>
        <w:t>TAKEAWAY</w:t>
      </w:r>
    </w:p>
    <w:p>
      <w:pPr>
        <w:shd w:val="clear" w:color="auto" w:fill="E6EFE4"/>
        <w:spacing w:before="40" w:after="200"/>
        <w:ind w:left="113"/>
      </w:pPr>
      <w:r>
        <w:rPr>
          <w:b/>
          <w:color w:val="08291A"/>
          <w:sz w:val="21"/>
        </w:rPr>
        <w:t>Before any AI tool can help with the tricky judgment calls our staff make, we need to write that knowledge down first. True for registrar, advising, and financial-aid offices especially. This is takeaway #4, word for word: tacit knowledge is the new gold.</w:t>
      </w:r>
    </w:p>
    <w:p>
      <w:pPr>
        <w:spacing w:after="40"/>
      </w:pPr>
    </w:p>
    <w:p>
      <w:pPr>
        <w:pBdr>
          <w:bottom w:val="single" w:sz="6" w:space="1" w:color="DFE3DC"/>
        </w:pBdr>
      </w:pPr>
    </w:p>
    <w:p/>
    <w:p>
      <w:r>
        <w:rPr>
          <w:rFonts w:ascii="Avenir Next" w:hAnsi="Avenir Next"/>
          <w:b/>
          <w:color w:val="132018"/>
          <w:sz w:val="25"/>
        </w:rPr>
        <w:t>Agentic AI Strategies for Building Digital Resilience</w:t>
      </w:r>
    </w:p>
    <w:p>
      <w:pPr>
        <w:spacing w:after="40"/>
      </w:pPr>
      <w:r>
        <w:rPr>
          <w:i/>
          <w:color w:val="7C8B7F"/>
          <w:sz w:val="19"/>
        </w:rPr>
        <w:t>디지털 레질리언스 구축을 위한 에이전틱 AI 전략</w:t>
      </w:r>
    </w:p>
    <w:p>
      <w:pPr>
        <w:spacing w:after="80"/>
      </w:pPr>
      <w:r>
        <w:rPr>
          <w:i/>
          <w:color w:val="08291A"/>
          <w:sz w:val="19"/>
        </w:rPr>
        <w:t>Hun-jun Kim — Executive Director, Splunk (a Cisco company)  |  15:00-15:20, Track A</w:t>
      </w:r>
    </w:p>
    <w:p>
      <w:pPr>
        <w:spacing w:before="160" w:after="60"/>
      </w:pPr>
      <w:r>
        <w:rPr>
          <w:b/>
          <w:color w:val="0C5C3D"/>
          <w:sz w:val="18"/>
        </w:rPr>
        <w:t>HIGHLIGHTS</w:t>
      </w:r>
    </w:p>
    <w:p>
      <w:pPr>
        <w:pStyle w:val="ListBullet"/>
        <w:spacing w:after="120"/>
      </w:pPr>
      <w:r>
        <w:rPr>
          <w:color w:val="132018"/>
          <w:sz w:val="21"/>
        </w:rPr>
        <w:t>Presented a shared data pipeline routing machine/system data into one low-cost store, then feeding AI training, compliance, security monitoring, incident response, and everyday AI agents from that single source.</w:t>
      </w:r>
    </w:p>
    <w:p>
      <w:pPr>
        <w:pStyle w:val="ListBullet"/>
        <w:spacing w:after="120"/>
      </w:pPr>
      <w:r>
        <w:rPr>
          <w:color w:val="132018"/>
          <w:sz w:val="21"/>
        </w:rPr>
        <w:t>Made the same point as the DeepMind talk from a different angle: one well-governed data foundation is the prerequisite for AI and security to work well together.</w:t>
      </w:r>
    </w:p>
    <w:p>
      <w:pPr>
        <w:jc w:val="center"/>
      </w:pPr>
      <w:r>
        <w:drawing>
          <wp:inline xmlns:a="http://schemas.openxmlformats.org/drawingml/2006/main" xmlns:pic="http://schemas.openxmlformats.org/drawingml/2006/picture">
            <wp:extent cx="3657600" cy="2743200"/>
            <wp:docPr id="13" name="Picture 13"/>
            <wp:cNvGraphicFramePr>
              <a:graphicFrameLocks noChangeAspect="1"/>
            </wp:cNvGraphicFramePr>
            <a:graphic>
              <a:graphicData uri="http://schemas.openxmlformats.org/drawingml/2006/picture">
                <pic:pic>
                  <pic:nvPicPr>
                    <pic:cNvPr id="0" name="cisco.jpg"/>
                    <pic:cNvPicPr/>
                  </pic:nvPicPr>
                  <pic:blipFill>
                    <a:blip r:embed="rId21"/>
                    <a:stretch>
                      <a:fillRect/>
                    </a:stretch>
                  </pic:blipFill>
                  <pic:spPr>
                    <a:xfrm>
                      <a:off x="0" y="0"/>
                      <a:ext cx="3657600" cy="2743200"/>
                    </a:xfrm>
                    <a:prstGeom prst="rect"/>
                  </pic:spPr>
                </pic:pic>
              </a:graphicData>
            </a:graphic>
          </wp:inline>
        </w:drawing>
      </w:r>
    </w:p>
    <w:p>
      <w:pPr>
        <w:spacing w:after="200"/>
        <w:jc w:val="center"/>
      </w:pPr>
      <w:r>
        <w:rPr>
          <w:i/>
          <w:color w:val="7C8B7F"/>
          <w:sz w:val="17"/>
        </w:rPr>
        <w:t>One shared data foundation feeding security, compliance, and AI agents alike.</w:t>
      </w:r>
    </w:p>
    <w:p>
      <w:pPr>
        <w:shd w:val="clear" w:color="auto" w:fill="F1E8D4"/>
        <w:spacing w:before="120" w:after="120"/>
        <w:ind w:left="113"/>
      </w:pPr>
      <w:r>
        <w:rPr>
          <w:b/>
          <w:color w:val="6B5320"/>
          <w:sz w:val="17"/>
        </w:rPr>
        <w:t xml:space="preserve">VISION 2030 PILLAR(S): </w:t>
      </w:r>
      <w:r>
        <w:rPr>
          <w:color w:val="132018"/>
          <w:sz w:val="19"/>
        </w:rPr>
        <w:t>Future Ready | Enhanced Reputation and Branding</w:t>
      </w:r>
    </w:p>
    <w:p>
      <w:pPr>
        <w:spacing w:before="160" w:after="60"/>
      </w:pPr>
      <w:r>
        <w:rPr>
          <w:b/>
          <w:color w:val="3B5B7A"/>
          <w:sz w:val="18"/>
        </w:rPr>
        <w:t>INSIGHT</w:t>
      </w:r>
    </w:p>
    <w:p>
      <w:pPr>
        <w:spacing w:after="80"/>
      </w:pPr>
      <w:r>
        <w:rPr>
          <w:i/>
          <w:color w:val="48584D"/>
          <w:sz w:val="21"/>
        </w:rPr>
        <w:t>Simple idea: instead of three separate systems for security, compliance, and AI, build one shared setup that feeds all three. For a school with a small IT team, that is genuinely useful, less to maintain. The one thing to figure out ahead of time is who responds when something breaks and it is not obvious if it is a security issue or an AI glitch.</w:t>
      </w:r>
    </w:p>
    <w:p>
      <w:pPr>
        <w:spacing w:before="160" w:after="60"/>
      </w:pPr>
      <w:r>
        <w:rPr>
          <w:b/>
          <w:color w:val="0C5C3D"/>
          <w:sz w:val="18"/>
        </w:rPr>
        <w:t>TAKEAWAY</w:t>
      </w:r>
    </w:p>
    <w:p>
      <w:pPr>
        <w:shd w:val="clear" w:color="auto" w:fill="E6EFE4"/>
        <w:spacing w:before="40" w:after="200"/>
        <w:ind w:left="113"/>
      </w:pPr>
      <w:r>
        <w:rPr>
          <w:b/>
          <w:color w:val="08291A"/>
          <w:sz w:val="21"/>
        </w:rPr>
        <w:t>Running AI and cybersecurity on one shared, well-kept system is smart for a small IT team, and it protects our reputation too, a public failure looks the same to outsiders either way. Ties to takeaway #7: silos slow AI more than compute ever will.</w:t>
      </w:r>
    </w:p>
    <w:p>
      <w:pPr>
        <w:spacing w:after="40"/>
      </w:pPr>
    </w:p>
    <w:p>
      <w:pPr>
        <w:pBdr>
          <w:bottom w:val="single" w:sz="6" w:space="1" w:color="DFE3DC"/>
        </w:pBdr>
      </w:pPr>
    </w:p>
    <w:p/>
    <w:p>
      <w:r>
        <w:rPr>
          <w:rFonts w:ascii="Avenir Next" w:hAnsi="Avenir Next"/>
          <w:b/>
          <w:color w:val="132018"/>
          <w:sz w:val="25"/>
        </w:rPr>
        <w:t>From Intuition to Intelligence: How AI Has Redefined Revenue Growth</w:t>
      </w:r>
    </w:p>
    <w:p>
      <w:pPr>
        <w:spacing w:after="40"/>
      </w:pPr>
      <w:r>
        <w:rPr>
          <w:i/>
          <w:color w:val="7C8B7F"/>
          <w:sz w:val="19"/>
        </w:rPr>
        <w:t>세일즈 과학의 혁명: AI는 영업을 어떻게 바꼈는가</w:t>
      </w:r>
    </w:p>
    <w:p>
      <w:pPr>
        <w:spacing w:after="80"/>
      </w:pPr>
      <w:r>
        <w:rPr>
          <w:i/>
          <w:color w:val="08291A"/>
          <w:sz w:val="19"/>
        </w:rPr>
        <w:t>Barra O Briain — Head of APEC Sales, Gong</w:t>
      </w:r>
    </w:p>
    <w:p>
      <w:pPr>
        <w:spacing w:before="160" w:after="60"/>
      </w:pPr>
      <w:r>
        <w:rPr>
          <w:b/>
          <w:color w:val="0C5C3D"/>
          <w:sz w:val="18"/>
        </w:rPr>
        <w:t>HIGHLIGHTS</w:t>
      </w:r>
    </w:p>
    <w:p>
      <w:pPr>
        <w:pStyle w:val="ListBullet"/>
        <w:spacing w:after="120"/>
      </w:pPr>
      <w:r>
        <w:rPr>
          <w:color w:val="132018"/>
          <w:sz w:val="21"/>
        </w:rPr>
        <w:t>Cited a PwC study: 74% of AI's business value goes to just 20% of companies — because they redesigned how they work around it and invested in more oversight, not less.</w:t>
      </w:r>
    </w:p>
    <w:p>
      <w:pPr>
        <w:pStyle w:val="ListBullet"/>
        <w:spacing w:after="120"/>
      </w:pPr>
      <w:r>
        <w:rPr>
          <w:color w:val="132018"/>
          <w:sz w:val="21"/>
        </w:rPr>
        <w:t>Contrasted an 88% AI-adoption figure with a separate finding that 60% of AI projects are on track to miss their goals — "everyone has the tool, almost no one has the value."</w:t>
      </w:r>
    </w:p>
    <w:p>
      <w:pPr>
        <w:pStyle w:val="ListBullet"/>
        <w:spacing w:after="120"/>
      </w:pPr>
      <w:r>
        <w:rPr>
          <w:color w:val="132018"/>
          <w:sz w:val="21"/>
        </w:rPr>
        <w:t>Proposed a formula for a real AI win: time saved times how much better the actual outcome is. Most companies stop at the "time saved" half.</w:t>
      </w:r>
    </w:p>
    <w:p>
      <w:pPr>
        <w:pStyle w:val="ListBullet"/>
        <w:spacing w:after="120"/>
      </w:pPr>
      <w:r>
        <w:rPr>
          <w:color w:val="132018"/>
          <w:sz w:val="21"/>
        </w:rPr>
        <w:t>From analyzing millions of real sales calls: top-performing reps talk about 46% of the time versus 68% for average reps, and wait until later in the call to discuss price.</w:t>
      </w:r>
    </w:p>
    <w:p>
      <w:pPr>
        <w:pStyle w:val="ListBullet"/>
        <w:spacing w:after="120"/>
      </w:pPr>
      <w:r>
        <w:rPr>
          <w:color w:val="132018"/>
          <w:sz w:val="21"/>
        </w:rPr>
        <w:t>Cited customer results: roughly 10 hours a week given back per rep, 46-50% less time to ramp up new hires, and a self-reported 64% jump in productivity — with Anthropic named as one customer.</w:t>
      </w:r>
    </w:p>
    <w:p>
      <w:pPr>
        <w:jc w:val="center"/>
      </w:pPr>
      <w:r>
        <w:drawing>
          <wp:inline xmlns:a="http://schemas.openxmlformats.org/drawingml/2006/main" xmlns:pic="http://schemas.openxmlformats.org/drawingml/2006/picture">
            <wp:extent cx="3657600" cy="4876800"/>
            <wp:docPr id="14" name="Picture 14"/>
            <wp:cNvGraphicFramePr>
              <a:graphicFrameLocks noChangeAspect="1"/>
            </wp:cNvGraphicFramePr>
            <a:graphic>
              <a:graphicData uri="http://schemas.openxmlformats.org/drawingml/2006/picture">
                <pic:pic>
                  <pic:nvPicPr>
                    <pic:cNvPr id="0" name="gong.jpg"/>
                    <pic:cNvPicPr/>
                  </pic:nvPicPr>
                  <pic:blipFill>
                    <a:blip r:embed="rId22"/>
                    <a:stretch>
                      <a:fillRect/>
                    </a:stretch>
                  </pic:blipFill>
                  <pic:spPr>
                    <a:xfrm>
                      <a:off x="0" y="0"/>
                      <a:ext cx="3657600" cy="4876800"/>
                    </a:xfrm>
                    <a:prstGeom prst="rect"/>
                  </pic:spPr>
                </pic:pic>
              </a:graphicData>
            </a:graphic>
          </wp:inline>
        </w:drawing>
      </w:r>
    </w:p>
    <w:p>
      <w:pPr>
        <w:spacing w:after="200"/>
        <w:jc w:val="center"/>
      </w:pPr>
      <w:r>
        <w:rPr>
          <w:i/>
          <w:color w:val="7C8B7F"/>
          <w:sz w:val="17"/>
        </w:rPr>
        <w:t>Gong's closing credibility slide — company stats and industry-analyst rankings.</w:t>
      </w:r>
    </w:p>
    <w:p>
      <w:pPr>
        <w:shd w:val="clear" w:color="auto" w:fill="F1E8D4"/>
        <w:spacing w:before="120" w:after="120"/>
        <w:ind w:left="113"/>
      </w:pPr>
      <w:r>
        <w:rPr>
          <w:b/>
          <w:color w:val="6B5320"/>
          <w:sz w:val="17"/>
        </w:rPr>
        <w:t xml:space="preserve">VISION 2030 PILLAR(S): </w:t>
      </w:r>
      <w:r>
        <w:rPr>
          <w:color w:val="132018"/>
          <w:sz w:val="19"/>
        </w:rPr>
        <w:t>Enrollment Growth | Financial Growth</w:t>
      </w:r>
    </w:p>
    <w:p>
      <w:pPr>
        <w:spacing w:before="160" w:after="60"/>
      </w:pPr>
      <w:r>
        <w:rPr>
          <w:b/>
          <w:color w:val="3B5B7A"/>
          <w:sz w:val="18"/>
        </w:rPr>
        <w:t>INSIGHT</w:t>
      </w:r>
    </w:p>
    <w:p>
      <w:pPr>
        <w:spacing w:after="80"/>
      </w:pPr>
      <w:r>
        <w:rPr>
          <w:i/>
          <w:color w:val="48584D"/>
          <w:sz w:val="21"/>
        </w:rPr>
        <w:t>"Time saved times how much better the result is" sounds simple, but most companies, schools too, never actually agree ahead of time on what better even means. For our chatbot and advising tool, we need to decide upfront whether we are measuring the easy part (faster replies) or the part that actually matters (more students enrolling and staying), and build that measurement in from day one.</w:t>
      </w:r>
    </w:p>
    <w:p>
      <w:pPr>
        <w:spacing w:before="160" w:after="60"/>
      </w:pPr>
      <w:r>
        <w:rPr>
          <w:b/>
          <w:color w:val="0C5C3D"/>
          <w:sz w:val="18"/>
        </w:rPr>
        <w:t>TAKEAWAY</w:t>
      </w:r>
    </w:p>
    <w:p>
      <w:pPr>
        <w:shd w:val="clear" w:color="auto" w:fill="E6EFE4"/>
        <w:spacing w:before="40" w:after="200"/>
        <w:ind w:left="113"/>
      </w:pPr>
      <w:r>
        <w:rPr>
          <w:b/>
          <w:color w:val="08291A"/>
          <w:sz w:val="21"/>
        </w:rPr>
        <w:t>For our Recruitment Chatbot and Advising Agent, we should track both halves: time saved AND whether it actually helped students enroll or stay enrolled. Reporting only the first half to the Board is not the full picture. Ties to takeaway #9: people and process are the missing link, not just the AI.</w:t>
      </w:r>
    </w:p>
    <w:p>
      <w:pPr>
        <w:spacing w:after="40"/>
      </w:pPr>
    </w:p>
    <w:p>
      <w:pPr>
        <w:pBdr>
          <w:bottom w:val="single" w:sz="6" w:space="1" w:color="DFE3DC"/>
        </w:pBdr>
      </w:pPr>
    </w:p>
    <w:p/>
    <w:p>
      <w:r>
        <w:rPr>
          <w:rFonts w:ascii="Avenir Next" w:hAnsi="Avenir Next"/>
          <w:b/>
          <w:color w:val="132018"/>
          <w:sz w:val="25"/>
        </w:rPr>
        <w:t>Expo &amp; Workshop Showcase — Open All Three Days</w:t>
      </w:r>
    </w:p>
    <w:p>
      <w:pPr>
        <w:spacing w:after="80"/>
      </w:pPr>
      <w:r>
        <w:rPr>
          <w:i/>
          <w:color w:val="08291A"/>
          <w:sz w:val="19"/>
        </w:rPr>
        <w:t>Running the full length of the summit, Day 1 through Day 3 (Aug 19-21), Exhibition Hall B</w:t>
      </w:r>
    </w:p>
    <w:p>
      <w:r>
        <w:rPr>
          <w:i/>
          <w:color w:val="48584D"/>
          <w:sz w:val="20"/>
        </w:rPr>
        <w:t>While the keynotes and panels were packed into Day 1 (Aug 19) and Day 2 (Aug 20), the expo and hands-on workshop floor in Exhibition Hall B stayed open through Day 3 (Aug 21) as well. That third day gave attendees, and vendors, extra room for booth demos and workshop sessions that the two-day talk schedule couldn't fit. Worth remembering when we plan our own events: the "show floor" doesn't have to run on the same clock as the main stage.</w:t>
      </w:r>
    </w:p>
    <w:p/>
    <w:p>
      <w:pPr>
        <w:spacing w:before="160" w:after="60"/>
      </w:pPr>
      <w:r>
        <w:rPr>
          <w:b/>
          <w:color w:val="0C5C3D"/>
          <w:sz w:val="18"/>
        </w:rPr>
        <w:t>HIGHLIGHTS</w:t>
      </w:r>
    </w:p>
    <w:p>
      <w:pPr>
        <w:pStyle w:val="ListBullet"/>
        <w:spacing w:after="120"/>
      </w:pPr>
      <w:r>
        <w:rPr>
          <w:color w:val="132018"/>
          <w:sz w:val="21"/>
        </w:rPr>
      </w:r>
      <w:r>
        <w:rPr>
          <w:b/>
          <w:color w:val="08291A"/>
          <w:sz w:val="21"/>
        </w:rPr>
        <w:t>FAIN Robotics x AGIBOT</w:t>
      </w:r>
      <w:r>
        <w:rPr>
          <w:color w:val="132018"/>
          <w:sz w:val="21"/>
        </w:rPr>
        <w:t xml:space="preserve"> — their quadruped robot actually trotting around the demo floor, "Physical AI" made tangible, not just slides.</w:t>
      </w:r>
    </w:p>
    <w:p>
      <w:pPr>
        <w:pStyle w:val="ListBullet"/>
        <w:spacing w:after="120"/>
      </w:pPr>
      <w:r>
        <w:rPr>
          <w:color w:val="132018"/>
          <w:sz w:val="21"/>
        </w:rPr>
      </w:r>
      <w:r>
        <w:rPr>
          <w:b/>
          <w:color w:val="08291A"/>
          <w:sz w:val="21"/>
        </w:rPr>
        <w:t>Golden Gate University</w:t>
      </w:r>
      <w:r>
        <w:rPr>
          <w:color w:val="132018"/>
          <w:sz w:val="21"/>
        </w:rPr>
        <w:t xml:space="preserve"> — a fully online doctorate in Applied &amp; Agentic AI for working AI practitioners.</w:t>
      </w:r>
    </w:p>
    <w:p>
      <w:pPr>
        <w:pStyle w:val="ListBullet"/>
        <w:spacing w:after="120"/>
      </w:pPr>
      <w:r>
        <w:rPr>
          <w:color w:val="132018"/>
          <w:sz w:val="21"/>
        </w:rPr>
      </w:r>
      <w:r>
        <w:rPr>
          <w:b/>
          <w:color w:val="08291A"/>
          <w:sz w:val="21"/>
        </w:rPr>
        <w:t>Foretell My Health</w:t>
      </w:r>
      <w:r>
        <w:rPr>
          <w:color w:val="132018"/>
          <w:sz w:val="21"/>
        </w:rPr>
        <w:t xml:space="preserve"> — a blood-based AI cancer-screening startup, starting with ovarian cancer risk.</w:t>
      </w:r>
    </w:p>
    <w:p>
      <w:pPr>
        <w:pStyle w:val="ListBullet"/>
        <w:spacing w:after="120"/>
      </w:pPr>
      <w:r>
        <w:rPr>
          <w:color w:val="132018"/>
          <w:sz w:val="21"/>
        </w:rPr>
      </w:r>
      <w:r>
        <w:rPr>
          <w:b/>
          <w:color w:val="08291A"/>
          <w:sz w:val="21"/>
        </w:rPr>
        <w:t>NOVA — AI sign language avatar</w:t>
      </w:r>
      <w:r>
        <w:rPr>
          <w:color w:val="132018"/>
          <w:sz w:val="21"/>
        </w:rPr>
        <w:t xml:space="preserve"> — text or voice in, an AI-generated sign-language avatar out, already live on KTX kiosks, KakaoBank, and Seoul Medical Center.</w:t>
      </w:r>
    </w:p>
    <w:p>
      <w:pPr>
        <w:pStyle w:val="ListBullet"/>
        <w:spacing w:after="120"/>
      </w:pPr>
      <w:r>
        <w:rPr>
          <w:color w:val="132018"/>
          <w:sz w:val="21"/>
        </w:rPr>
      </w:r>
      <w:r>
        <w:rPr>
          <w:b/>
          <w:color w:val="08291A"/>
          <w:sz w:val="21"/>
        </w:rPr>
        <w:t>Golden Planet x Google Cloud</w:t>
      </w:r>
      <w:r>
        <w:rPr>
          <w:color w:val="132018"/>
          <w:sz w:val="21"/>
        </w:rPr>
        <w:t xml:space="preserve"> — "Gemini Enterprise," pitched plainly as enterprise-ready agentic AI, Google's tech paired with a local system integrator's delivery.</w:t>
      </w:r>
    </w:p>
    <w:p>
      <w:pPr>
        <w:pStyle w:val="ListBullet"/>
        <w:spacing w:after="120"/>
      </w:pPr>
      <w:r>
        <w:rPr>
          <w:color w:val="132018"/>
          <w:sz w:val="21"/>
        </w:rPr>
      </w:r>
      <w:r>
        <w:rPr>
          <w:b/>
          <w:color w:val="08291A"/>
          <w:sz w:val="21"/>
        </w:rPr>
        <w:t>Dify + AX Foundry</w:t>
      </w:r>
      <w:r>
        <w:rPr>
          <w:color w:val="132018"/>
          <w:sz w:val="21"/>
        </w:rPr>
        <w:t xml:space="preserve"> — "Build with Dify, operate with AX Foundry": the booth's own tagline was blunt, the more AI agents you have, the more you need governance.</w:t>
      </w:r>
    </w:p>
    <w:p>
      <w:pPr>
        <w:pStyle w:val="ListBullet"/>
        <w:spacing w:after="120"/>
      </w:pPr>
      <w:r>
        <w:rPr>
          <w:color w:val="132018"/>
          <w:sz w:val="21"/>
        </w:rPr>
      </w:r>
      <w:r>
        <w:rPr>
          <w:b/>
          <w:color w:val="08291A"/>
          <w:sz w:val="21"/>
        </w:rPr>
        <w:t>Seagate</w:t>
      </w:r>
      <w:r>
        <w:rPr>
          <w:color w:val="132018"/>
          <w:sz w:val="21"/>
        </w:rPr>
        <w:t xml:space="preserve"> — the same company behind Day 1's storage talk; seeing "Run AI Anywhere" live on the show floor was a good reminder the talk wasn't abstract, this is an actual product line.</w:t>
      </w:r>
    </w:p>
    <w:p>
      <w:pPr>
        <w:pStyle w:val="ListBullet"/>
        <w:spacing w:after="120"/>
      </w:pPr>
      <w:r>
        <w:rPr>
          <w:color w:val="132018"/>
          <w:sz w:val="21"/>
        </w:rPr>
      </w:r>
      <w:r>
        <w:rPr>
          <w:b/>
          <w:color w:val="08291A"/>
          <w:sz w:val="21"/>
        </w:rPr>
        <w:t>AIM Future</w:t>
      </w:r>
      <w:r>
        <w:rPr>
          <w:color w:val="132018"/>
          <w:sz w:val="21"/>
        </w:rPr>
        <w:t xml:space="preserve"> — on-device edge AI chips (NPU/ASIC) for cameras, robots, and cars, a reminder that not all AI runs in the cloud.</w:t>
      </w:r>
    </w:p>
    <w:p>
      <w:pPr>
        <w:pStyle w:val="ListBullet"/>
        <w:spacing w:after="120"/>
      </w:pPr>
      <w:r>
        <w:rPr>
          <w:color w:val="132018"/>
          <w:sz w:val="21"/>
        </w:rPr>
      </w:r>
      <w:r>
        <w:rPr>
          <w:b/>
          <w:color w:val="08291A"/>
          <w:sz w:val="21"/>
        </w:rPr>
        <w:t>Splunk (a Cisco company)</w:t>
      </w:r>
      <w:r>
        <w:rPr>
          <w:color w:val="132018"/>
          <w:sz w:val="21"/>
        </w:rPr>
        <w:t xml:space="preserve"> — "Why did our AI suddenly get slow?": observability for AI agents, from the same company behind Day 2's data-resilience talk.</w:t>
      </w:r>
    </w:p>
    <w:p>
      <w:pPr>
        <w:pStyle w:val="ListBullet"/>
        <w:spacing w:after="120"/>
      </w:pPr>
      <w:r>
        <w:rPr>
          <w:color w:val="132018"/>
          <w:sz w:val="21"/>
        </w:rPr>
      </w:r>
      <w:r>
        <w:rPr>
          <w:b/>
          <w:color w:val="08291A"/>
          <w:sz w:val="21"/>
        </w:rPr>
        <w:t>Jamf</w:t>
      </w:r>
      <w:r>
        <w:rPr>
          <w:color w:val="132018"/>
          <w:sz w:val="21"/>
        </w:rPr>
        <w:t xml:space="preserve"> — "Govern AI on Mac with confidence": Apple device-management governance for AI specifically, directly relevant given how much of our own device fleet is Mac/iOS.</w:t>
      </w:r>
    </w:p>
    <w:tbl>
      <w:tblPr>
        <w:tblW w:type="auto" w:w="0"/>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468880" cy="4391289"/>
                  <wp:docPr id="15" name="Picture 15"/>
                  <wp:cNvGraphicFramePr>
                    <a:graphicFrameLocks noChangeAspect="1"/>
                  </wp:cNvGraphicFramePr>
                  <a:graphic>
                    <a:graphicData uri="http://schemas.openxmlformats.org/drawingml/2006/picture">
                      <pic:pic>
                        <pic:nvPicPr>
                          <pic:cNvPr id="0" name="robotdog.jpg"/>
                          <pic:cNvPicPr/>
                        </pic:nvPicPr>
                        <pic:blipFill>
                          <a:blip r:embed="rId23"/>
                          <a:stretch>
                            <a:fillRect/>
                          </a:stretch>
                        </pic:blipFill>
                        <pic:spPr>
                          <a:xfrm>
                            <a:off x="0" y="0"/>
                            <a:ext cx="2468880" cy="4391289"/>
                          </a:xfrm>
                          <a:prstGeom prst="rect"/>
                        </pic:spPr>
                      </pic:pic>
                    </a:graphicData>
                  </a:graphic>
                </wp:inline>
              </w:drawing>
            </w:r>
          </w:p>
          <w:p>
            <w:pPr>
              <w:jc w:val="center"/>
            </w:pPr>
            <w:r>
              <w:rPr>
                <w:i/>
                <w:color w:val="7C8B7F"/>
                <w:sz w:val="15"/>
              </w:rPr>
              <w:t>FAIN Robotics quadruped mid-stride on the demo floor.</w:t>
            </w:r>
          </w:p>
        </w:tc>
        <w:tc>
          <w:tcPr>
            <w:tcW w:type="dxa" w:w="4680"/>
          </w:tcPr>
          <w:p>
            <w:pPr>
              <w:jc w:val="center"/>
            </w:pPr>
            <w:r>
              <w:drawing>
                <wp:inline xmlns:a="http://schemas.openxmlformats.org/drawingml/2006/main" xmlns:pic="http://schemas.openxmlformats.org/drawingml/2006/picture">
                  <wp:extent cx="2468880" cy="3291840"/>
                  <wp:docPr id="16" name="Picture 16"/>
                  <wp:cNvGraphicFramePr>
                    <a:graphicFrameLocks noChangeAspect="1"/>
                  </wp:cNvGraphicFramePr>
                  <a:graphic>
                    <a:graphicData uri="http://schemas.openxmlformats.org/drawingml/2006/picture">
                      <pic:pic>
                        <pic:nvPicPr>
                          <pic:cNvPr id="0" name="nova.jpg"/>
                          <pic:cNvPicPr/>
                        </pic:nvPicPr>
                        <pic:blipFill>
                          <a:blip r:embed="rId24"/>
                          <a:stretch>
                            <a:fillRect/>
                          </a:stretch>
                        </pic:blipFill>
                        <pic:spPr>
                          <a:xfrm>
                            <a:off x="0" y="0"/>
                            <a:ext cx="2468880" cy="3291840"/>
                          </a:xfrm>
                          <a:prstGeom prst="rect"/>
                        </pic:spPr>
                      </pic:pic>
                    </a:graphicData>
                  </a:graphic>
                </wp:inline>
              </w:drawing>
            </w:r>
          </w:p>
          <w:p>
            <w:pPr>
              <w:jc w:val="center"/>
            </w:pPr>
            <w:r>
              <w:rPr>
                <w:i/>
                <w:color w:val="7C8B7F"/>
                <w:sz w:val="15"/>
              </w:rPr>
              <w:t>NOVA's AI sign-language avatar booth.</w:t>
            </w:r>
          </w:p>
        </w:tc>
      </w:tr>
      <w:tr>
        <w:tc>
          <w:tcPr>
            <w:tcW w:type="dxa" w:w="4680"/>
          </w:tcPr>
          <w:p>
            <w:pPr>
              <w:jc w:val="center"/>
            </w:pPr>
            <w:r>
              <w:drawing>
                <wp:inline xmlns:a="http://schemas.openxmlformats.org/drawingml/2006/main" xmlns:pic="http://schemas.openxmlformats.org/drawingml/2006/picture">
                  <wp:extent cx="2468880" cy="3291840"/>
                  <wp:docPr id="17" name="Picture 17"/>
                  <wp:cNvGraphicFramePr>
                    <a:graphicFrameLocks noChangeAspect="1"/>
                  </wp:cNvGraphicFramePr>
                  <a:graphic>
                    <a:graphicData uri="http://schemas.openxmlformats.org/drawingml/2006/picture">
                      <pic:pic>
                        <pic:nvPicPr>
                          <pic:cNvPr id="0" name="goldenplanet.jpg"/>
                          <pic:cNvPicPr/>
                        </pic:nvPicPr>
                        <pic:blipFill>
                          <a:blip r:embed="rId25"/>
                          <a:stretch>
                            <a:fillRect/>
                          </a:stretch>
                        </pic:blipFill>
                        <pic:spPr>
                          <a:xfrm>
                            <a:off x="0" y="0"/>
                            <a:ext cx="2468880" cy="3291840"/>
                          </a:xfrm>
                          <a:prstGeom prst="rect"/>
                        </pic:spPr>
                      </pic:pic>
                    </a:graphicData>
                  </a:graphic>
                </wp:inline>
              </w:drawing>
            </w:r>
          </w:p>
          <w:p>
            <w:pPr>
              <w:jc w:val="center"/>
            </w:pPr>
            <w:r>
              <w:rPr>
                <w:i/>
                <w:color w:val="7C8B7F"/>
                <w:sz w:val="15"/>
              </w:rPr>
              <w:t>Golden Planet x Google Cloud: Gemini Enterprise.</w:t>
            </w:r>
          </w:p>
        </w:tc>
        <w:tc>
          <w:tcPr>
            <w:tcW w:type="dxa" w:w="4680"/>
          </w:tcPr>
          <w:p>
            <w:pPr>
              <w:jc w:val="center"/>
            </w:pPr>
            <w:r>
              <w:drawing>
                <wp:inline xmlns:a="http://schemas.openxmlformats.org/drawingml/2006/main" xmlns:pic="http://schemas.openxmlformats.org/drawingml/2006/picture">
                  <wp:extent cx="2468880" cy="3291840"/>
                  <wp:docPr id="18" name="Picture 18"/>
                  <wp:cNvGraphicFramePr>
                    <a:graphicFrameLocks noChangeAspect="1"/>
                  </wp:cNvGraphicFramePr>
                  <a:graphic>
                    <a:graphicData uri="http://schemas.openxmlformats.org/drawingml/2006/picture">
                      <pic:pic>
                        <pic:nvPicPr>
                          <pic:cNvPr id="0" name="axfoundry.jpg"/>
                          <pic:cNvPicPr/>
                        </pic:nvPicPr>
                        <pic:blipFill>
                          <a:blip r:embed="rId26"/>
                          <a:stretch>
                            <a:fillRect/>
                          </a:stretch>
                        </pic:blipFill>
                        <pic:spPr>
                          <a:xfrm>
                            <a:off x="0" y="0"/>
                            <a:ext cx="2468880" cy="3291840"/>
                          </a:xfrm>
                          <a:prstGeom prst="rect"/>
                        </pic:spPr>
                      </pic:pic>
                    </a:graphicData>
                  </a:graphic>
                </wp:inline>
              </w:drawing>
            </w:r>
          </w:p>
          <w:p>
            <w:pPr>
              <w:jc w:val="center"/>
            </w:pPr>
            <w:r>
              <w:rPr>
                <w:i/>
                <w:color w:val="7C8B7F"/>
                <w:sz w:val="15"/>
              </w:rPr>
              <w:t>Dify + AX Foundry: build with one, govern with the other.</w:t>
            </w:r>
          </w:p>
        </w:tc>
      </w:tr>
      <w:tr>
        <w:tc>
          <w:tcPr>
            <w:tcW w:type="dxa" w:w="4680"/>
          </w:tcPr>
          <w:p>
            <w:pPr>
              <w:jc w:val="center"/>
            </w:pPr>
            <w:r>
              <w:drawing>
                <wp:inline xmlns:a="http://schemas.openxmlformats.org/drawingml/2006/main" xmlns:pic="http://schemas.openxmlformats.org/drawingml/2006/picture">
                  <wp:extent cx="2468880" cy="3291840"/>
                  <wp:docPr id="19" name="Picture 19"/>
                  <wp:cNvGraphicFramePr>
                    <a:graphicFrameLocks noChangeAspect="1"/>
                  </wp:cNvGraphicFramePr>
                  <a:graphic>
                    <a:graphicData uri="http://schemas.openxmlformats.org/drawingml/2006/picture">
                      <pic:pic>
                        <pic:nvPicPr>
                          <pic:cNvPr id="0" name="seagatebooth.jpg"/>
                          <pic:cNvPicPr/>
                        </pic:nvPicPr>
                        <pic:blipFill>
                          <a:blip r:embed="rId27"/>
                          <a:stretch>
                            <a:fillRect/>
                          </a:stretch>
                        </pic:blipFill>
                        <pic:spPr>
                          <a:xfrm>
                            <a:off x="0" y="0"/>
                            <a:ext cx="2468880" cy="3291840"/>
                          </a:xfrm>
                          <a:prstGeom prst="rect"/>
                        </pic:spPr>
                      </pic:pic>
                    </a:graphicData>
                  </a:graphic>
                </wp:inline>
              </w:drawing>
            </w:r>
          </w:p>
          <w:p>
            <w:pPr>
              <w:jc w:val="center"/>
            </w:pPr>
            <w:r>
              <w:rPr>
                <w:i/>
                <w:color w:val="7C8B7F"/>
                <w:sz w:val="15"/>
              </w:rPr>
              <w:t>Seagate's own booth on the expo floor.</w:t>
            </w:r>
          </w:p>
        </w:tc>
        <w:tc>
          <w:tcPr>
            <w:tcW w:type="dxa" w:w="4680"/>
          </w:tcPr>
          <w:p>
            <w:pPr>
              <w:jc w:val="center"/>
            </w:pPr>
            <w:r>
              <w:drawing>
                <wp:inline xmlns:a="http://schemas.openxmlformats.org/drawingml/2006/main" xmlns:pic="http://schemas.openxmlformats.org/drawingml/2006/picture">
                  <wp:extent cx="2468880" cy="3291840"/>
                  <wp:docPr id="20" name="Picture 20"/>
                  <wp:cNvGraphicFramePr>
                    <a:graphicFrameLocks noChangeAspect="1"/>
                  </wp:cNvGraphicFramePr>
                  <a:graphic>
                    <a:graphicData uri="http://schemas.openxmlformats.org/drawingml/2006/picture">
                      <pic:pic>
                        <pic:nvPicPr>
                          <pic:cNvPr id="0" name="aimfuture.jpg"/>
                          <pic:cNvPicPr/>
                        </pic:nvPicPr>
                        <pic:blipFill>
                          <a:blip r:embed="rId28"/>
                          <a:stretch>
                            <a:fillRect/>
                          </a:stretch>
                        </pic:blipFill>
                        <pic:spPr>
                          <a:xfrm>
                            <a:off x="0" y="0"/>
                            <a:ext cx="2468880" cy="3291840"/>
                          </a:xfrm>
                          <a:prstGeom prst="rect"/>
                        </pic:spPr>
                      </pic:pic>
                    </a:graphicData>
                  </a:graphic>
                </wp:inline>
              </w:drawing>
            </w:r>
          </w:p>
          <w:p>
            <w:pPr>
              <w:jc w:val="center"/>
            </w:pPr>
            <w:r>
              <w:rPr>
                <w:i/>
                <w:color w:val="7C8B7F"/>
                <w:sz w:val="15"/>
              </w:rPr>
              <w:t>AIM Future's on-device edge AI chip line.</w:t>
            </w:r>
          </w:p>
        </w:tc>
      </w:tr>
      <w:tr>
        <w:tc>
          <w:tcPr>
            <w:tcW w:type="dxa" w:w="4680"/>
          </w:tcPr>
          <w:p>
            <w:pPr>
              <w:jc w:val="center"/>
            </w:pPr>
            <w:r>
              <w:drawing>
                <wp:inline xmlns:a="http://schemas.openxmlformats.org/drawingml/2006/main" xmlns:pic="http://schemas.openxmlformats.org/drawingml/2006/picture">
                  <wp:extent cx="2468880" cy="3291840"/>
                  <wp:docPr id="21" name="Picture 21"/>
                  <wp:cNvGraphicFramePr>
                    <a:graphicFrameLocks noChangeAspect="1"/>
                  </wp:cNvGraphicFramePr>
                  <a:graphic>
                    <a:graphicData uri="http://schemas.openxmlformats.org/drawingml/2006/picture">
                      <pic:pic>
                        <pic:nvPicPr>
                          <pic:cNvPr id="0" name="splunk.jpg"/>
                          <pic:cNvPicPr/>
                        </pic:nvPicPr>
                        <pic:blipFill>
                          <a:blip r:embed="rId29"/>
                          <a:stretch>
                            <a:fillRect/>
                          </a:stretch>
                        </pic:blipFill>
                        <pic:spPr>
                          <a:xfrm>
                            <a:off x="0" y="0"/>
                            <a:ext cx="2468880" cy="3291840"/>
                          </a:xfrm>
                          <a:prstGeom prst="rect"/>
                        </pic:spPr>
                      </pic:pic>
                    </a:graphicData>
                  </a:graphic>
                </wp:inline>
              </w:drawing>
            </w:r>
          </w:p>
          <w:p>
            <w:pPr>
              <w:jc w:val="center"/>
            </w:pPr>
            <w:r>
              <w:rPr>
                <w:i/>
                <w:color w:val="7C8B7F"/>
                <w:sz w:val="15"/>
              </w:rPr>
              <w:t>Splunk (a Cisco company): Agentic SOC and Observability for AI.</w:t>
            </w:r>
          </w:p>
        </w:tc>
        <w:tc>
          <w:tcPr>
            <w:tcW w:type="dxa" w:w="4680"/>
          </w:tcPr>
          <w:p>
            <w:pPr>
              <w:jc w:val="center"/>
            </w:pPr>
            <w:r>
              <w:drawing>
                <wp:inline xmlns:a="http://schemas.openxmlformats.org/drawingml/2006/main" xmlns:pic="http://schemas.openxmlformats.org/drawingml/2006/picture">
                  <wp:extent cx="2468880" cy="3291840"/>
                  <wp:docPr id="22" name="Picture 22"/>
                  <wp:cNvGraphicFramePr>
                    <a:graphicFrameLocks noChangeAspect="1"/>
                  </wp:cNvGraphicFramePr>
                  <a:graphic>
                    <a:graphicData uri="http://schemas.openxmlformats.org/drawingml/2006/picture">
                      <pic:pic>
                        <pic:nvPicPr>
                          <pic:cNvPr id="0" name="jamf.jpg"/>
                          <pic:cNvPicPr/>
                        </pic:nvPicPr>
                        <pic:blipFill>
                          <a:blip r:embed="rId30"/>
                          <a:stretch>
                            <a:fillRect/>
                          </a:stretch>
                        </pic:blipFill>
                        <pic:spPr>
                          <a:xfrm>
                            <a:off x="0" y="0"/>
                            <a:ext cx="2468880" cy="3291840"/>
                          </a:xfrm>
                          <a:prstGeom prst="rect"/>
                        </pic:spPr>
                      </pic:pic>
                    </a:graphicData>
                  </a:graphic>
                </wp:inline>
              </w:drawing>
            </w:r>
          </w:p>
          <w:p>
            <w:pPr>
              <w:jc w:val="center"/>
            </w:pPr>
            <w:r>
              <w:rPr>
                <w:i/>
                <w:color w:val="7C8B7F"/>
                <w:sz w:val="15"/>
              </w:rPr>
              <w:t>Jamf's booth: "Govern AI on Mac with confidence."</w:t>
            </w:r>
          </w:p>
        </w:tc>
      </w:tr>
    </w:tbl>
    <w:p>
      <w:pPr>
        <w:spacing w:after="40"/>
      </w:pPr>
    </w:p>
    <w:p>
      <w:pPr>
        <w:shd w:val="clear" w:color="auto" w:fill="F1E8D4"/>
        <w:spacing w:before="120" w:after="120"/>
        <w:ind w:left="113"/>
      </w:pPr>
      <w:r>
        <w:rPr>
          <w:b/>
          <w:color w:val="6B5320"/>
          <w:sz w:val="17"/>
        </w:rPr>
        <w:t xml:space="preserve">VISION 2030 PILLAR(S): </w:t>
      </w:r>
      <w:r>
        <w:rPr>
          <w:color w:val="132018"/>
          <w:sz w:val="19"/>
        </w:rPr>
        <w:t>Enhanced Reputation and Branding | Global Partnership Engagement</w:t>
      </w:r>
    </w:p>
    <w:p/>
    <w:p>
      <w:pPr>
        <w:pBdr>
          <w:bottom w:val="single" w:sz="6" w:space="1" w:color="DFE3DC"/>
        </w:pBdr>
      </w:pPr>
    </w:p>
    <w:p/>
    <w:p>
      <w:r>
        <w:rPr>
          <w:sz w:val="20"/>
        </w:rPr>
        <w:t xml:space="preserve">Closing line from the live feed: </w:t>
      </w:r>
      <w:r>
        <w:rPr>
          <w:i/>
          <w:sz w:val="20"/>
        </w:rPr>
        <w:t>"Thank you once again for your insightful presentation. This concludes all the sessions of AI Summit Seoul 2026."</w:t>
      </w:r>
    </w:p>
    <w:p>
      <w:r>
        <w:br w:type="page"/>
      </w:r>
    </w:p>
    <w:p>
      <w:pPr>
        <w:pStyle w:val="Heading1"/>
      </w:pPr>
      <w:r>
        <w:rPr>
          <w:rFonts w:ascii="Avenir Next" w:hAnsi="Avenir Next"/>
          <w:color w:val="08291A"/>
          <w:sz w:val="36"/>
        </w:rPr>
        <w:t>Four Ideas That Kept Coming Back</w:t>
      </w:r>
    </w:p>
    <w:p>
      <w:r>
        <w:rPr>
          <w:i/>
          <w:color w:val="48584D"/>
          <w:sz w:val="20"/>
        </w:rPr>
        <w:t>Across all 21 sessions, regardless of industry or track, these four points kept resurfacing.</w:t>
      </w:r>
    </w:p>
    <w:p/>
    <w:p>
      <w:pPr>
        <w:spacing w:after="80"/>
      </w:pPr>
      <w:r>
        <w:rPr>
          <w:b/>
          <w:color w:val="08291A"/>
          <w:sz w:val="24"/>
        </w:rPr>
        <w:t>1.  Most AI pilots die before real use — and it's rarely the AI's fault</w:t>
      </w:r>
    </w:p>
    <w:p>
      <w:pPr>
        <w:spacing w:after="280"/>
      </w:pPr>
      <w:r>
        <w:rPr>
          <w:sz w:val="21"/>
        </w:rPr>
        <w:t>From the morning talk (94% saw no profit impact) to DeepMind's "80% never reach production" to the "who presses the button" problem: messy data, tools bolted onto old workflows, and hesitant leadership were named as the real blockers across five separate sessions on three different tracks.</w:t>
      </w:r>
    </w:p>
    <w:p>
      <w:pPr>
        <w:spacing w:after="80"/>
      </w:pPr>
      <w:r>
        <w:rPr>
          <w:b/>
          <w:color w:val="08291A"/>
          <w:sz w:val="24"/>
        </w:rPr>
        <w:t>2.  The hard part moved from "which model" to "how do we actually run this"</w:t>
      </w:r>
    </w:p>
    <w:p>
      <w:pPr>
        <w:spacing w:after="280"/>
      </w:pPr>
      <w:r>
        <w:rPr>
          <w:sz w:val="21"/>
        </w:rPr>
        <w:t>The maturity ladder for AI tools, the $9B+ race among major vendors to embed engineers in customer rollouts, and the "routing tasks to the right model isn't a strategy" warning all point the same way: picking a model is the easy part now.</w:t>
      </w:r>
    </w:p>
    <w:p>
      <w:pPr>
        <w:spacing w:after="80"/>
      </w:pPr>
      <w:r>
        <w:rPr>
          <w:b/>
          <w:color w:val="08291A"/>
          <w:sz w:val="24"/>
        </w:rPr>
        <w:t>3.  Physical AI needs a stricter safety bar than software AI</w:t>
      </w:r>
    </w:p>
    <w:p>
      <w:pPr>
        <w:spacing w:after="280"/>
      </w:pPr>
      <w:r>
        <w:rPr>
          <w:sz w:val="21"/>
        </w:rPr>
        <w:t>The Physical AI panel's "can it be undone?" rule, and its "test a wide range of conditions, not a fixed checklist" answer, echoed in the manufacturing panel's caution and in Seagate's storage-reliability framing. Once AI acts in the physical world, a mistake stops being "a wrong answer" and becomes "an accident."</w:t>
      </w:r>
    </w:p>
    <w:p>
      <w:pPr>
        <w:spacing w:after="80"/>
      </w:pPr>
      <w:r>
        <w:rPr>
          <w:b/>
          <w:color w:val="08291A"/>
          <w:sz w:val="24"/>
        </w:rPr>
        <w:t>4.  Good data is the prerequisite everyone agreed on, independently</w:t>
      </w:r>
    </w:p>
    <w:p>
      <w:pPr>
        <w:spacing w:after="280"/>
      </w:pPr>
      <w:r>
        <w:rPr>
          <w:sz w:val="21"/>
        </w:rPr>
        <w:t>ClickHouse, Seagate, DeepMind, Cisco, and the manufacturing panel all named the same prerequisite in different words: get the data organized and governed first, or nothing built on top works reliably.</w:t>
      </w:r>
    </w:p>
    <w:p>
      <w:r>
        <w:br w:type="page"/>
      </w:r>
    </w:p>
    <w:p>
      <w:pPr>
        <w:pStyle w:val="Heading1"/>
      </w:pPr>
      <w:r>
        <w:rPr>
          <w:rFonts w:ascii="Avenir Next" w:hAnsi="Avenir Next"/>
          <w:color w:val="08291A"/>
          <w:sz w:val="36"/>
        </w:rPr>
        <w:t>Vision 2030 Alignment: Who Makes This Real</w:t>
      </w:r>
    </w:p>
    <w:p>
      <w:r>
        <w:rPr>
          <w:color w:val="48584D"/>
          <w:sz w:val="21"/>
        </w:rPr>
        <w:t>The ideas above are only useful if someone owns turning them into action. This section maps the summit's themes onto the five strategic pillars from the Vision 2030 roadmap discussion — with a specific office or role named against each recommendation, because the summit's own most-repeated failure mode was exactly this: no one senior owning the decision to act. Treat the office names below as a starting proposal, not an already-approved assignment.</w:t>
      </w:r>
    </w:p>
    <w:p/>
    <w:p>
      <w:pPr>
        <w:spacing w:after="80"/>
      </w:pPr>
      <w:r>
        <w:rPr>
          <w:b/>
          <w:color w:val="08291A"/>
          <w:sz w:val="25"/>
        </w:rPr>
        <w:t>1.  Enrollment Growth</w:t>
      </w:r>
    </w:p>
    <w:p>
      <w:pPr>
        <w:spacing w:after="80"/>
      </w:pPr>
      <w:r>
        <w:rPr>
          <w:color w:val="132018"/>
          <w:sz w:val="21"/>
        </w:rPr>
        <w:t>Give the Recruitment Chatbot persistent context across a prospect's full journey (inquiry -&gt; application -&gt; enrollment). Apply the reversibility test to the Academic Advising Agent now, while it's still in development: advising nudges are AI-assisted; anything hard to undo (probation, drop recommendations) stays human-decided.</w:t>
      </w:r>
    </w:p>
    <w:p>
      <w:pPr>
        <w:shd w:val="clear" w:color="auto" w:fill="F1E8D4"/>
        <w:spacing w:after="200"/>
        <w:ind w:left="113"/>
      </w:pPr>
      <w:r>
        <w:rPr>
          <w:b/>
          <w:color w:val="8A6C2C"/>
          <w:sz w:val="18"/>
        </w:rPr>
        <w:t xml:space="preserve">RESPONSIBLE: </w:t>
      </w:r>
      <w:r>
        <w:rPr>
          <w:color w:val="132018"/>
          <w:sz w:val="20"/>
        </w:rPr>
        <w:t>Center of Educational Technology (CET), with Admissions for the chatbot; Academic Council for advising-agent guardrails.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cost per enrolled student -- a chatbot that keeps context across the funnel should convert more inquiries without more staff.</w:t>
      </w:r>
    </w:p>
    <w:p>
      <w:pPr>
        <w:pStyle w:val="ListBullet"/>
        <w:spacing w:after="60"/>
        <w:ind w:left="340"/>
      </w:pPr>
      <w:r>
        <w:rPr>
          <w:color w:val="132018"/>
          <w:sz w:val="20"/>
        </w:rPr>
        <w:t>Retained tuition revenue from students the Advising Agent flags early enough to keep enrolled.</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Chatbot inquiry -&gt; completed application conversion rate</w:t>
      </w:r>
    </w:p>
    <w:p>
      <w:pPr>
        <w:pStyle w:val="ListBullet"/>
        <w:spacing w:after="60"/>
        <w:ind w:left="340"/>
      </w:pPr>
      <w:r>
        <w:rPr>
          <w:color w:val="132018"/>
          <w:sz w:val="20"/>
        </w:rPr>
        <w:t>Average response time to a prospective student inquiry</w:t>
      </w:r>
    </w:p>
    <w:p>
      <w:pPr>
        <w:pStyle w:val="ListBullet"/>
        <w:spacing w:after="60"/>
        <w:ind w:left="340"/>
      </w:pPr>
      <w:r>
        <w:rPr>
          <w:color w:val="132018"/>
          <w:sz w:val="20"/>
        </w:rPr>
        <w:t>Term-to-term retention rate among students the Advising Agent flagged as at-risk</w:t>
      </w:r>
    </w:p>
    <w:p>
      <w:pPr>
        <w:spacing w:after="120"/>
      </w:pPr>
    </w:p>
    <w:p>
      <w:pPr>
        <w:spacing w:after="80"/>
      </w:pPr>
      <w:r>
        <w:rPr>
          <w:b/>
          <w:color w:val="08291A"/>
          <w:sz w:val="25"/>
        </w:rPr>
        <w:t>2.  Enhanced Reputation and Branding</w:t>
      </w:r>
    </w:p>
    <w:p>
      <w:pPr>
        <w:spacing w:after="80"/>
      </w:pPr>
      <w:r>
        <w:rPr>
          <w:color w:val="132018"/>
          <w:sz w:val="21"/>
        </w:rPr>
        <w:t>Publish a first AI case study once Phase 2 pilot results land, honest results included. Brand Benilde's public AI position around governance discipline specifically, not raw capability.</w:t>
      </w:r>
    </w:p>
    <w:p>
      <w:pPr>
        <w:shd w:val="clear" w:color="auto" w:fill="F1E8D4"/>
        <w:spacing w:after="200"/>
        <w:ind w:left="113"/>
      </w:pPr>
      <w:r>
        <w:rPr>
          <w:b/>
          <w:color w:val="8A6C2C"/>
          <w:sz w:val="18"/>
        </w:rPr>
        <w:t xml:space="preserve">RESPONSIBLE: </w:t>
      </w:r>
      <w:r>
        <w:rPr>
          <w:color w:val="132018"/>
          <w:sz w:val="20"/>
        </w:rPr>
        <w:t>Marketing &amp; Communications, with CET for content; Office of the Chancellor for public positioning.</w:t>
      </w:r>
    </w:p>
    <w:p>
      <w:pPr>
        <w:shd w:val="clear" w:color="auto" w:fill="E7EDF3"/>
        <w:spacing w:after="40"/>
        <w:ind w:left="113"/>
      </w:pPr>
      <w:r>
        <w:rPr>
          <w:b/>
          <w:color w:val="3B5B7A"/>
          <w:sz w:val="18"/>
        </w:rPr>
        <w:t>POTENTIAL ROI</w:t>
      </w:r>
    </w:p>
    <w:p>
      <w:pPr>
        <w:pStyle w:val="ListBullet"/>
        <w:spacing w:after="60"/>
        <w:ind w:left="340"/>
      </w:pPr>
      <w:r>
        <w:rPr>
          <w:color w:val="132018"/>
          <w:sz w:val="20"/>
        </w:rPr>
        <w:t>Earned media and inbound interest from being the credible "governance-first" story, not the flashiest AI demo.</w:t>
      </w:r>
    </w:p>
    <w:p>
      <w:pPr>
        <w:pStyle w:val="ListBullet"/>
        <w:spacing w:after="60"/>
        <w:ind w:left="340"/>
      </w:pPr>
      <w:r>
        <w:rPr>
          <w:color w:val="132018"/>
          <w:sz w:val="20"/>
        </w:rPr>
        <w:t>Stronger position in accreditation and partner conversations that already ask about AI policy.</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External citations/mentions of Benilde's AI governance model (press, academic papers, conference invitations)</w:t>
      </w:r>
    </w:p>
    <w:p>
      <w:pPr>
        <w:pStyle w:val="ListBullet"/>
        <w:spacing w:after="60"/>
        <w:ind w:left="340"/>
      </w:pPr>
      <w:r>
        <w:rPr>
          <w:color w:val="132018"/>
          <w:sz w:val="20"/>
        </w:rPr>
        <w:t>Inbound partnership or speaking-invite requests referencing our AI work</w:t>
      </w:r>
    </w:p>
    <w:p>
      <w:pPr>
        <w:spacing w:after="120"/>
      </w:pPr>
    </w:p>
    <w:p>
      <w:pPr>
        <w:spacing w:after="80"/>
      </w:pPr>
      <w:r>
        <w:rPr>
          <w:b/>
          <w:color w:val="08291A"/>
          <w:sz w:val="25"/>
        </w:rPr>
        <w:t>3.  Future Ready</w:t>
      </w:r>
    </w:p>
    <w:p>
      <w:pPr>
        <w:spacing w:after="80"/>
      </w:pPr>
      <w:r>
        <w:rPr>
          <w:color w:val="132018"/>
          <w:sz w:val="21"/>
        </w:rPr>
        <w:t>Add the three-question go/no-go gate (system change needed? failure fits cycle time? retraining data clearly owned?) to every Phase 2 pilot before it's proposed for Phase 3 scale-up. Confirm the data warehouse can handle agentic query load before the college-wide platform is selected.</w:t>
      </w:r>
    </w:p>
    <w:p>
      <w:pPr>
        <w:shd w:val="clear" w:color="auto" w:fill="F1E8D4"/>
        <w:spacing w:after="200"/>
        <w:ind w:left="113"/>
      </w:pPr>
      <w:r>
        <w:rPr>
          <w:b/>
          <w:color w:val="8A6C2C"/>
          <w:sz w:val="18"/>
        </w:rPr>
        <w:t xml:space="preserve">RESPONSIBLE: </w:t>
      </w:r>
      <w:r>
        <w:rPr>
          <w:color w:val="132018"/>
          <w:sz w:val="20"/>
        </w:rPr>
        <w:t>CET and Academic Council for the go/no-go gate; CET / IT infrastructure for the data warehouse review.</w:t>
      </w:r>
    </w:p>
    <w:p>
      <w:pPr>
        <w:shd w:val="clear" w:color="auto" w:fill="E7EDF3"/>
        <w:spacing w:after="40"/>
        <w:ind w:left="113"/>
      </w:pPr>
      <w:r>
        <w:rPr>
          <w:b/>
          <w:color w:val="3B5B7A"/>
          <w:sz w:val="18"/>
        </w:rPr>
        <w:t>POTENTIAL ROI</w:t>
      </w:r>
    </w:p>
    <w:p>
      <w:pPr>
        <w:pStyle w:val="ListBullet"/>
        <w:spacing w:after="60"/>
        <w:ind w:left="340"/>
      </w:pPr>
      <w:r>
        <w:rPr>
          <w:color w:val="132018"/>
          <w:sz w:val="20"/>
        </w:rPr>
        <w:t>Avoided waste on pilots that were never going to reach production -- the summit's own baseline says most institutions lose about 80% of AI spend to this.</w:t>
      </w:r>
    </w:p>
    <w:p>
      <w:pPr>
        <w:pStyle w:val="ListBullet"/>
        <w:spacing w:after="60"/>
        <w:ind w:left="340"/>
      </w:pPr>
      <w:r>
        <w:rPr>
          <w:color w:val="132018"/>
          <w:sz w:val="20"/>
        </w:rPr>
        <w:t>Avoided cost of a governance incident by catching it before scale, not after.</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 of pilots that pass the go/no-go gate and reach Phase 3 (compare against that 80%-fail baseline)</w:t>
      </w:r>
    </w:p>
    <w:p>
      <w:pPr>
        <w:pStyle w:val="ListBullet"/>
        <w:spacing w:after="60"/>
        <w:ind w:left="340"/>
      </w:pPr>
      <w:r>
        <w:rPr>
          <w:color w:val="132018"/>
          <w:sz w:val="20"/>
        </w:rPr>
        <w:t>Time from pilot approval to production-ready</w:t>
      </w:r>
    </w:p>
    <w:p>
      <w:pPr>
        <w:pStyle w:val="ListBullet"/>
        <w:spacing w:after="60"/>
        <w:ind w:left="340"/>
      </w:pPr>
      <w:r>
        <w:rPr>
          <w:color w:val="132018"/>
          <w:sz w:val="20"/>
        </w:rPr>
        <w:t>Data warehouse uptime and headroom under real agentic query load</w:t>
      </w:r>
    </w:p>
    <w:p>
      <w:pPr>
        <w:spacing w:after="120"/>
      </w:pPr>
    </w:p>
    <w:p>
      <w:pPr>
        <w:spacing w:after="80"/>
      </w:pPr>
      <w:r>
        <w:rPr>
          <w:b/>
          <w:color w:val="08291A"/>
          <w:sz w:val="25"/>
        </w:rPr>
        <w:t>4.  Global Partnership Engagement</w:t>
      </w:r>
    </w:p>
    <w:p>
      <w:pPr>
        <w:spacing w:after="80"/>
      </w:pPr>
      <w:r>
        <w:rPr>
          <w:color w:val="132018"/>
          <w:sz w:val="21"/>
        </w:rPr>
        <w:t>Require every shortlisted Phase 2 platform vendor to disclose what deployment support is bundled into their contract. Scope one applied-research partnership with a lab offering free academic-tier tools.</w:t>
      </w:r>
    </w:p>
    <w:p>
      <w:pPr>
        <w:shd w:val="clear" w:color="auto" w:fill="F1E8D4"/>
        <w:spacing w:after="200"/>
        <w:ind w:left="113"/>
      </w:pPr>
      <w:r>
        <w:rPr>
          <w:b/>
          <w:color w:val="8A6C2C"/>
          <w:sz w:val="18"/>
        </w:rPr>
        <w:t xml:space="preserve">RESPONSIBLE: </w:t>
      </w:r>
      <w:r>
        <w:rPr>
          <w:color w:val="132018"/>
          <w:sz w:val="20"/>
        </w:rPr>
        <w:t>CET and Procurement for vendor terms; Office of the Chancellor and academic deans for research partnerships.</w:t>
      </w:r>
    </w:p>
    <w:p>
      <w:pPr>
        <w:shd w:val="clear" w:color="auto" w:fill="E7EDF3"/>
        <w:spacing w:after="40"/>
        <w:ind w:left="113"/>
      </w:pPr>
      <w:r>
        <w:rPr>
          <w:b/>
          <w:color w:val="3B5B7A"/>
          <w:sz w:val="18"/>
        </w:rPr>
        <w:t>POTENTIAL ROI</w:t>
      </w:r>
    </w:p>
    <w:p>
      <w:pPr>
        <w:pStyle w:val="ListBullet"/>
        <w:spacing w:after="60"/>
        <w:ind w:left="340"/>
      </w:pPr>
      <w:r>
        <w:rPr>
          <w:color w:val="132018"/>
          <w:sz w:val="20"/>
        </w:rPr>
        <w:t>Lower net implementation cost if vendor-bundled setup support replaces work we'd otherwise pay a contractor for.</w:t>
      </w:r>
    </w:p>
    <w:p>
      <w:pPr>
        <w:pStyle w:val="ListBullet"/>
        <w:spacing w:after="60"/>
        <w:ind w:left="340"/>
      </w:pPr>
      <w:r>
        <w:rPr>
          <w:color w:val="132018"/>
          <w:sz w:val="20"/>
        </w:rPr>
        <w:t>Free or discounted access to research-grade tools (like DeepMind's academic-tier offerings) instead of paying full commercial price.</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Vendor-provided implementation hours logged per contract</w:t>
      </w:r>
    </w:p>
    <w:p>
      <w:pPr>
        <w:pStyle w:val="ListBullet"/>
        <w:spacing w:after="60"/>
        <w:ind w:left="340"/>
      </w:pPr>
      <w:r>
        <w:rPr>
          <w:color w:val="132018"/>
          <w:sz w:val="20"/>
        </w:rPr>
        <w:t>Estimated dollar value of in-kind/free-tier tools secured</w:t>
      </w:r>
    </w:p>
    <w:p>
      <w:pPr>
        <w:pStyle w:val="ListBullet"/>
        <w:spacing w:after="60"/>
        <w:ind w:left="340"/>
      </w:pPr>
      <w:r>
        <w:rPr>
          <w:color w:val="132018"/>
          <w:sz w:val="20"/>
        </w:rPr>
        <w:t>Number of active partnerships with a named joint deliverable (not just a signed MOU)</w:t>
      </w:r>
    </w:p>
    <w:p>
      <w:pPr>
        <w:spacing w:after="120"/>
      </w:pPr>
    </w:p>
    <w:p>
      <w:pPr>
        <w:spacing w:after="80"/>
      </w:pPr>
      <w:r>
        <w:rPr>
          <w:b/>
          <w:color w:val="08291A"/>
          <w:sz w:val="25"/>
        </w:rPr>
        <w:t>5.  Financial Growth</w:t>
      </w:r>
    </w:p>
    <w:p>
      <w:pPr>
        <w:spacing w:after="80"/>
      </w:pPr>
      <w:r>
        <w:rPr>
          <w:color w:val="132018"/>
          <w:sz w:val="21"/>
        </w:rPr>
        <w:t>Report Phase 2 pilot results to the Board on both efficiency and effectiveness, not adoption numbers alone. Release Phase 3 scale-up budget in gated tranches tied to Phase 2 evidence, not as one lump commitment.</w:t>
      </w:r>
    </w:p>
    <w:p>
      <w:pPr>
        <w:shd w:val="clear" w:color="auto" w:fill="F1E8D4"/>
        <w:spacing w:after="200"/>
        <w:ind w:left="113"/>
      </w:pPr>
      <w:r>
        <w:rPr>
          <w:b/>
          <w:color w:val="8A6C2C"/>
          <w:sz w:val="18"/>
        </w:rPr>
        <w:t xml:space="preserve">RESPONSIBLE: </w:t>
      </w:r>
      <w:r>
        <w:rPr>
          <w:color w:val="132018"/>
          <w:sz w:val="20"/>
        </w:rPr>
        <w:t>CET and Finance for reporting format; the Board / Leadership Team for gated budget release.</w:t>
      </w:r>
    </w:p>
    <w:p>
      <w:pPr>
        <w:shd w:val="clear" w:color="auto" w:fill="E7EDF3"/>
        <w:spacing w:after="40"/>
        <w:ind w:left="113"/>
      </w:pPr>
      <w:r>
        <w:rPr>
          <w:b/>
          <w:color w:val="3B5B7A"/>
          <w:sz w:val="18"/>
        </w:rPr>
        <w:t>POTENTIAL ROI</w:t>
      </w:r>
    </w:p>
    <w:p>
      <w:pPr>
        <w:pStyle w:val="ListBullet"/>
        <w:spacing w:after="60"/>
        <w:ind w:left="340"/>
      </w:pPr>
      <w:r>
        <w:rPr>
          <w:color w:val="132018"/>
          <w:sz w:val="20"/>
        </w:rPr>
        <w:t>Staff hours saved that can be redirected instead of hired for.</w:t>
      </w:r>
    </w:p>
    <w:p>
      <w:pPr>
        <w:pStyle w:val="ListBullet"/>
        <w:spacing w:after="60"/>
        <w:ind w:left="340"/>
      </w:pPr>
      <w:r>
        <w:rPr>
          <w:color w:val="132018"/>
          <w:sz w:val="20"/>
        </w:rPr>
        <w:t>Incremental tuition revenue from any measurable retention or enrollment lift.</w:t>
      </w:r>
    </w:p>
    <w:p>
      <w:pPr>
        <w:pStyle w:val="ListBullet"/>
        <w:spacing w:after="60"/>
        <w:ind w:left="340"/>
      </w:pPr>
      <w:r>
        <w:rPr>
          <w:color w:val="132018"/>
          <w:sz w:val="20"/>
        </w:rPr>
        <w:t>Tighter budget discipline from releasing money in tranches instead of one lump sum.</w:t>
      </w:r>
    </w:p>
    <w:p>
      <w:pPr>
        <w:shd w:val="clear" w:color="auto" w:fill="E7EDF3"/>
        <w:spacing w:before="120" w:after="40"/>
        <w:ind w:left="113"/>
      </w:pPr>
      <w:r>
        <w:rPr>
          <w:b/>
          <w:color w:val="3B5B7A"/>
          <w:sz w:val="18"/>
        </w:rPr>
        <w:t>KPIS TO TRACK</w:t>
      </w:r>
    </w:p>
    <w:p>
      <w:pPr>
        <w:pStyle w:val="ListBullet"/>
        <w:spacing w:after="60"/>
        <w:ind w:left="340"/>
      </w:pPr>
      <w:r>
        <w:rPr>
          <w:color w:val="132018"/>
          <w:sz w:val="20"/>
        </w:rPr>
        <w:t>Advisor/staff hours saved per week (the efficiency half)</w:t>
      </w:r>
    </w:p>
    <w:p>
      <w:pPr>
        <w:pStyle w:val="ListBullet"/>
        <w:spacing w:after="60"/>
        <w:ind w:left="340"/>
      </w:pPr>
      <w:r>
        <w:rPr>
          <w:color w:val="132018"/>
          <w:sz w:val="20"/>
        </w:rPr>
        <w:t>Retention or enrollment lift attributable to an AI tool (the effectiveness half -- the part most reports skip)</w:t>
      </w:r>
    </w:p>
    <w:p>
      <w:pPr>
        <w:pStyle w:val="ListBullet"/>
        <w:spacing w:after="60"/>
        <w:ind w:left="340"/>
      </w:pPr>
      <w:r>
        <w:rPr>
          <w:color w:val="132018"/>
          <w:sz w:val="20"/>
        </w:rPr>
        <w:t>Cost per successful outcome: total AI spend / number of confirmed wins</w:t>
      </w:r>
    </w:p>
    <w:p>
      <w:pPr>
        <w:pStyle w:val="ListBullet"/>
        <w:spacing w:after="60"/>
        <w:ind w:left="340"/>
      </w:pPr>
      <w:r>
        <w:rPr>
          <w:color w:val="132018"/>
          <w:sz w:val="20"/>
        </w:rPr>
        <w:t>Actual spend vs. the approved gated-tranche budget</w:t>
      </w:r>
    </w:p>
    <w:p>
      <w:pPr>
        <w:spacing w:after="120"/>
      </w:pPr>
    </w:p>
    <w:p>
      <w:pPr>
        <w:spacing w:before="160" w:after="60"/>
      </w:pPr>
      <w:r>
        <w:rPr>
          <w:b/>
          <w:color w:val="3B5B7A"/>
          <w:sz w:val="18"/>
        </w:rPr>
        <w:t>WHO LEADS THIS, OVERALL</w:t>
      </w:r>
    </w:p>
    <w:p>
      <w:r>
        <w:rPr>
          <w:color w:val="132018"/>
          <w:sz w:val="21"/>
        </w:rPr>
        <w:t xml:space="preserve">A single accountable office, not a rotating committee, is what turns the five rows above from a wish list into a plan. </w:t>
      </w:r>
      <w:r>
        <w:rPr>
          <w:b/>
          <w:color w:val="08291A"/>
          <w:sz w:val="21"/>
        </w:rPr>
        <w:t>Proposed lead role:</w:t>
      </w:r>
      <w:r>
        <w:rPr>
          <w:color w:val="132018"/>
          <w:sz w:val="21"/>
        </w:rPr>
        <w:t xml:space="preserve"> a Director, Office of AI-Enabled Transformation (new or an elevated existing role), reporting to the Office of the Chancellor, with the Center of Educational Technology as its operating arm. </w:t>
      </w:r>
      <w:r>
        <w:rPr>
          <w:b/>
          <w:color w:val="08291A"/>
          <w:sz w:val="21"/>
        </w:rPr>
        <w:t>Decision authority:</w:t>
      </w:r>
      <w:r>
        <w:rPr>
          <w:color w:val="132018"/>
          <w:sz w:val="21"/>
        </w:rPr>
        <w:t xml:space="preserve"> that Director applies the go/no-go gate above and recommends scale-up; the Chancellor's Office holds final sign-off on anything budget-significant or reputationally sensitive. Naming this now, in writing, before the first pilot is ready to scale, is what prevents the summit's single most common failure: a good pilot that never finds anyone willing to press the button.</w:t>
      </w:r>
    </w:p>
    <w:p/>
    <w:p>
      <w:pPr>
        <w:spacing w:before="160" w:after="60"/>
      </w:pPr>
      <w:r>
        <w:rPr>
          <w:b/>
          <w:color w:val="3B5B7A"/>
          <w:sz w:val="18"/>
        </w:rPr>
        <w:t>POSSIBLE BUDGET SOURCES</w:t>
      </w:r>
    </w:p>
    <w:p>
      <w:pPr>
        <w:pStyle w:val="ListBullet"/>
        <w:spacing w:after="120"/>
      </w:pPr>
      <w:r>
        <w:rPr>
          <w:color w:val="132018"/>
          <w:sz w:val="21"/>
        </w:rPr>
        <w:t>An institutional strategic/innovation fund or a Board-approved capital line, released in gated tranches tied to pilot results.</w:t>
      </w:r>
    </w:p>
    <w:p>
      <w:pPr>
        <w:pStyle w:val="ListBullet"/>
        <w:spacing w:after="120"/>
      </w:pPr>
      <w:r>
        <w:rPr>
          <w:color w:val="132018"/>
          <w:sz w:val="21"/>
        </w:rPr>
        <w:t>Reallocation within the existing IT/EdTech operating budget as lower-value tools are retired.</w:t>
      </w:r>
    </w:p>
    <w:p>
      <w:pPr>
        <w:pStyle w:val="ListBullet"/>
        <w:spacing w:after="120"/>
      </w:pPr>
      <w:r>
        <w:rPr>
          <w:color w:val="132018"/>
          <w:sz w:val="21"/>
        </w:rPr>
        <w:t>Vendor/partner co-investment — several AI vendors now bundle deployment support into platform contracts at no extra cost.</w:t>
      </w:r>
    </w:p>
    <w:p>
      <w:pPr>
        <w:pStyle w:val="ListBullet"/>
        <w:spacing w:after="120"/>
      </w:pPr>
      <w:r>
        <w:rPr>
          <w:color w:val="132018"/>
          <w:sz w:val="21"/>
        </w:rPr>
        <w:t>External grants or partnership funding, including through existing research-partner relationships.</w:t>
      </w:r>
    </w:p>
    <w:p>
      <w:pPr>
        <w:pStyle w:val="ListBullet"/>
        <w:spacing w:after="120"/>
      </w:pPr>
      <w:r>
        <w:rPr>
          <w:color w:val="132018"/>
          <w:sz w:val="21"/>
        </w:rPr>
        <w:t>Philanthropic or alumni giving earmarked for innovation, worth a joint feasibility check with Advancement.</w:t>
      </w:r>
    </w:p>
    <w:p>
      <w:r>
        <w:br w:type="page"/>
      </w:r>
    </w:p>
    <w:p>
      <w:pPr>
        <w:pStyle w:val="Heading1"/>
      </w:pPr>
      <w:r>
        <w:rPr>
          <w:rFonts w:ascii="Avenir Next" w:hAnsi="Avenir Next"/>
          <w:color w:val="08291A"/>
          <w:sz w:val="36"/>
        </w:rPr>
        <w:t>Beyond the Two Flagship Tools: More AI Opportunities for Benilde</w:t>
      </w:r>
    </w:p>
    <w:p>
      <w:r>
        <w:rPr>
          <w:color w:val="48584D"/>
          <w:sz w:val="21"/>
        </w:rPr>
        <w:t>The Recruitment Chatbot and Academic Advising Agent are the two initiatives already in motion. Below are twelve more candidates -- none of them approved or funded yet -- pulled from the same "automate the unglamorous, keep a human on anything hard to undo" logic that ran through the summit, and mapped to which office would actually run them and which Vision 2030 pillar they serve.</w:t>
      </w:r>
    </w:p>
    <w:p/>
    <w:p>
      <w:pPr>
        <w:spacing w:before="160" w:after="60"/>
      </w:pPr>
      <w:r>
        <w:rPr>
          <w:b/>
          <w:color w:val="0C5C3D"/>
          <w:sz w:val="18"/>
        </w:rPr>
        <w:t>QUICK WINS -- off-the-shelf tools, one office, a few months</w:t>
      </w:r>
    </w:p>
    <w:p>
      <w:pPr>
        <w:shd w:val="clear" w:color="auto" w:fill="E3F0E7"/>
        <w:spacing w:after="200"/>
        <w:ind w:left="113"/>
      </w:pPr>
      <w:r>
        <w:rPr>
          <w:b/>
          <w:color w:val="08291A"/>
          <w:sz w:val="22"/>
        </w:rPr>
        <w:t>HR resume screening assist</w:t>
        <w:br/>
      </w:r>
      <w:r>
        <w:rPr>
          <w:i/>
          <w:color w:val="3B5B7A"/>
          <w:sz w:val="18"/>
        </w:rPr>
        <w:t>Owner: HR</w:t>
        <w:br/>
      </w:r>
      <w:r>
        <w:rPr>
          <w:color w:val="132018"/>
          <w:sz w:val="20"/>
        </w:rPr>
        <w:t>AI pre-screens and ranks applications against a job posting's stated requirements so HR spends interview time on a shortlist, not a stack. The hiring decision stays fully human.</w:t>
        <w:br/>
      </w:r>
      <w:r>
        <w:rPr>
          <w:b/>
          <w:color w:val="8A6C2C"/>
          <w:sz w:val="17"/>
        </w:rPr>
        <w:t>Pillars: Future Ready, Financial Growth</w:t>
      </w:r>
    </w:p>
    <w:p>
      <w:pPr>
        <w:shd w:val="clear" w:color="auto" w:fill="E3F0E7"/>
        <w:spacing w:after="200"/>
        <w:ind w:left="113"/>
      </w:pPr>
      <w:r>
        <w:rPr>
          <w:b/>
          <w:color w:val="08291A"/>
          <w:sz w:val="22"/>
        </w:rPr>
        <w:t>Bursar invoice &amp; receipt reconciliation</w:t>
        <w:br/>
      </w:r>
      <w:r>
        <w:rPr>
          <w:i/>
          <w:color w:val="3B5B7A"/>
          <w:sz w:val="18"/>
        </w:rPr>
        <w:t>Owner: Finance</w:t>
        <w:br/>
      </w:r>
      <w:r>
        <w:rPr>
          <w:color w:val="132018"/>
          <w:sz w:val="20"/>
        </w:rPr>
        <w:t>AI reads scanned invoices and receipts, auto-matches them to purchase orders and budget lines, and flags mismatches for a person to review instead of manual line-by-line checking.</w:t>
        <w:br/>
      </w:r>
      <w:r>
        <w:rPr>
          <w:b/>
          <w:color w:val="8A6C2C"/>
          <w:sz w:val="17"/>
        </w:rPr>
        <w:t>Pillars: Financial Growth</w:t>
      </w:r>
    </w:p>
    <w:p>
      <w:pPr>
        <w:shd w:val="clear" w:color="auto" w:fill="E3F0E7"/>
        <w:spacing w:after="200"/>
        <w:ind w:left="113"/>
      </w:pPr>
      <w:r>
        <w:rPr>
          <w:b/>
          <w:color w:val="08291A"/>
          <w:sz w:val="22"/>
        </w:rPr>
        <w:t>Meeting minutes &amp; action-item drafting</w:t>
        <w:br/>
      </w:r>
      <w:r>
        <w:rPr>
          <w:i/>
          <w:color w:val="3B5B7A"/>
          <w:sz w:val="18"/>
        </w:rPr>
        <w:t>Owner: Any office, piloted by the Digital Transformation Office</w:t>
        <w:br/>
      </w:r>
      <w:r>
        <w:rPr>
          <w:color w:val="132018"/>
          <w:sz w:val="20"/>
        </w:rPr>
        <w:t>AI transcribes a recorded leadership or committee meeting and drafts a first-pass set of minutes and action items; a person edits and owns what actually gets circulated.</w:t>
        <w:br/>
      </w:r>
      <w:r>
        <w:rPr>
          <w:b/>
          <w:color w:val="8A6C2C"/>
          <w:sz w:val="17"/>
        </w:rPr>
        <w:t>Pillars: Future Ready</w:t>
      </w:r>
    </w:p>
    <w:p>
      <w:pPr>
        <w:shd w:val="clear" w:color="auto" w:fill="E3F0E7"/>
        <w:spacing w:after="200"/>
        <w:ind w:left="113"/>
      </w:pPr>
      <w:r>
        <w:rPr>
          <w:b/>
          <w:color w:val="08291A"/>
          <w:sz w:val="22"/>
        </w:rPr>
        <w:t>Marcom content first-drafts</w:t>
        <w:br/>
      </w:r>
      <w:r>
        <w:rPr>
          <w:i/>
          <w:color w:val="3B5B7A"/>
          <w:sz w:val="18"/>
        </w:rPr>
        <w:t>Owner: Marketing &amp; Communications</w:t>
        <w:br/>
      </w:r>
      <w:r>
        <w:rPr>
          <w:color w:val="132018"/>
          <w:sz w:val="20"/>
        </w:rPr>
        <w:t>AI turns an event brief into a first-pass social caption or newsletter blurb; Marcom edits and approves before anything posts publicly.</w:t>
        <w:br/>
      </w:r>
      <w:r>
        <w:rPr>
          <w:b/>
          <w:color w:val="8A6C2C"/>
          <w:sz w:val="17"/>
        </w:rPr>
        <w:t>Pillars: Enhanced Reputation and Branding</w:t>
      </w:r>
    </w:p>
    <w:p/>
    <w:p>
      <w:pPr>
        <w:spacing w:before="160" w:after="60"/>
      </w:pPr>
      <w:r>
        <w:rPr>
          <w:b/>
          <w:color w:val="3B5B7A"/>
          <w:sz w:val="18"/>
        </w:rPr>
        <w:t>MEDIUM-TERM BUILDS -- process redesign or integration, roughly a semester</w:t>
      </w:r>
    </w:p>
    <w:p>
      <w:pPr>
        <w:shd w:val="clear" w:color="auto" w:fill="E7EDF3"/>
        <w:spacing w:after="200"/>
        <w:ind w:left="113"/>
      </w:pPr>
      <w:r>
        <w:rPr>
          <w:b/>
          <w:color w:val="08291A"/>
          <w:sz w:val="22"/>
        </w:rPr>
        <w:t>IT helpdesk: from ticket triage to agentic first-line resolution</w:t>
        <w:br/>
      </w:r>
      <w:r>
        <w:rPr>
          <w:i/>
          <w:color w:val="3B5B7A"/>
          <w:sz w:val="18"/>
        </w:rPr>
        <w:t>Owner: IT Team</w:t>
        <w:br/>
      </w:r>
      <w:r>
        <w:rPr>
          <w:color w:val="132018"/>
          <w:sz w:val="20"/>
        </w:rPr>
        <w:t>Zendesk already classifies and routes our tickets -- that part's done. The next step is a governed agent that attempts the fix itself for reversible issues (password resets, common software reinstalls, in-policy access requests) end to end, and only escalates to a technician for anything it can't safely undo. That's the difference between "labeled correctly" and "actually resolved" without a human touching every ticket.</w:t>
        <w:br/>
      </w:r>
      <w:r>
        <w:rPr>
          <w:b/>
          <w:color w:val="8A6C2C"/>
          <w:sz w:val="17"/>
        </w:rPr>
        <w:t>Pillars: Future Ready, Financial Growth</w:t>
      </w:r>
    </w:p>
    <w:p>
      <w:pPr>
        <w:shd w:val="clear" w:color="auto" w:fill="E7EDF3"/>
        <w:spacing w:after="200"/>
        <w:ind w:left="113"/>
      </w:pPr>
      <w:r>
        <w:rPr>
          <w:b/>
          <w:color w:val="08291A"/>
          <w:sz w:val="22"/>
        </w:rPr>
        <w:t>Registrar document processing</w:t>
        <w:br/>
      </w:r>
      <w:r>
        <w:rPr>
          <w:i/>
          <w:color w:val="3B5B7A"/>
          <w:sz w:val="18"/>
        </w:rPr>
        <w:t>Owner: Registrar, with IT</w:t>
        <w:br/>
      </w:r>
      <w:r>
        <w:rPr>
          <w:color w:val="132018"/>
          <w:sz w:val="20"/>
        </w:rPr>
        <w:t>OCR plus AI-assisted extraction for transcript requests, enrollment-verification letters, and diploma requests -- cutting the manual re-typing that slows down every one of these routine requests.</w:t>
        <w:br/>
      </w:r>
      <w:r>
        <w:rPr>
          <w:b/>
          <w:color w:val="8A6C2C"/>
          <w:sz w:val="17"/>
        </w:rPr>
        <w:t>Pillars: Future Ready, Enrollment Growth</w:t>
      </w:r>
    </w:p>
    <w:p>
      <w:pPr>
        <w:shd w:val="clear" w:color="auto" w:fill="E7EDF3"/>
        <w:spacing w:after="200"/>
        <w:ind w:left="113"/>
      </w:pPr>
      <w:r>
        <w:rPr>
          <w:b/>
          <w:color w:val="08291A"/>
          <w:sz w:val="22"/>
        </w:rPr>
        <w:t>Library research-assistant layer</w:t>
        <w:br/>
      </w:r>
      <w:r>
        <w:rPr>
          <w:i/>
          <w:color w:val="3B5B7A"/>
          <w:sz w:val="18"/>
        </w:rPr>
        <w:t>Owner: Library, with CET</w:t>
        <w:br/>
      </w:r>
      <w:r>
        <w:rPr>
          <w:color w:val="132018"/>
          <w:sz w:val="20"/>
        </w:rPr>
        <w:t>An AI search layer grounded in the library's own catalog and paid database subscriptions, so students get a cited, checkable answer instead of a generic chatbot guessing from the open web.</w:t>
        <w:br/>
      </w:r>
      <w:r>
        <w:rPr>
          <w:b/>
          <w:color w:val="8A6C2C"/>
          <w:sz w:val="17"/>
        </w:rPr>
        <w:t>Pillars: Future Ready</w:t>
      </w:r>
    </w:p>
    <w:p>
      <w:pPr>
        <w:shd w:val="clear" w:color="auto" w:fill="E7EDF3"/>
        <w:spacing w:after="200"/>
        <w:ind w:left="113"/>
      </w:pPr>
      <w:r>
        <w:rPr>
          <w:b/>
          <w:color w:val="08291A"/>
          <w:sz w:val="22"/>
        </w:rPr>
        <w:t>Procurement RFP/bid summarization</w:t>
        <w:br/>
      </w:r>
      <w:r>
        <w:rPr>
          <w:i/>
          <w:color w:val="3B5B7A"/>
          <w:sz w:val="18"/>
        </w:rPr>
        <w:t>Owner: Procurement</w:t>
        <w:br/>
      </w:r>
      <w:r>
        <w:rPr>
          <w:color w:val="132018"/>
          <w:sz w:val="20"/>
        </w:rPr>
        <w:t>AI reads competing vendor proposals and produces a side-by-side comparison -- cost, terms, red flags -- for the committee, who still makes the actual call.</w:t>
        <w:br/>
      </w:r>
      <w:r>
        <w:rPr>
          <w:b/>
          <w:color w:val="8A6C2C"/>
          <w:sz w:val="17"/>
        </w:rPr>
        <w:t>Pillars: Financial Growth</w:t>
      </w:r>
    </w:p>
    <w:p>
      <w:pPr>
        <w:shd w:val="clear" w:color="auto" w:fill="E7EDF3"/>
        <w:spacing w:after="200"/>
        <w:ind w:left="113"/>
      </w:pPr>
      <w:r>
        <w:rPr>
          <w:b/>
          <w:color w:val="08291A"/>
          <w:sz w:val="22"/>
        </w:rPr>
        <w:t>Faculty course-content drafting assist</w:t>
        <w:br/>
      </w:r>
      <w:r>
        <w:rPr>
          <w:i/>
          <w:color w:val="3B5B7A"/>
          <w:sz w:val="18"/>
        </w:rPr>
        <w:t>Owner: CET, with academic deans</w:t>
        <w:br/>
      </w:r>
      <w:r>
        <w:rPr>
          <w:color w:val="132018"/>
          <w:sz w:val="20"/>
        </w:rPr>
        <w:t>AI helps a faculty member draft a first pass of a syllabus, rubric, or practice-quiz set aligned to stated learning outcomes -- faculty review, edit, and own the final version.</w:t>
        <w:br/>
      </w:r>
      <w:r>
        <w:rPr>
          <w:b/>
          <w:color w:val="8A6C2C"/>
          <w:sz w:val="17"/>
        </w:rPr>
        <w:t>Pillars: Future Ready</w:t>
      </w:r>
    </w:p>
    <w:p/>
    <w:p>
      <w:pPr>
        <w:spacing w:before="160" w:after="60"/>
      </w:pPr>
      <w:r>
        <w:rPr>
          <w:b/>
          <w:color w:val="8A6C2C"/>
          <w:sz w:val="18"/>
        </w:rPr>
        <w:t>STRATEGIC BETS -- cross-office, needs governance sign-off, bigger payoff</w:t>
      </w:r>
    </w:p>
    <w:p>
      <w:pPr>
        <w:shd w:val="clear" w:color="auto" w:fill="F1E8D4"/>
        <w:spacing w:after="200"/>
        <w:ind w:left="113"/>
      </w:pPr>
      <w:r>
        <w:rPr>
          <w:b/>
          <w:color w:val="08291A"/>
          <w:sz w:val="22"/>
        </w:rPr>
        <w:t>Alumni &amp; donor engagement assistant</w:t>
        <w:br/>
      </w:r>
      <w:r>
        <w:rPr>
          <w:i/>
          <w:color w:val="3B5B7A"/>
          <w:sz w:val="18"/>
        </w:rPr>
        <w:t>Owner: Alumni Relations / Advancement, with Marcom</w:t>
        <w:br/>
      </w:r>
      <w:r>
        <w:rPr>
          <w:color w:val="132018"/>
          <w:sz w:val="20"/>
        </w:rPr>
        <w:t>An AI layer over alumni-relations data that flags realistic reengagement moments and personalizes outreach at a scale a small advancement team can't reach by hand.</w:t>
        <w:br/>
      </w:r>
      <w:r>
        <w:rPr>
          <w:b/>
          <w:color w:val="8A6C2C"/>
          <w:sz w:val="17"/>
        </w:rPr>
        <w:t>Pillars: Global Partnership Engagement, Financial Growth</w:t>
      </w:r>
    </w:p>
    <w:p>
      <w:pPr>
        <w:shd w:val="clear" w:color="auto" w:fill="F1E8D4"/>
        <w:spacing w:after="200"/>
        <w:ind w:left="113"/>
      </w:pPr>
      <w:r>
        <w:rPr>
          <w:b/>
          <w:color w:val="08291A"/>
          <w:sz w:val="22"/>
        </w:rPr>
        <w:t>Predictive enrollment &amp; capacity planning</w:t>
        <w:br/>
      </w:r>
      <w:r>
        <w:rPr>
          <w:i/>
          <w:color w:val="3B5B7A"/>
          <w:sz w:val="18"/>
        </w:rPr>
        <w:t>Owner: Admissions &amp; Finance jointly, with CET</w:t>
        <w:br/>
      </w:r>
      <w:r>
        <w:rPr>
          <w:color w:val="132018"/>
          <w:sz w:val="20"/>
        </w:rPr>
        <w:t>A model combining inquiry, application, and past-cycle data to forecast enrollment per program, so Admissions and Finance plan capacity and budget together instead of reacting after the fact.</w:t>
        <w:br/>
      </w:r>
      <w:r>
        <w:rPr>
          <w:b/>
          <w:color w:val="8A6C2C"/>
          <w:sz w:val="17"/>
        </w:rPr>
        <w:t>Pillars: Enrollment Growth, Financial Growth</w:t>
      </w:r>
    </w:p>
    <w:p>
      <w:pPr>
        <w:shd w:val="clear" w:color="auto" w:fill="F1E8D4"/>
        <w:spacing w:after="200"/>
        <w:ind w:left="113"/>
      </w:pPr>
      <w:r>
        <w:rPr>
          <w:b/>
          <w:color w:val="08291A"/>
          <w:sz w:val="22"/>
        </w:rPr>
        <w:t>One shared "front door" for student questions</w:t>
        <w:br/>
      </w:r>
      <w:r>
        <w:rPr>
          <w:i/>
          <w:color w:val="3B5B7A"/>
          <w:sz w:val="18"/>
        </w:rPr>
        <w:t>Owner: CET as integrator, IT as infrastructure owner</w:t>
        <w:br/>
      </w:r>
      <w:r>
        <w:rPr>
          <w:color w:val="132018"/>
          <w:sz w:val="20"/>
        </w:rPr>
        <w:t>A single conversational layer -- the same "harness" pattern from the summit's Enterprise AX talk -- that routes a student's question to Registrar, Bursar, or Advising as needed, instead of three separate bots that don't talk to each other.</w:t>
        <w:br/>
      </w:r>
      <w:r>
        <w:rPr>
          <w:b/>
          <w:color w:val="8A6C2C"/>
          <w:sz w:val="17"/>
        </w:rPr>
        <w:t>Pillars: Future Ready, Enrollment Growth</w:t>
      </w:r>
    </w:p>
    <w:p>
      <w:r>
        <w:br w:type="page"/>
      </w:r>
    </w:p>
    <w:p>
      <w:pPr>
        <w:pStyle w:val="Heading1"/>
      </w:pPr>
      <w:r>
        <w:rPr>
          <w:rFonts w:ascii="Avenir Next" w:hAnsi="Avenir Next"/>
          <w:color w:val="08291A"/>
          <w:sz w:val="36"/>
        </w:rPr>
        <w:t>AI Implementation: Roles &amp; Responsibilities</w:t>
      </w:r>
    </w:p>
    <w:p>
      <w:r>
        <w:rPr>
          <w:color w:val="48584D"/>
          <w:sz w:val="21"/>
        </w:rPr>
        <w:t>The summit's clearest lesson was that roles without a decision path just recreate the "ad hoc committee" problem the Vision 2030 roadmap already flags. Below is a proposed model for who does what, and who ultimately decides.</w:t>
      </w:r>
    </w:p>
    <w:p/>
    <w:p>
      <w:pPr>
        <w:spacing w:after="40"/>
      </w:pPr>
      <w:r>
        <w:rPr>
          <w:b/>
          <w:color w:val="08291A"/>
          <w:sz w:val="26"/>
        </w:rPr>
        <w:t>1. Digital Transformation Office (Program Lead)</w:t>
      </w:r>
    </w:p>
    <w:p>
      <w:pPr>
        <w:spacing w:after="120"/>
      </w:pPr>
      <w:r>
        <w:rPr>
          <w:i/>
          <w:color w:val="3B5B7A"/>
          <w:sz w:val="20"/>
        </w:rPr>
        <w:t>The orchestrator, not the builder of everything.</w:t>
      </w:r>
    </w:p>
    <w:p>
      <w:pPr>
        <w:pStyle w:val="ListBullet"/>
        <w:spacing w:after="100"/>
      </w:pPr>
      <w:r>
        <w:rPr>
          <w:color w:val="132018"/>
          <w:sz w:val="20"/>
        </w:rPr>
        <w:t>Owns the roadmap's cadence and the master pilot list — the one place that can see across IT, CET, and Academic Affairs at once.</w:t>
      </w:r>
    </w:p>
    <w:p>
      <w:pPr>
        <w:pStyle w:val="ListBullet"/>
        <w:spacing w:after="100"/>
      </w:pPr>
      <w:r>
        <w:rPr>
          <w:color w:val="132018"/>
          <w:sz w:val="20"/>
        </w:rPr>
        <w:t>Runs the three-question go/no-go gate on every pilot before it's proposed for scale-up.</w:t>
      </w:r>
    </w:p>
    <w:p>
      <w:pPr>
        <w:pStyle w:val="ListBullet"/>
        <w:spacing w:after="100"/>
      </w:pPr>
      <w:r>
        <w:rPr>
          <w:color w:val="132018"/>
          <w:sz w:val="20"/>
        </w:rPr>
        <w:t>Prepares Board/BLT reporting on both efficiency and effectiveness, not adoption numbers alone.</w:t>
      </w:r>
    </w:p>
    <w:p>
      <w:pPr>
        <w:pStyle w:val="ListBullet"/>
        <w:spacing w:after="100"/>
      </w:pPr>
      <w:r>
        <w:rPr>
          <w:color w:val="132018"/>
          <w:sz w:val="20"/>
        </w:rPr>
        <w:t>Escalates anything hitting the reversibility line to Leadership — does not decide it alone.</w:t>
      </w:r>
    </w:p>
    <w:p>
      <w:pPr>
        <w:spacing w:after="80"/>
      </w:pPr>
    </w:p>
    <w:p>
      <w:pPr>
        <w:spacing w:after="40"/>
      </w:pPr>
      <w:r>
        <w:rPr>
          <w:b/>
          <w:color w:val="08291A"/>
          <w:sz w:val="26"/>
        </w:rPr>
        <w:t>2. IT Team</w:t>
      </w:r>
    </w:p>
    <w:p>
      <w:pPr>
        <w:spacing w:after="120"/>
      </w:pPr>
      <w:r>
        <w:rPr>
          <w:i/>
          <w:color w:val="3B5B7A"/>
          <w:sz w:val="20"/>
        </w:rPr>
        <w:t>The infrastructure and safety net.</w:t>
      </w:r>
    </w:p>
    <w:p>
      <w:pPr>
        <w:pStyle w:val="ListBullet"/>
        <w:spacing w:after="100"/>
      </w:pPr>
      <w:r>
        <w:rPr>
          <w:color w:val="132018"/>
          <w:sz w:val="20"/>
        </w:rPr>
        <w:t>Owns the data-warehouse / agentic-query-capacity question before any platform is selected college-wide.</w:t>
      </w:r>
    </w:p>
    <w:p>
      <w:pPr>
        <w:pStyle w:val="ListBullet"/>
        <w:spacing w:after="100"/>
      </w:pPr>
      <w:r>
        <w:rPr>
          <w:color w:val="132018"/>
          <w:sz w:val="20"/>
        </w:rPr>
        <w:t>Runs security review on every AI vendor: data residency, access scope, breach exposure.</w:t>
      </w:r>
    </w:p>
    <w:p>
      <w:pPr>
        <w:pStyle w:val="ListBullet"/>
        <w:spacing w:after="100"/>
      </w:pPr>
      <w:r>
        <w:rPr>
          <w:color w:val="132018"/>
          <w:sz w:val="20"/>
        </w:rPr>
        <w:t>Owns uptime and support once a pilot graduates from CET's hands into daily operations.</w:t>
      </w:r>
    </w:p>
    <w:p>
      <w:pPr>
        <w:spacing w:after="80"/>
      </w:pPr>
    </w:p>
    <w:p>
      <w:pPr>
        <w:spacing w:after="40"/>
      </w:pPr>
      <w:r>
        <w:rPr>
          <w:b/>
          <w:color w:val="08291A"/>
          <w:sz w:val="26"/>
        </w:rPr>
        <w:t>3. Innovation &amp; EdTech (Center of Educational Technology)</w:t>
      </w:r>
    </w:p>
    <w:p>
      <w:pPr>
        <w:spacing w:after="120"/>
      </w:pPr>
      <w:r>
        <w:rPr>
          <w:i/>
          <w:color w:val="3B5B7A"/>
          <w:sz w:val="20"/>
        </w:rPr>
        <w:t>The pedagogical and use-case owner.</w:t>
      </w:r>
    </w:p>
    <w:p>
      <w:pPr>
        <w:pStyle w:val="ListBullet"/>
        <w:spacing w:after="100"/>
      </w:pPr>
      <w:r>
        <w:rPr>
          <w:color w:val="132018"/>
          <w:sz w:val="20"/>
        </w:rPr>
        <w:t>Vets tools against the EdTech AI Tools Guide rubric before anything reaches a classroom or advisor.</w:t>
      </w:r>
    </w:p>
    <w:p>
      <w:pPr>
        <w:pStyle w:val="ListBullet"/>
        <w:spacing w:after="100"/>
      </w:pPr>
      <w:r>
        <w:rPr>
          <w:color w:val="132018"/>
          <w:sz w:val="20"/>
        </w:rPr>
        <w:t>Runs the actual pilots (syllabus AI, Academic Advising Agent, Mental Health Agent) and reports results.</w:t>
      </w:r>
    </w:p>
    <w:p>
      <w:pPr>
        <w:pStyle w:val="ListBullet"/>
        <w:spacing w:after="100"/>
      </w:pPr>
      <w:r>
        <w:rPr>
          <w:color w:val="132018"/>
          <w:sz w:val="20"/>
        </w:rPr>
        <w:t>Owns faculty and student training under the AI Literacy Framework.</w:t>
      </w:r>
    </w:p>
    <w:p>
      <w:pPr>
        <w:spacing w:after="80"/>
      </w:pPr>
    </w:p>
    <w:p>
      <w:pPr>
        <w:spacing w:after="40"/>
      </w:pPr>
      <w:r>
        <w:rPr>
          <w:b/>
          <w:color w:val="08291A"/>
          <w:sz w:val="26"/>
        </w:rPr>
        <w:t>4. Leadership (VP for Admin &amp; Innovation, Office of the Chancellor, BLT)</w:t>
      </w:r>
    </w:p>
    <w:p>
      <w:pPr>
        <w:spacing w:after="120"/>
      </w:pPr>
      <w:r>
        <w:rPr>
          <w:i/>
          <w:color w:val="3B5B7A"/>
          <w:sz w:val="20"/>
        </w:rPr>
        <w:t>The risk owner and budget releaser — the "who presses the button" role the summit's most-repeated failure mode says usually goes unfilled.</w:t>
      </w:r>
    </w:p>
    <w:p>
      <w:pPr>
        <w:pStyle w:val="ListBullet"/>
        <w:spacing w:after="100"/>
      </w:pPr>
      <w:r>
        <w:rPr>
          <w:color w:val="132018"/>
          <w:sz w:val="20"/>
        </w:rPr>
        <w:t>Signs off on anything budget-significant or reputationally sensitive.</w:t>
      </w:r>
    </w:p>
    <w:p>
      <w:pPr>
        <w:pStyle w:val="ListBullet"/>
        <w:spacing w:after="100"/>
      </w:pPr>
      <w:r>
        <w:rPr>
          <w:color w:val="132018"/>
          <w:sz w:val="20"/>
        </w:rPr>
        <w:t>Releases Phase 3 scale-up funding in gated tranches tied to Phase 2 evidence, not as one lump commitment.</w:t>
      </w:r>
    </w:p>
    <w:p>
      <w:pPr>
        <w:pStyle w:val="ListBullet"/>
        <w:spacing w:after="100"/>
      </w:pPr>
      <w:r>
        <w:rPr>
          <w:color w:val="132018"/>
          <w:sz w:val="20"/>
        </w:rPr>
        <w:t>Sets the non-negotiable boundary: which decisions, per the reversibility test, never become AI's call no matter how well a pilot performs.</w:t>
      </w:r>
    </w:p>
    <w:p>
      <w:pPr>
        <w:spacing w:after="80"/>
      </w:pPr>
    </w:p>
    <w:p>
      <w:pPr>
        <w:spacing w:after="40"/>
      </w:pPr>
      <w:r>
        <w:rPr>
          <w:b/>
          <w:color w:val="08291A"/>
          <w:sz w:val="26"/>
        </w:rPr>
        <w:t>5. Other School Leaders (Academic Council, Deans/Program Chairs, Finance, Marketing &amp; Comms, Student Affairs)</w:t>
      </w:r>
    </w:p>
    <w:p>
      <w:pPr>
        <w:spacing w:after="120"/>
      </w:pPr>
      <w:r>
        <w:rPr>
          <w:i/>
          <w:color w:val="3B5B7A"/>
          <w:sz w:val="20"/>
        </w:rPr>
        <w:t>The domain implementers — a pilot that works in CET's hands still needs a Dean or Program Chair to make it standard practice.</w:t>
      </w:r>
    </w:p>
    <w:p>
      <w:pPr>
        <w:pStyle w:val="ListBullet"/>
        <w:spacing w:after="100"/>
      </w:pPr>
      <w:r>
        <w:rPr>
          <w:color w:val="132018"/>
          <w:sz w:val="20"/>
        </w:rPr>
        <w:t>Academic Council: policy guardrails for anything touching grading, advising, or academic integrity.</w:t>
      </w:r>
    </w:p>
    <w:p>
      <w:pPr>
        <w:pStyle w:val="ListBullet"/>
        <w:spacing w:after="100"/>
      </w:pPr>
      <w:r>
        <w:rPr>
          <w:color w:val="132018"/>
          <w:sz w:val="20"/>
        </w:rPr>
        <w:t>Finance: the efficiency-times-effectiveness reporting format, and sign-off on budget tranches.</w:t>
      </w:r>
    </w:p>
    <w:p>
      <w:pPr>
        <w:pStyle w:val="ListBullet"/>
        <w:spacing w:after="100"/>
      </w:pPr>
      <w:r>
        <w:rPr>
          <w:color w:val="132018"/>
          <w:sz w:val="20"/>
        </w:rPr>
        <w:t>Marketing &amp; Communications: the public "governance discipline" narrative.</w:t>
      </w:r>
    </w:p>
    <w:p>
      <w:pPr>
        <w:pStyle w:val="ListBullet"/>
        <w:spacing w:after="100"/>
      </w:pPr>
      <w:r>
        <w:rPr>
          <w:color w:val="132018"/>
          <w:sz w:val="20"/>
        </w:rPr>
        <w:t>Student Affairs: co-owns the Mental Health Agent given its stakes.</w:t>
      </w:r>
    </w:p>
    <w:p>
      <w:pPr>
        <w:spacing w:after="80"/>
      </w:pPr>
    </w:p>
    <w:p>
      <w:pPr>
        <w:spacing w:before="160" w:after="60"/>
      </w:pPr>
      <w:r>
        <w:rPr>
          <w:b/>
          <w:color w:val="6B5320"/>
          <w:sz w:val="18"/>
        </w:rPr>
        <w:t>THE DECISION PATH</w:t>
      </w:r>
    </w:p>
    <w:p>
      <w:pPr>
        <w:shd w:val="clear" w:color="auto" w:fill="F1E8D4"/>
        <w:spacing w:after="200"/>
        <w:ind w:left="113"/>
      </w:pPr>
      <w:r>
        <w:rPr>
          <w:b/>
          <w:color w:val="132018"/>
          <w:sz w:val="21"/>
        </w:rPr>
        <w:t>CET pilots  -&gt;  Digital Transformation Office runs the go/no-go gate  -&gt;  IT signs off on infrastructure/security  -&gt;  Leadership approves scale + budget  -&gt;  the domain leader owns rollout in their unit. Any step that hits the reversibility line routes to Leadership regardless of how well the pilot tested.</w:t>
      </w:r>
    </w:p>
    <w:p>
      <w:r>
        <w:br w:type="page"/>
      </w:r>
    </w:p>
    <w:p>
      <w:pPr>
        <w:pStyle w:val="Heading1"/>
      </w:pPr>
      <w:r>
        <w:rPr>
          <w:rFonts w:ascii="Avenir Next" w:hAnsi="Avenir Next"/>
          <w:color w:val="08291A"/>
          <w:sz w:val="36"/>
        </w:rPr>
        <w:t>Peer Benchmarks: What Other Schools Are Already Doing</w:t>
      </w:r>
    </w:p>
    <w:p>
      <w:r>
        <w:rPr>
          <w:color w:val="48584D"/>
          <w:sz w:val="21"/>
        </w:rPr>
        <w:t>These are named, sourced examples, not summit talk, but documented institutional moves already underway at other universities. Each is linked so it can be independently verified before it is cited externally.</w:t>
      </w:r>
    </w:p>
    <w:p/>
    <w:p>
      <w:pPr>
        <w:spacing w:after="40"/>
      </w:pPr>
      <w:r>
        <w:rPr>
          <w:b/>
          <w:color w:val="08291A"/>
          <w:sz w:val="26"/>
        </w:rPr>
        <w:t>Arizona State University x OpenAI</w:t>
      </w:r>
    </w:p>
    <w:p>
      <w:pPr>
        <w:spacing w:after="120"/>
      </w:pPr>
      <w:r>
        <w:rPr>
          <w:b/>
          <w:color w:val="3B5B7A"/>
          <w:sz w:val="18"/>
        </w:rPr>
        <w:t>GLOBAL PARTNERSHIP ENGAGEMENT</w:t>
      </w:r>
    </w:p>
    <w:p>
      <w:pPr>
        <w:spacing w:after="100"/>
      </w:pPr>
      <w:r>
        <w:rPr>
          <w:color w:val="132018"/>
          <w:sz w:val="20"/>
        </w:rPr>
        <w:t>ASU became the first university with an institutional-level OpenAI partnership in January 2024, and has since expanded it to give every student, faculty, and staff member free access to ChatGPT Edu with GPT-5. Nearly 700 projects have come out of its internal "AI Innovation Challenge," with more than 175 proposals submitted in the first two weeks alone. This is the most direct precedent for what a bundled, vendor-supported campus-wide rollout can look like at scale.</w:t>
      </w:r>
    </w:p>
    <w:p>
      <w:pPr>
        <w:spacing w:after="280"/>
      </w:pPr>
      <w:r>
        <w:rPr>
          <w:b/>
          <w:color w:val="7C8B7F"/>
          <w:sz w:val="19"/>
        </w:rPr>
        <w:t xml:space="preserve">Source: </w:t>
      </w:r>
      <w:hyperlink r:id="rId31">
        <w:r>
          <w:rPr>
            <w:color w:val="0C5C3D"/>
            <w:u w:val="single"/>
            <w:sz w:val="19"/>
          </w:rPr>
          <w:t>ASU Enterprise Technology, "ASU and OpenAI expand collaboration"</w:t>
        </w:r>
      </w:hyperlink>
    </w:p>
    <w:p>
      <w:pPr>
        <w:spacing w:after="40"/>
      </w:pPr>
      <w:r>
        <w:rPr>
          <w:b/>
          <w:color w:val="08291A"/>
          <w:sz w:val="26"/>
        </w:rPr>
        <w:t>National University of Singapore x OpenAI</w:t>
      </w:r>
    </w:p>
    <w:p>
      <w:pPr>
        <w:spacing w:after="120"/>
      </w:pPr>
      <w:r>
        <w:rPr>
          <w:b/>
          <w:color w:val="3B5B7A"/>
          <w:sz w:val="18"/>
        </w:rPr>
        <w:t>GLOBAL PARTNERSHIP ENGAGEMENT</w:t>
      </w:r>
    </w:p>
    <w:p>
      <w:pPr>
        <w:spacing w:after="100"/>
      </w:pPr>
      <w:r>
        <w:rPr>
          <w:color w:val="132018"/>
          <w:sz w:val="20"/>
        </w:rPr>
        <w:t>NUS announced a strategic OpenAI collaboration rolling out ChatGPT Edu to all students, faculty, and staff starting August 31, 2026, alongside new curriculum requirements and research platforms. As the closest Asia-Pacific peer example to what Benilde is weighing for its Phase 2 platform decision, it is a useful reference point for contract terms and rollout sequencing.</w:t>
      </w:r>
    </w:p>
    <w:p>
      <w:pPr>
        <w:spacing w:after="280"/>
      </w:pPr>
      <w:r>
        <w:rPr>
          <w:b/>
          <w:color w:val="7C8B7F"/>
          <w:sz w:val="19"/>
        </w:rPr>
        <w:t xml:space="preserve">Source: </w:t>
      </w:r>
      <w:hyperlink r:id="rId32">
        <w:r>
          <w:rPr>
            <w:color w:val="0C5C3D"/>
            <w:u w:val="single"/>
            <w:sz w:val="19"/>
          </w:rPr>
          <w:t>NUS News, "NUS powers education, research and administration... through a strategic collaboration with OpenAI"</w:t>
        </w:r>
      </w:hyperlink>
    </w:p>
    <w:p>
      <w:pPr>
        <w:spacing w:after="40"/>
      </w:pPr>
      <w:r>
        <w:rPr>
          <w:b/>
          <w:color w:val="08291A"/>
          <w:sz w:val="26"/>
        </w:rPr>
        <w:t>Georgia Institute of Technology -- "Jill Watson"</w:t>
      </w:r>
    </w:p>
    <w:p>
      <w:pPr>
        <w:spacing w:after="120"/>
      </w:pPr>
      <w:r>
        <w:rPr>
          <w:b/>
          <w:color w:val="3B5B7A"/>
          <w:sz w:val="18"/>
        </w:rPr>
        <w:t>FUTURE READY</w:t>
      </w:r>
    </w:p>
    <w:p>
      <w:pPr>
        <w:spacing w:after="100"/>
      </w:pPr>
      <w:r>
        <w:rPr>
          <w:color w:val="132018"/>
          <w:sz w:val="20"/>
        </w:rPr>
        <w:t>Georgia Tech's long-running AI teaching-assistant project, running since 2016 and now rebuilt on ChatGPT, is recognized as the first documented chatbot to enhance teaching presence in online learning; IDC has separately named Georgia Tech a national leader in higher-ed AI deployment. Worth noting: Georgia Tech's AVA Lab is also where the "sidecar controller" research referenced in this summit's opening keynote (Day 1, Session 1) comes from -- the same lab, two different angles on the same problem.</w:t>
      </w:r>
    </w:p>
    <w:p>
      <w:pPr>
        <w:spacing w:after="280"/>
      </w:pPr>
      <w:r>
        <w:rPr>
          <w:b/>
          <w:color w:val="7C8B7F"/>
          <w:sz w:val="19"/>
        </w:rPr>
        <w:t xml:space="preserve">Source: </w:t>
      </w:r>
      <w:hyperlink r:id="rId33">
        <w:r>
          <w:rPr>
            <w:color w:val="0C5C3D"/>
            <w:u w:val="single"/>
            <w:sz w:val="19"/>
          </w:rPr>
          <w:t>Georgia Tech AI, news &amp; recognition</w:t>
        </w:r>
      </w:hyperlink>
    </w:p>
    <w:p>
      <w:pPr>
        <w:spacing w:after="40"/>
      </w:pPr>
      <w:r>
        <w:rPr>
          <w:b/>
          <w:color w:val="08291A"/>
          <w:sz w:val="26"/>
        </w:rPr>
        <w:t>Saudi Electronic University -- academic advising chatbot</w:t>
      </w:r>
    </w:p>
    <w:p>
      <w:pPr>
        <w:spacing w:after="120"/>
      </w:pPr>
      <w:r>
        <w:rPr>
          <w:b/>
          <w:color w:val="3B5B7A"/>
          <w:sz w:val="18"/>
        </w:rPr>
        <w:t>ENROLLMENT GROWTH</w:t>
      </w:r>
    </w:p>
    <w:p>
      <w:pPr>
        <w:spacing w:after="100"/>
      </w:pPr>
      <w:r>
        <w:rPr>
          <w:color w:val="132018"/>
          <w:sz w:val="20"/>
        </w:rPr>
        <w:t>A peer-reviewed, published deployment of an AI academic-advising chatbot, evaluated against student satisfaction, advisor workload reduction, and chatbot accuracy -- a directly comparable, evidence-based precedent for Benilde's own Academic Advising Agent pilot, including the kind of measurement framework worth adapting.</w:t>
      </w:r>
    </w:p>
    <w:p>
      <w:pPr>
        <w:spacing w:after="280"/>
      </w:pPr>
      <w:r>
        <w:rPr>
          <w:b/>
          <w:color w:val="7C8B7F"/>
          <w:sz w:val="19"/>
        </w:rPr>
        <w:t xml:space="preserve">Source: </w:t>
      </w:r>
      <w:hyperlink r:id="rId34">
        <w:r>
          <w:rPr>
            <w:color w:val="0C5C3D"/>
            <w:u w:val="single"/>
            <w:sz w:val="19"/>
          </w:rPr>
          <w:t>Journal of Computer Science, "Chatbot for Academic Advising: Case Study at Saudi Electronic University"</w:t>
        </w:r>
      </w:hyperlink>
    </w:p>
    <w:p>
      <w:pPr>
        <w:spacing w:after="40"/>
      </w:pPr>
      <w:r>
        <w:rPr>
          <w:b/>
          <w:color w:val="08291A"/>
          <w:sz w:val="26"/>
        </w:rPr>
        <w:t>Philippine higher-ed AI governance landscape -- Benilde already stands out</w:t>
      </w:r>
    </w:p>
    <w:p>
      <w:pPr>
        <w:spacing w:after="120"/>
      </w:pPr>
      <w:r>
        <w:rPr>
          <w:b/>
          <w:color w:val="3B5B7A"/>
          <w:sz w:val="18"/>
        </w:rPr>
        <w:t>ENHANCED REPUTATION AND BRANDING</w:t>
      </w:r>
    </w:p>
    <w:p>
      <w:pPr>
        <w:spacing w:after="100"/>
      </w:pPr>
      <w:r>
        <w:rPr>
          <w:color w:val="132018"/>
          <w:sz w:val="20"/>
        </w:rPr>
        <w:t>Peer-reviewed comparative research found at least eight Philippine universities have issued formal AI governance guidelines. Most of them -- UP, UPOU, Ateneo de Manila, DLSU, and FEU -- use a "soft," principle-based approach. Benilde is specifically identified in the literature as the outlier with a "hybrid" model, combining policy-driven requirements with maintained flexibility. This is not a summit claim or an internal assessment; it is an externally published finding, which makes it a genuinely strong, citable line for Benilde's public AI narrative rather than something the institution is only saying about itself.</w:t>
      </w:r>
    </w:p>
    <w:p>
      <w:pPr>
        <w:spacing w:after="280"/>
      </w:pPr>
      <w:r>
        <w:rPr>
          <w:b/>
          <w:color w:val="7C8B7F"/>
          <w:sz w:val="19"/>
        </w:rPr>
        <w:t xml:space="preserve">Source: </w:t>
      </w:r>
      <w:hyperlink r:id="rId35">
        <w:r>
          <w:rPr>
            <w:color w:val="0C5C3D"/>
            <w:u w:val="single"/>
            <w:sz w:val="19"/>
          </w:rPr>
          <w:t>Toquero, "Trends, Trajectories and Tomorrows of AI Regulations in Philippine Higher Educational Institutions," Higher Education Quarterly (2026)</w:t>
        </w:r>
      </w:hyperlink>
    </w:p>
    <w:p>
      <w:r>
        <w:br w:type="page"/>
      </w:r>
    </w:p>
    <w:p>
      <w:pPr>
        <w:pStyle w:val="Heading2"/>
      </w:pPr>
      <w:r>
        <w:rPr>
          <w:rFonts w:ascii="Avenir Next" w:hAnsi="Avenir Next"/>
          <w:color w:val="0C5C3D"/>
          <w:sz w:val="28"/>
        </w:rPr>
        <w:t>Record of Preparation</w:t>
      </w:r>
    </w:p>
    <w:p>
      <w:r>
        <w:rPr>
          <w:color w:val="7C8B7F"/>
          <w:sz w:val="19"/>
        </w:rPr>
        <w:t>Reconstructed from on-site photos and Flitto live-translation captures of AI Summit Seoul (AIS26), Aug 19-21, 2026 (talks/panels Aug 19-20; exhibit floor through Aug 21). Speaker names, exact figures, and quotes should be checked against an official recording or transcript before external use. See "How This Report Was Built" for full sourcing caveats.</w:t>
      </w:r>
    </w:p>
    <w:p/>
    <w:p/>
    <w:p>
      <w:pPr>
        <w:pBdr>
          <w:bottom w:val="single" w:sz="6" w:space="1" w:color="DFE3DC"/>
        </w:pBdr>
      </w:pPr>
    </w:p>
    <w:p>
      <w:pPr>
        <w:spacing w:before="360"/>
      </w:pPr>
      <w:r>
        <w:rPr>
          <w:color w:val="7C8B7F"/>
          <w:sz w:val="20"/>
        </w:rPr>
        <w:t>Recorded by:</w:t>
      </w:r>
    </w:p>
    <w:p>
      <w:r>
        <w:rPr>
          <w:b/>
          <w:color w:val="08291A"/>
          <w:sz w:val="26"/>
        </w:rPr>
        <w:t>Lea S. Abarentos</w:t>
      </w:r>
    </w:p>
    <w:p>
      <w:r>
        <w:rPr>
          <w:color w:val="48584D"/>
          <w:sz w:val="22"/>
        </w:rPr>
        <w:t>Program Lead - Digital Transformation Office</w:t>
      </w:r>
    </w:p>
    <w:p>
      <w:r>
        <w:rPr>
          <w:color w:val="7C8B7F"/>
          <w:sz w:val="19"/>
        </w:rPr>
        <w:t>Date: August 23,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w:hAnsi="Avenir Next"/>
      <w:color w:val="13201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hyperlink" Target="https://tech.asu.edu/features/asu-and-openai-expand-collaboration-scaling-ai" TargetMode="External"/><Relationship Id="rId32" Type="http://schemas.openxmlformats.org/officeDocument/2006/relationships/hyperlink" Target="https://news.nus.edu.sg/nus-powers-education-research-and-administration-to-new-heights-with-ai-through-a-strategic-collaboration-with-openai/" TargetMode="External"/><Relationship Id="rId33" Type="http://schemas.openxmlformats.org/officeDocument/2006/relationships/hyperlink" Target="https://www.ai.gatech.edu/news" TargetMode="External"/><Relationship Id="rId34" Type="http://schemas.openxmlformats.org/officeDocument/2006/relationships/hyperlink" Target="https://thescipub.com/abstract/jcssp.2026.840.859" TargetMode="External"/><Relationship Id="rId35" Type="http://schemas.openxmlformats.org/officeDocument/2006/relationships/hyperlink" Target="https://onlinelibrary.wiley.com/doi/abs/10.1111/hequ.700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