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5669280" cy="4251960"/>
                    </a:xfrm>
                    <a:prstGeom prst="rect"/>
                  </pic:spPr>
                </pic:pic>
              </a:graphicData>
            </a:graphic>
          </wp:inline>
        </w:drawing>
      </w:r>
    </w:p>
    <w:p>
      <w:pPr>
        <w:spacing w:after="200"/>
        <w:jc w:val="center"/>
      </w:pPr>
      <w:r>
        <w:rPr>
          <w:i/>
          <w:color w:val="7C8A82"/>
          <w:sz w:val="17"/>
        </w:rPr>
        <w:t>Main stage, AI Summit Seoul (AIS26)</w:t>
      </w:r>
    </w:p>
    <w:p>
      <w:r>
        <w:rPr>
          <w:rFonts w:ascii="Calibri" w:hAnsi="Calibri"/>
          <w:b/>
          <w:color w:val="153D1F"/>
          <w:sz w:val="56"/>
        </w:rPr>
        <w:t>AI Summit Seoul 2026</w:t>
      </w:r>
    </w:p>
    <w:p>
      <w:pPr>
        <w:spacing w:after="280"/>
      </w:pPr>
      <w:r>
        <w:rPr>
          <w:color w:val="4A5650"/>
          <w:sz w:val="28"/>
        </w:rPr>
        <w:t>Session Report — Talks, Panels, and Expo Highlights</w:t>
      </w:r>
    </w:p>
    <w:p>
      <w:pPr>
        <w:spacing w:after="120"/>
      </w:pPr>
      <w:r>
        <w:rPr>
          <w:rFonts w:ascii="Consolas" w:hAnsi="Consolas"/>
          <w:color w:val="7C8A82"/>
          <w:sz w:val="19"/>
        </w:rPr>
        <w:t>Talks &amp; panels: Aug 19-20, 2026 (exhibit floor ran through Aug 21)   |   Venue: Gramercy Banquet &amp; Convention, Seoul</w:t>
      </w:r>
    </w:p>
    <w:p>
      <w:pPr>
        <w:spacing w:after="120"/>
      </w:pPr>
      <w:r>
        <w:rPr>
          <w:rFonts w:ascii="Consolas" w:hAnsi="Consolas"/>
          <w:color w:val="7C8A82"/>
          <w:sz w:val="19"/>
        </w:rPr>
        <w:t>Sessions logged: 21 talks/panels + 3 expo booths   |   Source: 231 photos, 8 live-caption sequences, 7 short clips</w:t>
      </w:r>
    </w:p>
    <w:p/>
    <w:p>
      <w:r>
        <w:rPr>
          <w:color w:val="7C8A82"/>
          <w:sz w:val="19"/>
        </w:rPr>
        <w:t xml:space="preserve">Each session below is broken into three layers: </w:t>
      </w:r>
      <w:r>
        <w:rPr>
          <w:b/>
          <w:color w:val="1B5E20"/>
          <w:sz w:val="19"/>
        </w:rPr>
        <w:t>Highlights</w:t>
      </w:r>
      <w:r>
        <w:rPr>
          <w:color w:val="7C8A82"/>
          <w:sz w:val="19"/>
        </w:rPr>
        <w:t xml:space="preserve"> (what was actually said/shown), </w:t>
      </w:r>
      <w:r>
        <w:rPr>
          <w:b/>
          <w:color w:val="3B5B7A"/>
          <w:sz w:val="19"/>
        </w:rPr>
        <w:t>Insight</w:t>
      </w:r>
      <w:r>
        <w:rPr>
          <w:color w:val="7C8A82"/>
          <w:sz w:val="19"/>
        </w:rPr>
        <w:t xml:space="preserve"> (what it actually means / why it matters), and </w:t>
      </w:r>
      <w:r>
        <w:rPr>
          <w:b/>
          <w:color w:val="1B5E20"/>
          <w:sz w:val="19"/>
        </w:rPr>
        <w:t>Takeaway</w:t>
      </w:r>
      <w:r>
        <w:rPr>
          <w:color w:val="7C8A82"/>
          <w:sz w:val="19"/>
        </w:rPr>
        <w:t xml:space="preserve"> (the one line worth remembering).</w:t>
      </w:r>
    </w:p>
    <w:p>
      <w:r>
        <w:br w:type="page"/>
      </w:r>
    </w:p>
    <w:p>
      <w:pPr>
        <w:pStyle w:val="Heading1"/>
      </w:pPr>
      <w:r>
        <w:rPr>
          <w:rFonts w:ascii="Calibri" w:hAnsi="Calibri"/>
          <w:color w:val="153D1F"/>
          <w:sz w:val="36"/>
        </w:rPr>
        <w:t>If You Only Have 5 Minutes</w:t>
      </w:r>
    </w:p>
    <w:p>
      <w:r>
        <w:rPr>
          <w:i/>
          <w:color w:val="7C8A82"/>
          <w:sz w:val="20"/>
        </w:rPr>
        <w:t>The five ideas that came up again and again, in plain language.</w:t>
      </w:r>
    </w:p>
    <w:p>
      <w:pPr>
        <w:pStyle w:val="ListNumber"/>
        <w:spacing w:after="200"/>
      </w:pPr>
      <w:r>
        <w:rPr>
          <w:color w:val="1A1F1C"/>
          <w:sz w:val="22"/>
        </w:rPr>
      </w:r>
      <w:r>
        <w:rPr>
          <w:b/>
          <w:color w:val="153D1F"/>
          <w:sz w:val="22"/>
        </w:rPr>
        <w:t>Most AI pilots never make it to real use — and it's rarely the AI's fault.</w:t>
      </w:r>
      <w:r>
        <w:rPr>
          <w:color w:val="1A1F1C"/>
          <w:sz w:val="22"/>
        </w:rPr>
        <w:t xml:space="preserve"> Roughly 80% of AI projects never reach full production. The real blockers were messy data, tools bolted onto old workflows, and no senior person willing to approve scaling something up.</w:t>
      </w:r>
    </w:p>
    <w:p>
      <w:pPr>
        <w:pStyle w:val="ListNumber"/>
        <w:spacing w:after="200"/>
      </w:pPr>
      <w:r>
        <w:rPr>
          <w:color w:val="1A1F1C"/>
          <w:sz w:val="22"/>
        </w:rPr>
      </w:r>
      <w:r>
        <w:rPr>
          <w:b/>
          <w:color w:val="153D1F"/>
          <w:sz w:val="22"/>
        </w:rPr>
        <w:t>Picking the AI model is the easy part now.</w:t>
      </w:r>
      <w:r>
        <w:rPr>
          <w:color w:val="1A1F1C"/>
          <w:sz w:val="22"/>
        </w:rPr>
        <w:t xml:space="preserve"> Every major AI company (Anthropic, OpenAI, Microsoft, AWS) is now selling hands-on help to actually deploy AI inside a company, not just software access.</w:t>
      </w:r>
    </w:p>
    <w:p>
      <w:pPr>
        <w:pStyle w:val="ListNumber"/>
        <w:spacing w:after="200"/>
      </w:pPr>
      <w:r>
        <w:rPr>
          <w:color w:val="1A1F1C"/>
          <w:sz w:val="22"/>
        </w:rPr>
      </w:r>
      <w:r>
        <w:rPr>
          <w:b/>
          <w:color w:val="153D1F"/>
          <w:sz w:val="22"/>
        </w:rPr>
        <w:t>Robots and physical AI need a stricter safety rule than chatbots.</w:t>
      </w:r>
      <w:r>
        <w:rPr>
          <w:color w:val="1A1F1C"/>
          <w:sz w:val="22"/>
        </w:rPr>
        <w:t xml:space="preserve"> A chatbot's wrong answer is annoying; a robot's wrong action can hurt someone. The clearest rule offered: let AI act on its own only where a mistake can be undone.</w:t>
      </w:r>
    </w:p>
    <w:p>
      <w:pPr>
        <w:pStyle w:val="ListNumber"/>
        <w:spacing w:after="200"/>
      </w:pPr>
      <w:r>
        <w:rPr>
          <w:color w:val="1A1F1C"/>
          <w:sz w:val="22"/>
        </w:rPr>
      </w:r>
      <w:r>
        <w:rPr>
          <w:b/>
          <w:color w:val="153D1F"/>
          <w:sz w:val="22"/>
        </w:rPr>
        <w:t>Good results always traced back to good data — not a fancier model.</w:t>
      </w:r>
      <w:r>
        <w:rPr>
          <w:color w:val="1A1F1C"/>
          <w:sz w:val="22"/>
        </w:rPr>
        <w:t xml:space="preserve"> Storage, database, and AI companies all said the same thing in different words: organize your data first, or nothing built on top of it works reliably.</w:t>
      </w:r>
    </w:p>
    <w:p>
      <w:pPr>
        <w:pStyle w:val="ListNumber"/>
        <w:spacing w:after="200"/>
      </w:pPr>
      <w:r>
        <w:rPr>
          <w:color w:val="1A1F1C"/>
          <w:sz w:val="22"/>
        </w:rPr>
      </w:r>
      <w:r>
        <w:rPr>
          <w:b/>
          <w:color w:val="153D1F"/>
          <w:sz w:val="22"/>
        </w:rPr>
        <w:t>The workforce most comfortable with AI is also the newest.</w:t>
      </w:r>
      <w:r>
        <w:rPr>
          <w:color w:val="1A1F1C"/>
          <w:sz w:val="22"/>
        </w:rPr>
        <w:t xml:space="preserve"> Roughly 30% of the global office workforce is now Gen Z — training built only for senior staff will miss where AI habits are actually forming.</w:t>
      </w:r>
    </w:p>
    <w:p/>
    <w:p>
      <w:pPr>
        <w:pStyle w:val="Heading2"/>
      </w:pPr>
      <w:r>
        <w:rPr>
          <w:rFonts w:ascii="Calibri" w:hAnsi="Calibri"/>
          <w:color w:val="1B5E20"/>
          <w:sz w:val="28"/>
        </w:rPr>
        <w:t>How This Report Was Built — and Where to Be Careful</w:t>
      </w:r>
    </w:p>
    <w:p>
      <w:pPr>
        <w:pStyle w:val="ListBullet"/>
        <w:spacing w:after="120"/>
      </w:pPr>
      <w:r>
        <w:rPr>
          <w:color w:val="1A1F1C"/>
          <w:sz w:val="21"/>
        </w:rPr>
        <w:t>Numbers and quotes are the speakers' own claims, passed through live machine translation — treat every statistic as "what the speaker said," not independently verified.</w:t>
      </w:r>
    </w:p>
    <w:p>
      <w:pPr>
        <w:pStyle w:val="ListBullet"/>
        <w:spacing w:after="120"/>
      </w:pPr>
      <w:r>
        <w:rPr>
          <w:color w:val="1A1F1C"/>
          <w:sz w:val="21"/>
        </w:rPr>
        <w:t>Some sentences are cut off where a floating app button covered the caption feed, or a photo was blurry. Gaps are left as gaps, not guessed at.</w:t>
      </w:r>
    </w:p>
    <w:p>
      <w:pPr>
        <w:pStyle w:val="ListBullet"/>
        <w:spacing w:after="120"/>
      </w:pPr>
      <w:r>
        <w:rPr>
          <w:color w:val="1A1F1C"/>
          <w:sz w:val="21"/>
        </w:rPr>
        <w:t>A few names have uncertain spelling in the captions (marked "name unconfirmed") — worth checking against the official program before external use.</w:t>
      </w:r>
    </w:p>
    <w:p>
      <w:pPr>
        <w:pStyle w:val="ListBullet"/>
        <w:spacing w:after="120"/>
      </w:pPr>
      <w:r>
        <w:rPr>
          <w:color w:val="1A1F1C"/>
          <w:sz w:val="21"/>
        </w:rPr>
        <w:t>AI Summit Seoul (AIS26) ran Aug 19-21; the third day (Aug 21) was dedicated to the exhibition floor. This report's talk/panel coverage spans Aug 19-20, plus expo photos captured across the event.</w:t>
      </w:r>
    </w:p>
    <w:p>
      <w:r>
        <w:br w:type="page"/>
      </w:r>
    </w:p>
    <w:p>
      <w:pPr>
        <w:pStyle w:val="Heading1"/>
      </w:pPr>
      <w:r>
        <w:rPr>
          <w:rFonts w:ascii="Calibri" w:hAnsi="Calibri"/>
          <w:color w:val="153D1F"/>
          <w:sz w:val="36"/>
        </w:rPr>
        <w:t>Six Terms Worth Knowing</w:t>
      </w:r>
    </w:p>
    <w:p>
      <w:pPr>
        <w:spacing w:after="160"/>
      </w:pPr>
      <w:r>
        <w:rPr>
          <w:b/>
          <w:color w:val="1B5E20"/>
          <w:sz w:val="21"/>
        </w:rPr>
        <w:t xml:space="preserve">Agentic AI — </w:t>
      </w:r>
      <w:r>
        <w:rPr>
          <w:sz w:val="21"/>
        </w:rPr>
        <w:t>AI that doesn't just answer a question, but takes multi-step actions on its own toward a goal.</w:t>
      </w:r>
    </w:p>
    <w:p>
      <w:pPr>
        <w:spacing w:after="160"/>
      </w:pPr>
      <w:r>
        <w:rPr>
          <w:b/>
          <w:color w:val="1B5E20"/>
          <w:sz w:val="21"/>
        </w:rPr>
        <w:t xml:space="preserve">AX — </w:t>
      </w:r>
      <w:r>
        <w:rPr>
          <w:sz w:val="21"/>
        </w:rPr>
        <w:t>Shorthand used throughout the summit for "AI Transformation" — enterprise-wide AI adoption, not just one tool.</w:t>
      </w:r>
    </w:p>
    <w:p>
      <w:pPr>
        <w:spacing w:after="160"/>
      </w:pPr>
      <w:r>
        <w:rPr>
          <w:b/>
          <w:color w:val="1B5E20"/>
          <w:sz w:val="21"/>
        </w:rPr>
        <w:t xml:space="preserve">Harness Engineering — </w:t>
      </w:r>
      <w:r>
        <w:rPr>
          <w:sz w:val="21"/>
        </w:rPr>
        <w:t>The tooling and guardrails built around an AI model so it can run unsupervised in production.</w:t>
      </w:r>
    </w:p>
    <w:p>
      <w:pPr>
        <w:spacing w:after="160"/>
      </w:pPr>
      <w:r>
        <w:rPr>
          <w:b/>
          <w:color w:val="1B5E20"/>
          <w:sz w:val="21"/>
        </w:rPr>
        <w:t xml:space="preserve">Sim-to-Real gap — </w:t>
      </w:r>
      <w:r>
        <w:rPr>
          <w:sz w:val="21"/>
        </w:rPr>
        <w:t>When something that works in a simulator/lab fails once it meets real-world mess (lighting, heat, unpredictable people).</w:t>
      </w:r>
    </w:p>
    <w:p>
      <w:pPr>
        <w:spacing w:after="160"/>
      </w:pPr>
      <w:r>
        <w:rPr>
          <w:b/>
          <w:color w:val="1B5E20"/>
          <w:sz w:val="21"/>
        </w:rPr>
        <w:t xml:space="preserve">World model — </w:t>
      </w:r>
      <w:r>
        <w:rPr>
          <w:sz w:val="21"/>
        </w:rPr>
        <w:t>An AI's internal understanding of how physical things behave — the piece robots need that chatbots don't.</w:t>
      </w:r>
    </w:p>
    <w:p>
      <w:pPr>
        <w:spacing w:after="160"/>
      </w:pPr>
      <w:r>
        <w:rPr>
          <w:b/>
          <w:color w:val="1B5E20"/>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Calibri" w:hAnsi="Calibri"/>
          <w:color w:val="153D1F"/>
          <w:sz w:val="36"/>
        </w:rPr>
        <w:t>Day 1 — Foundations &amp; the Enterprise Reality Check</w:t>
      </w:r>
    </w:p>
    <w:p>
      <w:r>
        <w:rPr>
          <w:i/>
          <w:color w:val="4A5650"/>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Calibri" w:hAnsi="Calibri"/>
          <w:b/>
          <w:color w:val="1A1F1C"/>
          <w:sz w:val="25"/>
        </w:rPr>
        <w:t>The Long Road to Agentic AI: A Pioneer's Perspective</w:t>
      </w:r>
    </w:p>
    <w:p>
      <w:pPr>
        <w:spacing w:after="40"/>
      </w:pPr>
      <w:r>
        <w:rPr>
          <w:i/>
          <w:color w:val="7C8A82"/>
          <w:sz w:val="19"/>
        </w:rPr>
        <w:t>선구자의 관점에서 본 AI 어시스턴트에서 에이전틱 AI의 시대</w:t>
      </w:r>
    </w:p>
    <w:p>
      <w:pPr>
        <w:spacing w:after="80"/>
      </w:pPr>
      <w:r>
        <w:rPr>
          <w:i/>
          <w:color w:val="153D1F"/>
          <w:sz w:val="19"/>
        </w:rPr>
        <w:t>Speaker name not captured on slide  |  Career: SRI -&gt; Nuance -&gt; Yahoo -&gt; Cortana -&gt; Google Assistant -&gt; Samsung Bixby/Viv -&gt; Georgia Tech</w:t>
      </w:r>
    </w:p>
    <w:p>
      <w:pPr>
        <w:spacing w:before="160" w:after="60"/>
      </w:pPr>
      <w:r>
        <w:rPr>
          <w:b/>
          <w:color w:val="1B5E20"/>
          <w:sz w:val="18"/>
        </w:rPr>
        <w:t>HIGHLIGHTS</w:t>
      </w:r>
    </w:p>
    <w:p>
      <w:pPr>
        <w:pStyle w:val="ListBullet"/>
        <w:spacing w:after="120"/>
      </w:pPr>
      <w:r>
        <w:rPr>
          <w:color w:val="1A1F1C"/>
          <w:sz w:val="21"/>
        </w:rPr>
        <w:t>Traced "agentic AI" back to SRI's 1995 Office Assistant — a system that routed speech, email, and calendar requests to specialist agents, the direct ancestor of Siri.</w:t>
      </w:r>
    </w:p>
    <w:p>
      <w:pPr>
        <w:pStyle w:val="ListBullet"/>
        <w:spacing w:after="120"/>
      </w:pPr>
      <w:r>
        <w:rPr>
          <w:color w:val="1A1F1C"/>
          <w:sz w:val="21"/>
        </w:rPr>
        <w:t>Argued 2010s-era assistants (Cortana, Google Assistant, Bixby) were deliberately limited, but controllable and fixable when something went wrong.</w:t>
      </w:r>
    </w:p>
    <w:p>
      <w:pPr>
        <w:pStyle w:val="ListBullet"/>
        <w:spacing w:after="120"/>
      </w:pPr>
      <w:r>
        <w:rPr>
          <w:color w:val="1A1F1C"/>
          <w:sz w:val="21"/>
        </w:rPr>
        <w:t>Called 2022's ChatGPT moment "the wrong turn": fluent, but the older, more controllable structure was thrown out along with the friction.</w:t>
      </w:r>
    </w:p>
    <w:p>
      <w:pPr>
        <w:pStyle w:val="ListBullet"/>
        <w:spacing w:after="120"/>
      </w:pPr>
      <w:r>
        <w:rPr>
          <w:color w:val="1A1F1C"/>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A1F1C"/>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2743200"/>
                    </a:xfrm>
                    <a:prstGeom prst="rect"/>
                  </pic:spPr>
                </pic:pic>
              </a:graphicData>
            </a:graphic>
          </wp:inline>
        </w:drawing>
      </w:r>
    </w:p>
    <w:p>
      <w:pPr>
        <w:spacing w:after="200"/>
        <w:jc w:val="center"/>
      </w:pPr>
      <w:r>
        <w:rPr>
          <w:i/>
          <w:color w:val="7C8A82"/>
          <w:sz w:val="17"/>
        </w:rPr>
        <w:t>SRI's 1995 "Office Assistant" — presented as the direct ancestor of today's AI agents.</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The pattern here suggests the industry conflated "more fluent" with "more capable." The deliberate constraints older assistants had — a defined belief state, a repair mechanism — weren't limitations to be discarded, they were the parts that made a system auditable. Losing them wasn't progress on every dimension, just on one.</w:t>
      </w:r>
    </w:p>
    <w:p>
      <w:pPr>
        <w:spacing w:before="160" w:after="60"/>
      </w:pPr>
      <w:r>
        <w:rPr>
          <w:b/>
          <w:color w:val="1B5E20"/>
          <w:sz w:val="18"/>
        </w:rPr>
        <w:t>TAKEAWAY</w:t>
      </w:r>
    </w:p>
    <w:p>
      <w:pPr>
        <w:shd w:val="clear" w:color="auto" w:fill="E6EFE4"/>
        <w:spacing w:before="40" w:after="200"/>
        <w:ind w:left="113"/>
      </w:pPr>
      <w:r>
        <w:rPr>
          <w:b/>
          <w:color w:val="153D1F"/>
          <w:sz w:val="21"/>
        </w:rPr>
        <w:t>Fluency isn't the same as reliability — a Future Ready test for which AI tools Benilde trusts with real responsibility, not just which ones sound impressive.</w:t>
      </w:r>
    </w:p>
    <w:p>
      <w:pPr>
        <w:spacing w:after="40"/>
      </w:pPr>
    </w:p>
    <w:p>
      <w:pPr>
        <w:pBdr>
          <w:bottom w:val="single" w:sz="6" w:space="1" w:color="DFE3DC"/>
        </w:pBdr>
      </w:pPr>
    </w:p>
    <w:p/>
    <w:p>
      <w:r>
        <w:rPr>
          <w:rFonts w:ascii="Calibri" w:hAnsi="Calibri"/>
          <w:b/>
          <w:color w:val="1A1F1C"/>
          <w:sz w:val="25"/>
        </w:rPr>
        <w:t>Agentic AI in Space: Traditional and Agentic AI Are Revolutionizing Space</w:t>
      </w:r>
    </w:p>
    <w:p>
      <w:pPr>
        <w:spacing w:after="40"/>
      </w:pPr>
      <w:r>
        <w:rPr>
          <w:i/>
          <w:color w:val="7C8A82"/>
          <w:sz w:val="19"/>
        </w:rPr>
        <w:t>지구 밖의 자율 AI: 60개 위성이 스스로 생각하고 협력하는 법</w:t>
      </w:r>
    </w:p>
    <w:p>
      <w:pPr>
        <w:spacing w:after="80"/>
      </w:pPr>
      <w:r>
        <w:rPr>
          <w:i/>
          <w:color w:val="153D1F"/>
          <w:sz w:val="19"/>
        </w:rPr>
        <w:t>Speaker name not captured on slide</w:t>
      </w:r>
    </w:p>
    <w:p>
      <w:pPr>
        <w:spacing w:before="160" w:after="60"/>
      </w:pPr>
      <w:r>
        <w:rPr>
          <w:b/>
          <w:color w:val="1B5E20"/>
          <w:sz w:val="18"/>
        </w:rPr>
        <w:t>HIGHLIGHTS</w:t>
      </w:r>
    </w:p>
    <w:p>
      <w:pPr>
        <w:pStyle w:val="ListBullet"/>
        <w:spacing w:after="120"/>
      </w:pPr>
      <w:r>
        <w:rPr>
          <w:color w:val="1A1F1C"/>
          <w:sz w:val="21"/>
        </w:rPr>
        <w:t>Demoed a workflow that detects an event, automatically picks the right satellites to look at it, and tracks it — shown live with a simulated Mount Pinatubo eruption.</w:t>
      </w:r>
    </w:p>
    <w:p>
      <w:pPr>
        <w:pStyle w:val="ListBullet"/>
        <w:spacing w:after="120"/>
      </w:pPr>
      <w:r>
        <w:rPr>
          <w:color w:val="1A1F1C"/>
          <w:sz w:val="21"/>
        </w:rPr>
        <w:t>Framed the goal as "humans on the loop, not in the loop" — people set intent and check results; the system does the coordination.</w:t>
      </w:r>
    </w:p>
    <w:p>
      <w:pPr>
        <w:pStyle w:val="ListBullet"/>
        <w:spacing w:after="120"/>
      </w:pPr>
      <w:r>
        <w:rPr>
          <w:color w:val="1A1F1C"/>
          <w:sz w:val="21"/>
        </w:rPr>
        <w:t>Closed on AI that builds its own step-by-step plan from a goal, instead of engineers hand-building a plan for every new situation.</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This model works because satellite tasking has cheap, reversible mistakes (re-point a sensor, try again) and a clear success metric (did we capture the event). Those conditions don't hold everywhere — which is exactly the caveat the Physical AI panel raises later that same evening.</w:t>
      </w:r>
    </w:p>
    <w:p>
      <w:pPr>
        <w:spacing w:before="160" w:after="60"/>
      </w:pPr>
      <w:r>
        <w:rPr>
          <w:b/>
          <w:color w:val="1B5E20"/>
          <w:sz w:val="18"/>
        </w:rPr>
        <w:t>TAKEAWAY</w:t>
      </w:r>
    </w:p>
    <w:p>
      <w:pPr>
        <w:shd w:val="clear" w:color="auto" w:fill="E6EFE4"/>
        <w:spacing w:before="40" w:after="200"/>
        <w:ind w:left="113"/>
      </w:pPr>
      <w:r>
        <w:rPr>
          <w:b/>
          <w:color w:val="153D1F"/>
          <w:sz w:val="21"/>
        </w:rPr>
        <w:t>"Set the goal, check the result" is a clean, Future Ready pattern worth borrowing for anything Benilde needs to coordinate across many systems at once — but only where mistakes are cheap to undo.</w:t>
      </w:r>
    </w:p>
    <w:p>
      <w:pPr>
        <w:spacing w:after="40"/>
      </w:pPr>
    </w:p>
    <w:p>
      <w:pPr>
        <w:pBdr>
          <w:bottom w:val="single" w:sz="6" w:space="1" w:color="DFE3DC"/>
        </w:pBdr>
      </w:pPr>
    </w:p>
    <w:p/>
    <w:p>
      <w:r>
        <w:rPr>
          <w:rFonts w:ascii="Calibri" w:hAnsi="Calibri"/>
          <w:b/>
          <w:color w:val="1A1F1C"/>
          <w:sz w:val="25"/>
        </w:rPr>
        <w:t>Is AI Actually Helping Enterprise Productivity?</w:t>
      </w:r>
    </w:p>
    <w:p>
      <w:pPr>
        <w:spacing w:after="80"/>
      </w:pPr>
      <w:r>
        <w:rPr>
          <w:i/>
          <w:color w:val="153D1F"/>
          <w:sz w:val="19"/>
        </w:rPr>
        <w:t>Featuring Prof. Kyungjong Lee — KB Kookmin Bank / KB Financial Group</w:t>
      </w:r>
    </w:p>
    <w:p>
      <w:pPr>
        <w:spacing w:before="160" w:after="60"/>
      </w:pPr>
      <w:r>
        <w:rPr>
          <w:b/>
          <w:color w:val="1B5E20"/>
          <w:sz w:val="18"/>
        </w:rPr>
        <w:t>HIGHLIGHTS</w:t>
      </w:r>
    </w:p>
    <w:p>
      <w:pPr>
        <w:pStyle w:val="ListBullet"/>
        <w:spacing w:after="120"/>
      </w:pPr>
      <w:r>
        <w:rPr>
          <w:color w:val="1A1F1C"/>
          <w:sz w:val="21"/>
        </w:rPr>
        <w:t>Of executives running multiple AI projects, only 6% said the projects moved profit by more than 2% — 94% saw no measurable financial impact.</w:t>
      </w:r>
    </w:p>
    <w:p>
      <w:pPr>
        <w:pStyle w:val="ListBullet"/>
        <w:spacing w:after="120"/>
      </w:pPr>
      <w:r>
        <w:rPr>
          <w:color w:val="1A1F1C"/>
          <w:sz w:val="21"/>
        </w:rPr>
        <w:t>A Bank of Korea survey found 60-70% of Korean companies say they're adopting AI, but fewer than 10% report actual results.</w:t>
      </w:r>
    </w:p>
    <w:p>
      <w:pPr>
        <w:pStyle w:val="ListBullet"/>
        <w:spacing w:after="120"/>
      </w:pPr>
      <w:r>
        <w:rPr>
          <w:color w:val="1A1F1C"/>
          <w:sz w:val="21"/>
        </w:rPr>
        <w:t>Gartner data: over half of enterprise AI projects get cancelled at the pilot stage, before ever reaching real use.</w:t>
      </w:r>
    </w:p>
    <w:p>
      <w:pPr>
        <w:pStyle w:val="ListBullet"/>
        <w:spacing w:after="120"/>
      </w:pPr>
      <w:r>
        <w:rPr>
          <w:color w:val="1A1F1C"/>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8A6C2C"/>
          <w:sz w:val="17"/>
        </w:rPr>
        <w:t xml:space="preserve">VISION 2030 PILLAR(S): </w:t>
      </w:r>
      <w:r>
        <w:rPr>
          <w:color w:val="1A1F1C"/>
          <w:sz w:val="19"/>
        </w:rPr>
        <w:t>Financial Growth | Future Ready</w:t>
      </w:r>
    </w:p>
    <w:p>
      <w:pPr>
        <w:spacing w:before="160" w:after="60"/>
      </w:pPr>
      <w:r>
        <w:rPr>
          <w:b/>
          <w:color w:val="3B5B7A"/>
          <w:sz w:val="18"/>
        </w:rPr>
        <w:t>INSIGHT</w:t>
      </w:r>
    </w:p>
    <w:p>
      <w:pPr>
        <w:spacing w:after="80"/>
      </w:pPr>
      <w:r>
        <w:rPr>
          <w:i/>
          <w:color w:val="4A5650"/>
          <w:sz w:val="21"/>
        </w:rPr>
        <w:t>Three independent sources — Gartner, a national bank survey, and this speaker's own executive polling — landed on the same story. That's not cherry-picked pessimism; it's the honest median experience going into 2026, and it should recalibrate how fast any new AI initiative is expected to show ROI.</w:t>
      </w:r>
    </w:p>
    <w:p>
      <w:pPr>
        <w:spacing w:before="160" w:after="60"/>
      </w:pPr>
      <w:r>
        <w:rPr>
          <w:b/>
          <w:color w:val="1B5E20"/>
          <w:sz w:val="18"/>
        </w:rPr>
        <w:t>TAKEAWAY</w:t>
      </w:r>
    </w:p>
    <w:p>
      <w:pPr>
        <w:shd w:val="clear" w:color="auto" w:fill="E6EFE4"/>
        <w:spacing w:before="40" w:after="200"/>
        <w:ind w:left="113"/>
      </w:pPr>
      <w:r>
        <w:rPr>
          <w:b/>
          <w:color w:val="153D1F"/>
          <w:sz w:val="21"/>
        </w:rPr>
        <w:t>"Everyone's using AI" and "AI is actually working here" are two very different claims — a Financial Growth and Future Ready distinction Benilde's own pilots should be measured against before budget scales.</w:t>
      </w:r>
    </w:p>
    <w:p>
      <w:pPr>
        <w:spacing w:after="40"/>
      </w:pPr>
    </w:p>
    <w:p>
      <w:pPr>
        <w:pBdr>
          <w:bottom w:val="single" w:sz="6" w:space="1" w:color="DFE3DC"/>
        </w:pBdr>
      </w:pPr>
    </w:p>
    <w:p/>
    <w:p>
      <w:r>
        <w:rPr>
          <w:rFonts w:ascii="Calibri" w:hAnsi="Calibri"/>
          <w:b/>
          <w:color w:val="1A1F1C"/>
          <w:sz w:val="25"/>
        </w:rPr>
        <w:t>2026 Enterprise Agentic AX Technology Trends: Harness &amp; Loop Engineering</w:t>
      </w:r>
    </w:p>
    <w:p>
      <w:pPr>
        <w:spacing w:after="40"/>
      </w:pPr>
      <w:r>
        <w:rPr>
          <w:i/>
          <w:color w:val="7C8A82"/>
          <w:sz w:val="19"/>
        </w:rPr>
        <w:t>2026 Enterprise Agentic AX 기술 트렌드 및 Harness &amp; Loop 엔지니어링 적용 사례 소개</w:t>
      </w:r>
    </w:p>
    <w:p>
      <w:pPr>
        <w:spacing w:after="80"/>
      </w:pPr>
      <w:r>
        <w:rPr>
          <w:i/>
          <w:color w:val="153D1F"/>
          <w:sz w:val="19"/>
        </w:rPr>
        <w:t>Speaker name not captured on slide</w:t>
      </w:r>
    </w:p>
    <w:p>
      <w:pPr>
        <w:spacing w:before="160" w:after="60"/>
      </w:pPr>
      <w:r>
        <w:rPr>
          <w:b/>
          <w:color w:val="1B5E20"/>
          <w:sz w:val="18"/>
        </w:rPr>
        <w:t>HIGHLIGHTS</w:t>
      </w:r>
    </w:p>
    <w:p>
      <w:pPr>
        <w:pStyle w:val="ListBullet"/>
        <w:spacing w:after="120"/>
      </w:pPr>
      <w:r>
        <w:rPr>
          <w:color w:val="1A1F1C"/>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A1F1C"/>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A1F1C"/>
          <w:sz w:val="21"/>
        </w:rPr>
        <w:t>Covered tools that give AI agents working "memory" across conversations, which most systems still lack by default.</w:t>
      </w:r>
    </w:p>
    <w:p>
      <w:pPr>
        <w:pStyle w:val="ListBullet"/>
        <w:spacing w:after="120"/>
      </w:pPr>
      <w:r>
        <w:rPr>
          <w:color w:val="1A1F1C"/>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2743200"/>
                    </a:xfrm>
                    <a:prstGeom prst="rect"/>
                  </pic:spPr>
                </pic:pic>
              </a:graphicData>
            </a:graphic>
          </wp:inline>
        </w:drawing>
      </w:r>
    </w:p>
    <w:p>
      <w:pPr>
        <w:spacing w:after="200"/>
        <w:jc w:val="center"/>
      </w:pPr>
      <w:r>
        <w:rPr>
          <w:i/>
          <w:color w:val="7C8A82"/>
          <w:sz w:val="17"/>
        </w:rPr>
        <w:t>"Harness Engineering" — the missing layer between a weekend prototype and enterprise-grade AI.</w:t>
      </w:r>
    </w:p>
    <w:p>
      <w:pPr>
        <w:shd w:val="clear" w:color="auto" w:fill="F1E8D4"/>
        <w:spacing w:before="120" w:after="120"/>
        <w:ind w:left="113"/>
      </w:pPr>
      <w:r>
        <w:rPr>
          <w:b/>
          <w:color w:val="8A6C2C"/>
          <w:sz w:val="17"/>
        </w:rPr>
        <w:t xml:space="preserve">VISION 2030 PILLAR(S): </w:t>
      </w:r>
      <w:r>
        <w:rPr>
          <w:color w:val="1A1F1C"/>
          <w:sz w:val="19"/>
        </w:rPr>
        <w:t>Future Ready | Global Partnership Engagement</w:t>
      </w:r>
    </w:p>
    <w:p>
      <w:pPr>
        <w:spacing w:before="160" w:after="60"/>
      </w:pPr>
      <w:r>
        <w:rPr>
          <w:b/>
          <w:color w:val="3B5B7A"/>
          <w:sz w:val="18"/>
        </w:rPr>
        <w:t>INSIGHT</w:t>
      </w:r>
    </w:p>
    <w:p>
      <w:pPr>
        <w:spacing w:after="80"/>
      </w:pPr>
      <w:r>
        <w:rPr>
          <w:i/>
          <w:color w:val="4A5650"/>
          <w:sz w:val="21"/>
        </w:rPr>
        <w:t>Four fierce competitors converging on the identical business model, at the same time, is a strong signal that the model layer has genuinely commoditized. The real competitive edge — and the real lock-in risk — has moved to deployment expertise, not which model a company licenses.</w:t>
      </w:r>
    </w:p>
    <w:p>
      <w:pPr>
        <w:spacing w:before="160" w:after="60"/>
      </w:pPr>
      <w:r>
        <w:rPr>
          <w:b/>
          <w:color w:val="1B5E20"/>
          <w:sz w:val="18"/>
        </w:rPr>
        <w:t>TAKEAWAY</w:t>
      </w:r>
    </w:p>
    <w:p>
      <w:pPr>
        <w:shd w:val="clear" w:color="auto" w:fill="E6EFE4"/>
        <w:spacing w:before="40" w:after="200"/>
        <w:ind w:left="113"/>
      </w:pPr>
      <w:r>
        <w:rPr>
          <w:b/>
          <w:color w:val="153D1F"/>
          <w:sz w:val="21"/>
        </w:rPr>
        <w:t>Every major AI vendor now sells hands-on deployment help, not just model access — a Global Partnership Engagement detail worth negotiating into any platform contract Benilde signs, and a Future Ready sign that picking a model was never the hard part.</w:t>
      </w:r>
    </w:p>
    <w:p>
      <w:pPr>
        <w:spacing w:after="40"/>
      </w:pPr>
    </w:p>
    <w:p>
      <w:pPr>
        <w:pBdr>
          <w:bottom w:val="single" w:sz="6" w:space="1" w:color="DFE3DC"/>
        </w:pBdr>
      </w:pPr>
    </w:p>
    <w:p/>
    <w:p>
      <w:r>
        <w:rPr>
          <w:rFonts w:ascii="Calibri" w:hAnsi="Calibri"/>
          <w:b/>
          <w:color w:val="1A1F1C"/>
          <w:sz w:val="25"/>
        </w:rPr>
        <w:t>The Agentic Data Stack: Speed and Simplicity for AI That Scales</w:t>
      </w:r>
    </w:p>
    <w:p>
      <w:pPr>
        <w:spacing w:after="80"/>
      </w:pPr>
      <w:r>
        <w:rPr>
          <w:i/>
          <w:color w:val="153D1F"/>
          <w:sz w:val="19"/>
        </w:rPr>
        <w:t>ClickHouse</w:t>
      </w:r>
    </w:p>
    <w:p>
      <w:pPr>
        <w:spacing w:before="160" w:after="60"/>
      </w:pPr>
      <w:r>
        <w:rPr>
          <w:b/>
          <w:color w:val="1B5E20"/>
          <w:sz w:val="18"/>
        </w:rPr>
        <w:t>HIGHLIGHTS</w:t>
      </w:r>
    </w:p>
    <w:p>
      <w:pPr>
        <w:pStyle w:val="ListBullet"/>
        <w:spacing w:after="120"/>
      </w:pPr>
      <w:r>
        <w:rPr>
          <w:color w:val="1A1F1C"/>
          <w:sz w:val="21"/>
        </w:rPr>
        <w:t>Walked through how AI queries databases changed over 2022-2025: from one predictable request per user, to an AI agent firing off many unpredictable requests at once.</w:t>
      </w:r>
    </w:p>
    <w:p>
      <w:pPr>
        <w:pStyle w:val="ListBullet"/>
        <w:spacing w:after="120"/>
      </w:pPr>
      <w:r>
        <w:rPr>
          <w:color w:val="1A1F1C"/>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2743200"/>
                    </a:xfrm>
                    <a:prstGeom prst="rect"/>
                  </pic:spPr>
                </pic:pic>
              </a:graphicData>
            </a:graphic>
          </wp:inline>
        </w:drawing>
      </w:r>
    </w:p>
    <w:p>
      <w:pPr>
        <w:spacing w:after="200"/>
        <w:jc w:val="center"/>
      </w:pPr>
      <w:r>
        <w:rPr>
          <w:i/>
          <w:color w:val="7C8A82"/>
          <w:sz w:val="17"/>
        </w:rPr>
        <w:t>ClickHouse's closing slide, citing its use inside OpenAI's and Anthropic's own systems.</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This shift from predictable to unpredictable query load is a capacity-planning cost most organizations haven't priced into their infrastructure budgets yet — it's a hidden multiplier that shows up only once a pilot actually scales, not during the demo.</w:t>
      </w:r>
    </w:p>
    <w:p>
      <w:pPr>
        <w:spacing w:before="160" w:after="60"/>
      </w:pPr>
      <w:r>
        <w:rPr>
          <w:b/>
          <w:color w:val="1B5E20"/>
          <w:sz w:val="18"/>
        </w:rPr>
        <w:t>TAKEAWAY</w:t>
      </w:r>
    </w:p>
    <w:p>
      <w:pPr>
        <w:shd w:val="clear" w:color="auto" w:fill="E6EFE4"/>
        <w:spacing w:before="40" w:after="200"/>
        <w:ind w:left="113"/>
      </w:pPr>
      <w:r>
        <w:rPr>
          <w:b/>
          <w:color w:val="153D1F"/>
          <w:sz w:val="21"/>
        </w:rPr>
        <w:t>AI agents need a database built for many unpredictable requests at once — a Future Ready requirement for Benilde's own data warehouse ahead of any college-wide AI platform decision.</w:t>
      </w:r>
    </w:p>
    <w:p>
      <w:pPr>
        <w:spacing w:after="40"/>
      </w:pPr>
    </w:p>
    <w:p>
      <w:pPr>
        <w:pBdr>
          <w:bottom w:val="single" w:sz="6" w:space="1" w:color="DFE3DC"/>
        </w:pBdr>
      </w:pPr>
    </w:p>
    <w:p/>
    <w:p>
      <w:r>
        <w:rPr>
          <w:rFonts w:ascii="Calibri" w:hAnsi="Calibri"/>
          <w:b/>
          <w:color w:val="1A1F1C"/>
          <w:sz w:val="25"/>
        </w:rPr>
        <w:t>From Models to Reality: What It Takes to Run AI Reliably at Scale</w:t>
      </w:r>
    </w:p>
    <w:p>
      <w:pPr>
        <w:spacing w:after="40"/>
      </w:pPr>
      <w:r>
        <w:rPr>
          <w:i/>
          <w:color w:val="7C8A82"/>
          <w:sz w:val="19"/>
        </w:rPr>
        <w:t>모델에서 현실까지: 대규모 AI를 안정적으로 운영하기 위한 조건</w:t>
      </w:r>
    </w:p>
    <w:p>
      <w:pPr>
        <w:spacing w:after="80"/>
      </w:pPr>
      <w:r>
        <w:rPr>
          <w:i/>
          <w:color w:val="153D1F"/>
          <w:sz w:val="19"/>
        </w:rPr>
        <w:t>Colin Presly — VP, Customer Engineering, Seagate Technology</w:t>
      </w:r>
    </w:p>
    <w:p>
      <w:pPr>
        <w:spacing w:before="160" w:after="60"/>
      </w:pPr>
      <w:r>
        <w:rPr>
          <w:b/>
          <w:color w:val="1B5E20"/>
          <w:sz w:val="18"/>
        </w:rPr>
        <w:t>HIGHLIGHTS</w:t>
      </w:r>
    </w:p>
    <w:p>
      <w:pPr>
        <w:pStyle w:val="ListBullet"/>
        <w:spacing w:after="120"/>
      </w:pPr>
      <w:r>
        <w:rPr>
          <w:color w:val="1A1F1C"/>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A1F1C"/>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A1F1C"/>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27432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2743200"/>
                    </a:xfrm>
                    <a:prstGeom prst="rect"/>
                  </pic:spPr>
                </pic:pic>
              </a:graphicData>
            </a:graphic>
          </wp:inline>
        </w:drawing>
      </w:r>
    </w:p>
    <w:p>
      <w:pPr>
        <w:spacing w:after="200"/>
        <w:jc w:val="center"/>
      </w:pPr>
      <w:r>
        <w:rPr>
          <w:i/>
          <w:color w:val="7C8A82"/>
          <w:sz w:val="17"/>
        </w:rPr>
        <w:t>Seagate's closing point: AI made the underlying data itself the scarce, valuable asset.</w:t>
      </w:r>
    </w:p>
    <w:p>
      <w:pPr>
        <w:shd w:val="clear" w:color="auto" w:fill="F1E8D4"/>
        <w:spacing w:before="120" w:after="120"/>
        <w:ind w:left="113"/>
      </w:pPr>
      <w:r>
        <w:rPr>
          <w:b/>
          <w:color w:val="8A6C2C"/>
          <w:sz w:val="17"/>
        </w:rPr>
        <w:t xml:space="preserve">VISION 2030 PILLAR(S): </w:t>
      </w:r>
      <w:r>
        <w:rPr>
          <w:color w:val="1A1F1C"/>
          <w:sz w:val="19"/>
        </w:rPr>
        <w:t>Financial Growth | Future Ready</w:t>
      </w:r>
    </w:p>
    <w:p>
      <w:pPr>
        <w:spacing w:before="160" w:after="60"/>
      </w:pPr>
      <w:r>
        <w:rPr>
          <w:b/>
          <w:color w:val="3B5B7A"/>
          <w:sz w:val="18"/>
        </w:rPr>
        <w:t>INSIGHT</w:t>
      </w:r>
    </w:p>
    <w:p>
      <w:pPr>
        <w:spacing w:after="80"/>
      </w:pPr>
      <w:r>
        <w:rPr>
          <w:i/>
          <w:color w:val="4A5650"/>
          <w:sz w:val="21"/>
        </w:rPr>
        <w:t>Framing data as "the most valuable asset" is self-serving coming from a storage vendor — but the underlying number is a useful corrective. AI cost conversations fixate on GPU spend; the 85-95%-on-hard-drives figure says storage economics deserve equal attention.</w:t>
      </w:r>
    </w:p>
    <w:p>
      <w:pPr>
        <w:spacing w:before="160" w:after="60"/>
      </w:pPr>
      <w:r>
        <w:rPr>
          <w:b/>
          <w:color w:val="1B5E20"/>
          <w:sz w:val="18"/>
        </w:rPr>
        <w:t>TAKEAWAY</w:t>
      </w:r>
    </w:p>
    <w:p>
      <w:pPr>
        <w:shd w:val="clear" w:color="auto" w:fill="E6EFE4"/>
        <w:spacing w:before="40" w:after="200"/>
        <w:ind w:left="113"/>
      </w:pPr>
      <w:r>
        <w:rPr>
          <w:b/>
          <w:color w:val="153D1F"/>
          <w:sz w:val="21"/>
        </w:rPr>
        <w:t>Every AI conversation eventually becomes a data-storage conversation — a Financial Growth and Future Ready reminder that where Benilde's data lives decides what its AI initiatives can actually afford to run.</w:t>
      </w:r>
    </w:p>
    <w:p>
      <w:pPr>
        <w:spacing w:after="40"/>
      </w:pPr>
    </w:p>
    <w:p>
      <w:pPr>
        <w:pBdr>
          <w:bottom w:val="single" w:sz="6" w:space="1" w:color="DFE3DC"/>
        </w:pBdr>
      </w:pPr>
    </w:p>
    <w:p/>
    <w:p>
      <w:r>
        <w:rPr>
          <w:rFonts w:ascii="Calibri" w:hAnsi="Calibri"/>
          <w:b/>
          <w:color w:val="1A1F1C"/>
          <w:sz w:val="25"/>
        </w:rPr>
        <w:t>How AI Is Redefining the Future of Work</w:t>
      </w:r>
    </w:p>
    <w:p>
      <w:pPr>
        <w:spacing w:after="40"/>
      </w:pPr>
      <w:r>
        <w:rPr>
          <w:i/>
          <w:color w:val="7C8A82"/>
          <w:sz w:val="19"/>
        </w:rPr>
        <w:t>AI가 바꾸는 일의 미래</w:t>
      </w:r>
    </w:p>
    <w:p>
      <w:pPr>
        <w:spacing w:after="80"/>
      </w:pPr>
      <w:r>
        <w:rPr>
          <w:i/>
          <w:color w:val="153D1F"/>
          <w:sz w:val="19"/>
        </w:rPr>
        <w:t>Speaker name not captured on slide</w:t>
      </w:r>
    </w:p>
    <w:p>
      <w:pPr>
        <w:spacing w:before="160" w:after="60"/>
      </w:pPr>
      <w:r>
        <w:rPr>
          <w:b/>
          <w:color w:val="1B5E20"/>
          <w:sz w:val="18"/>
        </w:rPr>
        <w:t>HIGHLIGHTS</w:t>
      </w:r>
    </w:p>
    <w:p>
      <w:pPr>
        <w:pStyle w:val="ListBullet"/>
        <w:spacing w:after="120"/>
      </w:pPr>
      <w:r>
        <w:rPr>
          <w:color w:val="1A1F1C"/>
          <w:sz w:val="21"/>
        </w:rPr>
        <w:t>Roughly 30% of the global office workforce is now Gen Z, a group with notably higher entrepreneurial and side-project instincts than earlier generations.</w:t>
      </w:r>
    </w:p>
    <w:p>
      <w:pPr>
        <w:pStyle w:val="ListBullet"/>
        <w:spacing w:after="120"/>
      </w:pPr>
      <w:r>
        <w:rPr>
          <w:color w:val="1A1F1C"/>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27432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2743200"/>
                    </a:xfrm>
                    <a:prstGeom prst="rect"/>
                  </pic:spPr>
                </pic:pic>
              </a:graphicData>
            </a:graphic>
          </wp:inline>
        </w:drawing>
      </w:r>
    </w:p>
    <w:p>
      <w:pPr>
        <w:spacing w:after="200"/>
        <w:jc w:val="center"/>
      </w:pPr>
      <w:r>
        <w:rPr>
          <w:i/>
          <w:color w:val="7C8A82"/>
          <w:sz w:val="17"/>
        </w:rPr>
        <w:t>Workforce-composition framing for why AI-native habits are arriving from the entry level up.</w:t>
      </w:r>
    </w:p>
    <w:p>
      <w:pPr>
        <w:shd w:val="clear" w:color="auto" w:fill="F1E8D4"/>
        <w:spacing w:before="120" w:after="120"/>
        <w:ind w:left="113"/>
      </w:pPr>
      <w:r>
        <w:rPr>
          <w:b/>
          <w:color w:val="8A6C2C"/>
          <w:sz w:val="17"/>
        </w:rPr>
        <w:t xml:space="preserve">VISION 2030 PILLAR(S): </w:t>
      </w:r>
      <w:r>
        <w:rPr>
          <w:color w:val="1A1F1C"/>
          <w:sz w:val="19"/>
        </w:rPr>
        <w:t>Enrollment Growth | Future Ready</w:t>
      </w:r>
    </w:p>
    <w:p>
      <w:pPr>
        <w:spacing w:before="160" w:after="60"/>
      </w:pPr>
      <w:r>
        <w:rPr>
          <w:b/>
          <w:color w:val="3B5B7A"/>
          <w:sz w:val="18"/>
        </w:rPr>
        <w:t>INSIGHT</w:t>
      </w:r>
    </w:p>
    <w:p>
      <w:pPr>
        <w:spacing w:after="80"/>
      </w:pPr>
      <w:r>
        <w:rPr>
          <w:i/>
          <w:color w:val="4A5650"/>
          <w:sz w:val="21"/>
        </w:rPr>
        <w:t>This is really a governance-mismatch warning: policies written by, and for, senior leadership may end up regulating the group least likely to be driving actual day-to-day AI usage on the ground.</w:t>
      </w:r>
    </w:p>
    <w:p>
      <w:pPr>
        <w:spacing w:before="160" w:after="60"/>
      </w:pPr>
      <w:r>
        <w:rPr>
          <w:b/>
          <w:color w:val="1B5E20"/>
          <w:sz w:val="18"/>
        </w:rPr>
        <w:t>TAKEAWAY</w:t>
      </w:r>
    </w:p>
    <w:p>
      <w:pPr>
        <w:shd w:val="clear" w:color="auto" w:fill="E6EFE4"/>
        <w:spacing w:before="40" w:after="200"/>
        <w:ind w:left="113"/>
      </w:pPr>
      <w:r>
        <w:rPr>
          <w:b/>
          <w:color w:val="153D1F"/>
          <w:sz w:val="21"/>
        </w:rPr>
        <w:t>AI habits are forming fastest at the newest, least senior level of the workforce — the same cohort Benilde recruits for Enrollment Growth, and a Future Ready reason to design training for entry-level fluency, not leadership alone.</w:t>
      </w:r>
    </w:p>
    <w:p>
      <w:pPr>
        <w:spacing w:after="40"/>
      </w:pPr>
    </w:p>
    <w:p>
      <w:pPr>
        <w:pBdr>
          <w:bottom w:val="single" w:sz="6" w:space="1" w:color="DFE3DC"/>
        </w:pBdr>
      </w:pPr>
    </w:p>
    <w:p/>
    <w:p>
      <w:r>
        <w:rPr>
          <w:rFonts w:ascii="Calibri" w:hAnsi="Calibri"/>
          <w:b/>
          <w:color w:val="1A1F1C"/>
          <w:sz w:val="25"/>
        </w:rPr>
        <w:t>Building as a Creative Act: An Innovator's Mindset for the AI Age</w:t>
      </w:r>
    </w:p>
    <w:p>
      <w:pPr>
        <w:spacing w:after="40"/>
      </w:pPr>
      <w:r>
        <w:rPr>
          <w:i/>
          <w:color w:val="7C8A82"/>
          <w:sz w:val="19"/>
        </w:rPr>
        <w:t>AI 시대의 혁신가의 마인드셋</w:t>
      </w:r>
    </w:p>
    <w:p>
      <w:pPr>
        <w:spacing w:after="80"/>
      </w:pPr>
      <w:r>
        <w:rPr>
          <w:i/>
          <w:color w:val="153D1F"/>
          <w:sz w:val="19"/>
        </w:rPr>
        <w:t>Savannah Kunovsky — Managing Director, IDEO AI MTechLab</w:t>
      </w:r>
    </w:p>
    <w:p>
      <w:pPr>
        <w:spacing w:before="160" w:after="60"/>
      </w:pPr>
      <w:r>
        <w:rPr>
          <w:b/>
          <w:color w:val="1B5E20"/>
          <w:sz w:val="18"/>
        </w:rPr>
        <w:t>HIGHLIGHTS</w:t>
      </w:r>
    </w:p>
    <w:p>
      <w:pPr>
        <w:pStyle w:val="ListBullet"/>
        <w:spacing w:after="120"/>
      </w:pPr>
      <w:r>
        <w:rPr>
          <w:color w:val="1A1F1C"/>
          <w:sz w:val="21"/>
        </w:rPr>
        <w:t>Opening keynote of the afternoon, framed as "the innovator's mindset in the age of AI" from IDEO's AI-focused lab.</w:t>
      </w:r>
    </w:p>
    <w:p>
      <w:pPr>
        <w:pStyle w:val="ListBullet"/>
        <w:spacing w:after="120"/>
      </w:pPr>
      <w:r>
        <w:rPr>
          <w:color w:val="1A1F1C"/>
          <w:sz w:val="21"/>
        </w:rPr>
        <w:t>Its framing of embodiment was picked up directly, by name, later that same day in the Physical AI panel.</w:t>
      </w:r>
    </w:p>
    <w:p>
      <w:pPr>
        <w:jc w:val="center"/>
      </w:pPr>
      <w:r>
        <w:drawing>
          <wp:inline xmlns:a="http://schemas.openxmlformats.org/drawingml/2006/main" xmlns:pic="http://schemas.openxmlformats.org/drawingml/2006/picture">
            <wp:extent cx="3657600" cy="2743200"/>
            <wp:docPr id="7" name="Picture 7"/>
            <wp:cNvGraphicFramePr>
              <a:graphicFrameLocks noChangeAspect="1"/>
            </wp:cNvGraphicFramePr>
            <a:graphic>
              <a:graphicData uri="http://schemas.openxmlformats.org/drawingml/2006/picture">
                <pic:pic>
                  <pic:nvPicPr>
                    <pic:cNvPr id="0" name="kunovsky.jpg"/>
                    <pic:cNvPicPr/>
                  </pic:nvPicPr>
                  <pic:blipFill>
                    <a:blip r:embed="rId15"/>
                    <a:stretch>
                      <a:fillRect/>
                    </a:stretch>
                  </pic:blipFill>
                  <pic:spPr>
                    <a:xfrm>
                      <a:off x="0" y="0"/>
                      <a:ext cx="3657600" cy="2743200"/>
                    </a:xfrm>
                    <a:prstGeom prst="rect"/>
                  </pic:spPr>
                </pic:pic>
              </a:graphicData>
            </a:graphic>
          </wp:inline>
        </w:drawing>
      </w:r>
    </w:p>
    <w:p>
      <w:pPr>
        <w:spacing w:after="200"/>
        <w:jc w:val="center"/>
      </w:pPr>
      <w:r>
        <w:rPr>
          <w:i/>
          <w:color w:val="7C8A82"/>
          <w:sz w:val="17"/>
        </w:rPr>
        <w:t>Introduction slide for the IDEO AI MTechLab keynote.</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Keynotes that introduce one reusable concept function as shared vocabulary for the rest of an event. Watching which framing gets picked up by unrelated later sessions — as "embodiment" was here — is a useful signal for what a field is actually converging on, versus what's just one speaker's pet phrase.</w:t>
      </w:r>
    </w:p>
    <w:p>
      <w:pPr>
        <w:spacing w:before="160" w:after="60"/>
      </w:pPr>
      <w:r>
        <w:rPr>
          <w:b/>
          <w:color w:val="1B5E20"/>
          <w:sz w:val="18"/>
        </w:rPr>
        <w:t>TAKEAWAY</w:t>
      </w:r>
    </w:p>
    <w:p>
      <w:pPr>
        <w:shd w:val="clear" w:color="auto" w:fill="E6EFE4"/>
        <w:spacing w:before="40" w:after="200"/>
        <w:ind w:left="113"/>
      </w:pPr>
      <w:r>
        <w:rPr>
          <w:b/>
          <w:color w:val="153D1F"/>
          <w:sz w:val="21"/>
        </w:rPr>
        <w:t>"Embodiment" — intelligence that has to act in, and be checked against, the physical world — became this summit's connective thread, and a Future Ready concept worth tracking as AI moves from chat into physical/creative practice.</w:t>
      </w:r>
    </w:p>
    <w:p>
      <w:pPr>
        <w:spacing w:after="40"/>
      </w:pPr>
    </w:p>
    <w:p>
      <w:pPr>
        <w:pBdr>
          <w:bottom w:val="single" w:sz="6" w:space="1" w:color="DFE3DC"/>
        </w:pBdr>
      </w:pPr>
    </w:p>
    <w:p/>
    <w:p>
      <w:r>
        <w:rPr>
          <w:rFonts w:ascii="Calibri" w:hAnsi="Calibri"/>
          <w:b/>
          <w:color w:val="1A1F1C"/>
          <w:sz w:val="25"/>
        </w:rPr>
        <w:t>Beyond Better Models: What Will Define the Next Era of AI?</w:t>
      </w:r>
    </w:p>
    <w:p>
      <w:pPr>
        <w:spacing w:after="40"/>
      </w:pPr>
      <w:r>
        <w:rPr>
          <w:i/>
          <w:color w:val="7C8A82"/>
          <w:sz w:val="19"/>
        </w:rPr>
        <w:t>AI 에이전트의 미래: 더 나은 모델이 아니라 더 나은 워크플로우</w:t>
      </w:r>
    </w:p>
    <w:p>
      <w:pPr>
        <w:spacing w:after="80"/>
      </w:pPr>
      <w:r>
        <w:rPr>
          <w:i/>
          <w:color w:val="153D1F"/>
          <w:sz w:val="19"/>
        </w:rPr>
        <w:t>Genspark</w:t>
      </w:r>
    </w:p>
    <w:p>
      <w:pPr>
        <w:spacing w:before="160" w:after="60"/>
      </w:pPr>
      <w:r>
        <w:rPr>
          <w:b/>
          <w:color w:val="1B5E20"/>
          <w:sz w:val="18"/>
        </w:rPr>
        <w:t>HIGHLIGHTS</w:t>
      </w:r>
    </w:p>
    <w:p>
      <w:pPr>
        <w:pStyle w:val="ListBullet"/>
        <w:spacing w:after="120"/>
      </w:pPr>
      <w:r>
        <w:rPr>
          <w:color w:val="1A1F1C"/>
          <w:sz w:val="21"/>
        </w:rPr>
        <w:t>Shared growth numbers as evidence: $250M in yearly revenue within 12 months from zero, $645M raised at a $2.6B valuation, over 7,000 paying business customers.</w:t>
      </w:r>
    </w:p>
    <w:p>
      <w:pPr>
        <w:pStyle w:val="ListBullet"/>
        <w:spacing w:after="120"/>
      </w:pPr>
      <w:r>
        <w:rPr>
          <w:color w:val="1A1F1C"/>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2743200"/>
            <wp:docPr id="8" name="Picture 8"/>
            <wp:cNvGraphicFramePr>
              <a:graphicFrameLocks noChangeAspect="1"/>
            </wp:cNvGraphicFramePr>
            <a:graphic>
              <a:graphicData uri="http://schemas.openxmlformats.org/drawingml/2006/picture">
                <pic:pic>
                  <pic:nvPicPr>
                    <pic:cNvPr id="0" name="genspark.jpg"/>
                    <pic:cNvPicPr/>
                  </pic:nvPicPr>
                  <pic:blipFill>
                    <a:blip r:embed="rId16"/>
                    <a:stretch>
                      <a:fillRect/>
                    </a:stretch>
                  </pic:blipFill>
                  <pic:spPr>
                    <a:xfrm>
                      <a:off x="0" y="0"/>
                      <a:ext cx="3657600" cy="2743200"/>
                    </a:xfrm>
                    <a:prstGeom prst="rect"/>
                  </pic:spPr>
                </pic:pic>
              </a:graphicData>
            </a:graphic>
          </wp:inline>
        </w:drawing>
      </w:r>
    </w:p>
    <w:p>
      <w:pPr>
        <w:spacing w:after="200"/>
        <w:jc w:val="center"/>
      </w:pPr>
      <w:r>
        <w:rPr>
          <w:i/>
          <w:color w:val="7C8A82"/>
          <w:sz w:val="17"/>
        </w:rPr>
        <w:t>Genspark's growth numbers, offered as evidence for its "context, not bigger models" argument.</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When a vendor's growth pitch and a completely unrelated speaker's opening keynote independently reach the same architectural conclusion hours apart, that's a stronger signal of real market consensus than either claim would be alone — it's less likely to be one company's marketing spin.</w:t>
      </w:r>
    </w:p>
    <w:p>
      <w:pPr>
        <w:spacing w:before="160" w:after="60"/>
      </w:pPr>
      <w:r>
        <w:rPr>
          <w:b/>
          <w:color w:val="1B5E20"/>
          <w:sz w:val="18"/>
        </w:rPr>
        <w:t>TAKEAWAY</w:t>
      </w:r>
    </w:p>
    <w:p>
      <w:pPr>
        <w:shd w:val="clear" w:color="auto" w:fill="E6EFE4"/>
        <w:spacing w:before="40" w:after="200"/>
        <w:ind w:left="113"/>
      </w:pPr>
      <w:r>
        <w:rPr>
          <w:b/>
          <w:color w:val="153D1F"/>
          <w:sz w:val="21"/>
        </w:rPr>
        <w:t>Two unrelated speakers, hours apart, reached the same conclusion: a persistent memory/context layer matters more than a bigger model — a Future Ready principle for evaluating any AI tool Benilde considers, regardless of vendor.</w:t>
      </w:r>
    </w:p>
    <w:p>
      <w:pPr>
        <w:spacing w:after="40"/>
      </w:pPr>
    </w:p>
    <w:p>
      <w:pPr>
        <w:pBdr>
          <w:bottom w:val="single" w:sz="6" w:space="1" w:color="DFE3DC"/>
        </w:pBdr>
      </w:pPr>
    </w:p>
    <w:p/>
    <w:p>
      <w:r>
        <w:rPr>
          <w:rFonts w:ascii="Calibri" w:hAnsi="Calibri"/>
          <w:b/>
          <w:color w:val="1A1F1C"/>
          <w:sz w:val="25"/>
        </w:rPr>
        <w:t>The Era of Physical AI: The Future of Industry Transformed by Physical AI</w:t>
      </w:r>
    </w:p>
    <w:p>
      <w:pPr>
        <w:spacing w:after="80"/>
      </w:pPr>
      <w:r>
        <w:rPr>
          <w:i/>
          <w:color w:val="153D1F"/>
          <w:sz w:val="19"/>
        </w:rPr>
        <w:t>Moderator: Prof. Doohee Jeong (Handong Global University / Impactive AI)  |  Panelists: Prof. Ahyoung Kim (Seoul National University), Tony Jang (CEO, FactoryLab.AI, ex-Hyundai AutoEver), CTO Seung-young Lee (LIG Defense &amp; Aerospace)</w:t>
      </w:r>
    </w:p>
    <w:p>
      <w:pPr>
        <w:spacing w:before="160" w:after="60"/>
      </w:pPr>
      <w:r>
        <w:rPr>
          <w:b/>
          <w:color w:val="1B5E20"/>
          <w:sz w:val="18"/>
        </w:rPr>
        <w:t>HIGHLIGHTS</w:t>
      </w:r>
    </w:p>
    <w:p>
      <w:pPr>
        <w:pStyle w:val="ListBullet"/>
        <w:spacing w:after="120"/>
      </w:pPr>
      <w:r>
        <w:rPr>
          <w:color w:val="1A1F1C"/>
          <w:sz w:val="21"/>
        </w:rPr>
      </w:r>
      <w:r>
        <w:rPr>
          <w:b/>
          <w:color w:val="153D1F"/>
          <w:sz w:val="21"/>
        </w:rPr>
        <w:t>Why now:</w:t>
      </w:r>
      <w:r>
        <w:rPr>
          <w:color w:val="1A1F1C"/>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A1F1C"/>
          <w:sz w:val="21"/>
        </w:rPr>
      </w:r>
      <w:r>
        <w:rPr>
          <w:b/>
          <w:color w:val="153D1F"/>
          <w:sz w:val="21"/>
        </w:rPr>
        <w:t>Demo vs. real deployment (Tony Jang):</w:t>
      </w:r>
      <w:r>
        <w:rPr>
          <w:color w:val="1A1F1C"/>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A1F1C"/>
          <w:sz w:val="21"/>
        </w:rPr>
      </w:r>
      <w:r>
        <w:rPr>
          <w:b/>
          <w:color w:val="153D1F"/>
          <w:sz w:val="21"/>
        </w:rPr>
        <w:t>When is a "world model" real, not marketing?</w:t>
      </w:r>
      <w:r>
        <w:rPr>
          <w:color w:val="1A1F1C"/>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A1F1C"/>
          <w:sz w:val="21"/>
        </w:rPr>
      </w:r>
      <w:r>
        <w:rPr>
          <w:b/>
          <w:color w:val="153D1F"/>
          <w:sz w:val="21"/>
        </w:rPr>
        <w:t>Where should AI's freedom to act stop? (CTO Seung-young Lee):</w:t>
      </w:r>
      <w:r>
        <w:rPr>
          <w:color w:val="1A1F1C"/>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A1F1C"/>
          <w:sz w:val="21"/>
        </w:rPr>
      </w:r>
      <w:r>
        <w:rPr>
          <w:b/>
          <w:color w:val="153D1F"/>
          <w:sz w:val="21"/>
        </w:rPr>
        <w:t>Why lab-tested AI often fails in the real world:</w:t>
      </w:r>
      <w:r>
        <w:rPr>
          <w:color w:val="1A1F1C"/>
          <w:sz w:val="21"/>
        </w:rPr>
        <w:t xml:space="preserve"> roughly half the time it's software (lab conditions don't match reality); the other half is hardware (heat, vibration, signal loss that's hard to simulate).</w:t>
      </w:r>
    </w:p>
    <w:p>
      <w:pPr>
        <w:pStyle w:val="ListBullet"/>
        <w:spacing w:after="120"/>
      </w:pPr>
      <w:r>
        <w:rPr>
          <w:color w:val="1A1F1C"/>
          <w:sz w:val="21"/>
        </w:rPr>
      </w:r>
      <w:r>
        <w:rPr>
          <w:b/>
          <w:color w:val="153D1F"/>
          <w:sz w:val="21"/>
        </w:rPr>
        <w:t>Testing under active interference:</w:t>
      </w:r>
      <w:r>
        <w:rPr>
          <w:color w:val="1A1F1C"/>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27432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2743200"/>
                    </a:xfrm>
                    <a:prstGeom prst="rect"/>
                  </pic:spPr>
                </pic:pic>
              </a:graphicData>
            </a:graphic>
          </wp:inline>
        </w:drawing>
      </w:r>
    </w:p>
    <w:p>
      <w:pPr>
        <w:spacing w:after="200"/>
        <w:jc w:val="center"/>
      </w:pPr>
      <w:r>
        <w:rPr>
          <w:i/>
          <w:color w:val="7C8A82"/>
          <w:sz w:val="17"/>
        </w:rPr>
        <w:t>Humanoid and quadruped robots on the expo floor — "Physical AI" made tangible one floor down from the panel.</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"Reversibility" is a more portable governance principle than most, because it's domain-agnostic and testable in advance — unlike vaguer guidance like "align with our values." It can be applied as a literal checklist question to any proposed AI feature, physical or purely digital, which is why it echoed through several later sessions even outside the robotics/defense context it was coined in.</w:t>
      </w:r>
    </w:p>
    <w:p>
      <w:pPr>
        <w:spacing w:before="160" w:after="60"/>
      </w:pPr>
      <w:r>
        <w:rPr>
          <w:b/>
          <w:color w:val="1B5E20"/>
          <w:sz w:val="18"/>
        </w:rPr>
        <w:t>TAKEAWAY</w:t>
      </w:r>
    </w:p>
    <w:p>
      <w:pPr>
        <w:shd w:val="clear" w:color="auto" w:fill="E6EFE4"/>
        <w:spacing w:before="40" w:after="200"/>
        <w:ind w:left="113"/>
      </w:pPr>
      <w:r>
        <w:rPr>
          <w:b/>
          <w:color w:val="153D1F"/>
          <w:sz w:val="21"/>
        </w:rPr>
        <w:t>Use reversibility, not how capable the AI seems, as the line for how much it's allowed to decide — a Future Ready principle directly usable for Benilde's own Mental Health and Academic Advising AI agents.</w:t>
      </w:r>
    </w:p>
    <w:p>
      <w:pPr>
        <w:spacing w:after="40"/>
      </w:pPr>
    </w:p>
    <w:p>
      <w:pPr>
        <w:pBdr>
          <w:bottom w:val="single" w:sz="6" w:space="1" w:color="DFE3DC"/>
        </w:pBdr>
      </w:pPr>
    </w:p>
    <w:p/>
    <w:p>
      <w:r>
        <w:rPr>
          <w:rFonts w:ascii="Calibri" w:hAnsi="Calibri"/>
          <w:b/>
          <w:color w:val="1A1F1C"/>
          <w:sz w:val="25"/>
        </w:rPr>
        <w:t>The Rise of AI-Native Work</w:t>
      </w:r>
    </w:p>
    <w:p>
      <w:pPr>
        <w:spacing w:after="40"/>
      </w:pPr>
      <w:r>
        <w:rPr>
          <w:i/>
          <w:color w:val="7C8A82"/>
          <w:sz w:val="19"/>
        </w:rPr>
        <w:t>AI 네이티브 워크플로우 혁명</w:t>
      </w:r>
    </w:p>
    <w:p>
      <w:pPr>
        <w:spacing w:after="80"/>
      </w:pPr>
      <w:r>
        <w:rPr>
          <w:i/>
          <w:color w:val="153D1F"/>
          <w:sz w:val="19"/>
        </w:rPr>
        <w:t>Laurent Thevenet — Head of Creative Technology, APAC &amp; MEA, Publicis Groupe</w:t>
      </w:r>
    </w:p>
    <w:p>
      <w:pPr>
        <w:spacing w:before="160" w:after="60"/>
      </w:pPr>
      <w:r>
        <w:rPr>
          <w:b/>
          <w:color w:val="1B5E20"/>
          <w:sz w:val="18"/>
        </w:rPr>
        <w:t>HIGHLIGHTS</w:t>
      </w:r>
    </w:p>
    <w:p>
      <w:pPr>
        <w:pStyle w:val="ListBullet"/>
        <w:spacing w:after="120"/>
      </w:pPr>
      <w:r>
        <w:rPr>
          <w:color w:val="1A1F1C"/>
          <w:sz w:val="21"/>
        </w:rPr>
        <w:t>"Instant capability isn't expertise": AI gives fast output, but a person still needs to judge whether it's good and what could go wrong — "the gap is slop."</w:t>
      </w:r>
    </w:p>
    <w:p>
      <w:pPr>
        <w:pStyle w:val="ListBullet"/>
        <w:spacing w:after="120"/>
      </w:pPr>
      <w:r>
        <w:rPr>
          <w:color w:val="1A1F1C"/>
          <w:sz w:val="21"/>
        </w:rPr>
        <w:t>Warned against treating "which model for which task" as a strategy on its own — it's plumbing, not transformation.</w:t>
      </w:r>
    </w:p>
    <w:p>
      <w:pPr>
        <w:pStyle w:val="ListBullet"/>
        <w:spacing w:after="120"/>
      </w:pPr>
      <w:r>
        <w:rPr>
          <w:color w:val="1A1F1C"/>
          <w:sz w:val="21"/>
        </w:rPr>
        <w:t>Argued the fix for ungoverned tool sprawl is giving people a shared, well-supported set of tools and data, not restricting them.</w:t>
      </w:r>
    </w:p>
    <w:p>
      <w:pPr>
        <w:pStyle w:val="ListBullet"/>
        <w:spacing w:after="120"/>
      </w:pPr>
      <w:r>
        <w:rPr>
          <w:color w:val="1A1F1C"/>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2743200"/>
            <wp:docPr id="10" name="Picture 10"/>
            <wp:cNvGraphicFramePr>
              <a:graphicFrameLocks noChangeAspect="1"/>
            </wp:cNvGraphicFramePr>
            <a:graphic>
              <a:graphicData uri="http://schemas.openxmlformats.org/drawingml/2006/picture">
                <pic:pic>
                  <pic:nvPicPr>
                    <pic:cNvPr id="0" name="publicis.jpg"/>
                    <pic:cNvPicPr/>
                  </pic:nvPicPr>
                  <pic:blipFill>
                    <a:blip r:embed="rId18"/>
                    <a:stretch>
                      <a:fillRect/>
                    </a:stretch>
                  </pic:blipFill>
                  <pic:spPr>
                    <a:xfrm>
                      <a:off x="0" y="0"/>
                      <a:ext cx="3657600" cy="2743200"/>
                    </a:xfrm>
                    <a:prstGeom prst="rect"/>
                  </pic:spPr>
                </pic:pic>
              </a:graphicData>
            </a:graphic>
          </wp:inline>
        </w:drawing>
      </w:r>
    </w:p>
    <w:p>
      <w:pPr>
        <w:spacing w:after="200"/>
        <w:jc w:val="center"/>
      </w:pPr>
      <w:r>
        <w:rPr>
          <w:i/>
          <w:color w:val="7C8A82"/>
          <w:sz w:val="17"/>
        </w:rPr>
        <w:t>Routing tasks to the "best" model is plumbing, not a strategy on its own.</w:t>
      </w:r>
    </w:p>
    <w:p>
      <w:pPr>
        <w:shd w:val="clear" w:color="auto" w:fill="F1E8D4"/>
        <w:spacing w:before="120" w:after="120"/>
        <w:ind w:left="113"/>
      </w:pPr>
      <w:r>
        <w:rPr>
          <w:b/>
          <w:color w:val="8A6C2C"/>
          <w:sz w:val="17"/>
        </w:rPr>
        <w:t xml:space="preserve">VISION 2030 PILLAR(S): </w:t>
      </w:r>
      <w:r>
        <w:rPr>
          <w:color w:val="1A1F1C"/>
          <w:sz w:val="19"/>
        </w:rPr>
        <w:t>Future Ready | Financial Growth</w:t>
      </w:r>
    </w:p>
    <w:p>
      <w:pPr>
        <w:spacing w:before="160" w:after="60"/>
      </w:pPr>
      <w:r>
        <w:rPr>
          <w:b/>
          <w:color w:val="3B5B7A"/>
          <w:sz w:val="18"/>
        </w:rPr>
        <w:t>INSIGHT</w:t>
      </w:r>
    </w:p>
    <w:p>
      <w:pPr>
        <w:spacing w:after="80"/>
      </w:pPr>
      <w:r>
        <w:rPr>
          <w:i/>
          <w:color w:val="4A5650"/>
          <w:sz w:val="21"/>
        </w:rPr>
        <w:t>The 5/50/500 rule is really a proxy for blast radius, not raw usage. A tool with 5 users making low-stakes suggestions is a very different risk than 5 users making high-stakes calls — this rule works best paired with the Physical AI panel's reversibility test, not used alone.</w:t>
      </w:r>
    </w:p>
    <w:p>
      <w:pPr>
        <w:spacing w:before="160" w:after="60"/>
      </w:pPr>
      <w:r>
        <w:rPr>
          <w:b/>
          <w:color w:val="1B5E20"/>
          <w:sz w:val="18"/>
        </w:rPr>
        <w:t>TAKEAWAY</w:t>
      </w:r>
    </w:p>
    <w:p>
      <w:pPr>
        <w:shd w:val="clear" w:color="auto" w:fill="E6EFE4"/>
        <w:spacing w:before="40" w:after="200"/>
        <w:ind w:left="113"/>
      </w:pPr>
      <w:r>
        <w:rPr>
          <w:b/>
          <w:color w:val="153D1F"/>
          <w:sz w:val="21"/>
        </w:rPr>
        <w:t>A simple ready-made rule for when an internal AI prototype needs formal ownership: 5 users -&gt; the builder; 50 -&gt; a named owner; 500 -&gt; a full team — a Future Ready and Financial Growth check before any of Benilde's own pilots becomes unmanageable.</w:t>
      </w:r>
    </w:p>
    <w:p>
      <w:pPr>
        <w:spacing w:after="40"/>
      </w:pPr>
    </w:p>
    <w:p>
      <w:pPr>
        <w:pBdr>
          <w:bottom w:val="single" w:sz="6" w:space="1" w:color="DFE3DC"/>
        </w:pBdr>
      </w:pPr>
    </w:p>
    <w:p/>
    <w:p>
      <w:r>
        <w:br w:type="page"/>
      </w:r>
    </w:p>
    <w:p>
      <w:pPr>
        <w:pStyle w:val="Heading1"/>
      </w:pPr>
      <w:r>
        <w:rPr>
          <w:rFonts w:ascii="Calibri" w:hAnsi="Calibri"/>
          <w:color w:val="153D1F"/>
          <w:sz w:val="36"/>
        </w:rPr>
        <w:t>Day 2 — Industry Deployment &amp; Governance</w:t>
      </w:r>
    </w:p>
    <w:p>
      <w:r>
        <w:rPr>
          <w:i/>
          <w:color w:val="4A5650"/>
          <w:sz w:val="20"/>
        </w:rPr>
        <w:t>The second day shifted from "what is agentic AI" to "why doesn't it work yet at our scale" — messy data, change management, and the uncomfortable question of who's actually willing to approve scaling something up.</w:t>
      </w:r>
    </w:p>
    <w:p/>
    <w:p>
      <w:r>
        <w:rPr>
          <w:rFonts w:ascii="Calibri" w:hAnsi="Calibri"/>
          <w:b/>
          <w:color w:val="1A1F1C"/>
          <w:sz w:val="25"/>
        </w:rPr>
        <w:t>The Conditions for AX Success and a Truly AI-Native Enterprise</w:t>
      </w:r>
    </w:p>
    <w:p>
      <w:pPr>
        <w:spacing w:after="80"/>
      </w:pPr>
      <w:r>
        <w:rPr>
          <w:i/>
          <w:color w:val="153D1F"/>
          <w:sz w:val="19"/>
        </w:rPr>
        <w:t>Speaker name not captured on slide</w:t>
      </w:r>
    </w:p>
    <w:p>
      <w:pPr>
        <w:spacing w:before="160" w:after="60"/>
      </w:pPr>
      <w:r>
        <w:rPr>
          <w:b/>
          <w:color w:val="1B5E20"/>
          <w:sz w:val="18"/>
        </w:rPr>
        <w:t>HIGHLIGHTS</w:t>
      </w:r>
    </w:p>
    <w:p>
      <w:pPr>
        <w:pStyle w:val="ListBullet"/>
        <w:spacing w:after="120"/>
      </w:pPr>
      <w:r>
        <w:rPr>
          <w:color w:val="1A1F1C"/>
          <w:sz w:val="21"/>
        </w:rPr>
        <w:t>Presented a 4-level scorecard for AI maturity — from occasional tool use to genuine, everyday agentic work.</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That a maturity-model talk earned its own dedicated session suggests the market conversation has matured past "should we adopt AI" into "how do we know if we're any good at it yet" — a healthier, if harder, question.</w:t>
      </w:r>
    </w:p>
    <w:p>
      <w:r>
        <w:rPr>
          <w:i/>
          <w:color w:val="7C8A82"/>
          <w:sz w:val="18"/>
        </w:rPr>
        <w:t>Captured only in slide/photo form; caption detail for this talk wasn't fully recovered from the source images.</w:t>
      </w:r>
    </w:p>
    <w:p>
      <w:pPr>
        <w:spacing w:after="40"/>
      </w:pPr>
    </w:p>
    <w:p>
      <w:pPr>
        <w:pBdr>
          <w:bottom w:val="single" w:sz="6" w:space="1" w:color="DFE3DC"/>
        </w:pBdr>
      </w:pPr>
    </w:p>
    <w:p/>
    <w:p>
      <w:r>
        <w:rPr>
          <w:rFonts w:ascii="Calibri" w:hAnsi="Calibri"/>
          <w:b/>
          <w:color w:val="1A1F1C"/>
          <w:sz w:val="25"/>
        </w:rPr>
        <w:t>Accelerating Breakthroughs with AI: Unlocking Opportunities in Traditional Industries</w:t>
      </w:r>
    </w:p>
    <w:p>
      <w:pPr>
        <w:spacing w:after="80"/>
      </w:pPr>
      <w:r>
        <w:rPr>
          <w:i/>
          <w:color w:val="153D1F"/>
          <w:sz w:val="19"/>
        </w:rPr>
        <w:t>Ramine Tinati — Head of APAC, Google DeepMind  |  Moderator: Seri Kim</w:t>
      </w:r>
    </w:p>
    <w:p>
      <w:pPr>
        <w:spacing w:before="160" w:after="60"/>
      </w:pPr>
      <w:r>
        <w:rPr>
          <w:b/>
          <w:color w:val="1B5E20"/>
          <w:sz w:val="18"/>
        </w:rPr>
        <w:t>HIGHLIGHTS</w:t>
      </w:r>
    </w:p>
    <w:p>
      <w:pPr>
        <w:pStyle w:val="ListBullet"/>
        <w:spacing w:after="120"/>
      </w:pPr>
      <w:r>
        <w:rPr>
          <w:color w:val="1A1F1C"/>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A1F1C"/>
          <w:sz w:val="21"/>
        </w:rPr>
        <w:t>Repeated the central statistic: roughly 80% of AI projects never reach full production — a systems problem, not a "model isn't smart enough" problem.</w:t>
      </w:r>
    </w:p>
    <w:p>
      <w:pPr>
        <w:pStyle w:val="ListBullet"/>
        <w:spacing w:after="120"/>
      </w:pPr>
      <w:r>
        <w:rPr>
          <w:color w:val="1A1F1C"/>
          <w:sz w:val="21"/>
        </w:rPr>
      </w:r>
      <w:r>
        <w:rPr>
          <w:b/>
          <w:color w:val="153D1F"/>
          <w:sz w:val="21"/>
        </w:rPr>
        <w:t>Why pilots stall:</w:t>
      </w:r>
      <w:r>
        <w:rPr>
          <w:color w:val="1A1F1C"/>
          <w:sz w:val="21"/>
        </w:rPr>
        <w:t xml:space="preserve"> scattered/unusable data, AI added on top of a workflow instead of built into it, and cultural resistance (no one senior owning it).</w:t>
      </w:r>
    </w:p>
    <w:p>
      <w:pPr>
        <w:pStyle w:val="ListBullet"/>
        <w:spacing w:after="120"/>
      </w:pPr>
      <w:r>
        <w:rPr>
          <w:color w:val="1A1F1C"/>
          <w:sz w:val="21"/>
        </w:rPr>
      </w:r>
      <w:r>
        <w:rPr>
          <w:b/>
          <w:color w:val="153D1F"/>
          <w:sz w:val="21"/>
        </w:rPr>
        <w:t>Four fixes:</w:t>
      </w:r>
      <w:r>
        <w:rPr>
          <w:color w:val="1A1F1C"/>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A1F1C"/>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A82"/>
          <w:sz w:val="17"/>
        </w:rPr>
        <w:t>DeepMind's framing: AI transformation succeeds or fails as a systems-level exercise.</w:t>
      </w:r>
    </w:p>
    <w:p>
      <w:pPr>
        <w:shd w:val="clear" w:color="auto" w:fill="F1E8D4"/>
        <w:spacing w:before="120" w:after="120"/>
        <w:ind w:left="113"/>
      </w:pPr>
      <w:r>
        <w:rPr>
          <w:b/>
          <w:color w:val="8A6C2C"/>
          <w:sz w:val="17"/>
        </w:rPr>
        <w:t xml:space="preserve">VISION 2030 PILLAR(S): </w:t>
      </w:r>
      <w:r>
        <w:rPr>
          <w:color w:val="1A1F1C"/>
          <w:sz w:val="19"/>
        </w:rPr>
        <w:t>Future Ready | Global Partnership Engagement</w:t>
      </w:r>
    </w:p>
    <w:p>
      <w:pPr>
        <w:spacing w:before="160" w:after="60"/>
      </w:pPr>
      <w:r>
        <w:rPr>
          <w:b/>
          <w:color w:val="3B5B7A"/>
          <w:sz w:val="18"/>
        </w:rPr>
        <w:t>INSIGHT</w:t>
      </w:r>
    </w:p>
    <w:p>
      <w:pPr>
        <w:spacing w:after="80"/>
      </w:pPr>
      <w:r>
        <w:rPr>
          <w:i/>
          <w:color w:val="4A5650"/>
          <w:sz w:val="21"/>
        </w:rPr>
        <w:t>Opening with the slowest-to-monetize, most scientifically credible work — rather than a flashy chatbot demo — is itself a deliberate rhetorical strategy: it positions rigor as the differentiator in a market currently saturated with unverified demos.</w:t>
      </w:r>
    </w:p>
    <w:p>
      <w:pPr>
        <w:spacing w:before="160" w:after="60"/>
      </w:pPr>
      <w:r>
        <w:rPr>
          <w:b/>
          <w:color w:val="1B5E20"/>
          <w:sz w:val="18"/>
        </w:rPr>
        <w:t>TAKEAWAY</w:t>
      </w:r>
    </w:p>
    <w:p>
      <w:pPr>
        <w:shd w:val="clear" w:color="auto" w:fill="E6EFE4"/>
        <w:spacing w:before="40" w:after="200"/>
        <w:ind w:left="113"/>
      </w:pPr>
      <w:r>
        <w:rPr>
          <w:b/>
          <w:color w:val="153D1F"/>
          <w:sz w:val="21"/>
        </w:rPr>
        <w:t>The summit's most-repeated number — 80% of AI projects don't reach production — traces back to data readiness, a Future Ready lesson directly applicable to Benilde's Phase 2 pilots, and a Global Partnership Engagement opening given DeepMind's free academic-tier tools.</w:t>
      </w:r>
    </w:p>
    <w:p>
      <w:pPr>
        <w:spacing w:after="40"/>
      </w:pPr>
    </w:p>
    <w:p>
      <w:pPr>
        <w:pBdr>
          <w:bottom w:val="single" w:sz="6" w:space="1" w:color="DFE3DC"/>
        </w:pBdr>
      </w:pPr>
    </w:p>
    <w:p/>
    <w:p>
      <w:r>
        <w:rPr>
          <w:rFonts w:ascii="Calibri" w:hAnsi="Calibri"/>
          <w:b/>
          <w:color w:val="1A1F1C"/>
          <w:sz w:val="25"/>
        </w:rPr>
        <w:t>The Present and Future of Payment in the Age of AI</w:t>
      </w:r>
    </w:p>
    <w:p>
      <w:pPr>
        <w:spacing w:after="40"/>
      </w:pPr>
      <w:r>
        <w:rPr>
          <w:i/>
          <w:color w:val="7C8A82"/>
          <w:sz w:val="19"/>
        </w:rPr>
        <w:t>AI 기술과 만난 결제(Payment)의 현재와 미래</w:t>
      </w:r>
    </w:p>
    <w:p>
      <w:pPr>
        <w:spacing w:after="80"/>
      </w:pPr>
      <w:r>
        <w:rPr>
          <w:i/>
          <w:color w:val="153D1F"/>
          <w:sz w:val="19"/>
        </w:rPr>
        <w:t>Sunghee An — Executive Director, Shinhan Card AX Research Institute</w:t>
      </w:r>
    </w:p>
    <w:p>
      <w:pPr>
        <w:spacing w:before="160" w:after="60"/>
      </w:pPr>
      <w:r>
        <w:rPr>
          <w:b/>
          <w:color w:val="1B5E20"/>
          <w:sz w:val="18"/>
        </w:rPr>
        <w:t>HIGHLIGHTS</w:t>
      </w:r>
    </w:p>
    <w:p>
      <w:pPr>
        <w:pStyle w:val="ListBullet"/>
        <w:spacing w:after="120"/>
      </w:pPr>
      <w:r>
        <w:rPr>
          <w:color w:val="1A1F1C"/>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A1F1C"/>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27432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2743200"/>
                    </a:xfrm>
                    <a:prstGeom prst="rect"/>
                  </pic:spPr>
                </pic:pic>
              </a:graphicData>
            </a:graphic>
          </wp:inline>
        </w:drawing>
      </w:r>
    </w:p>
    <w:p>
      <w:pPr>
        <w:spacing w:after="200"/>
        <w:jc w:val="center"/>
      </w:pPr>
      <w:r>
        <w:rPr>
          <w:i/>
          <w:color w:val="7C8A82"/>
          <w:sz w:val="17"/>
        </w:rPr>
        <w:t>Shinhan Card's map of AI entering payments from four directions at once.</w:t>
      </w:r>
    </w:p>
    <w:p>
      <w:pPr>
        <w:shd w:val="clear" w:color="auto" w:fill="F1E8D4"/>
        <w:spacing w:before="120" w:after="120"/>
        <w:ind w:left="113"/>
      </w:pPr>
      <w:r>
        <w:rPr>
          <w:b/>
          <w:color w:val="8A6C2C"/>
          <w:sz w:val="17"/>
        </w:rPr>
        <w:t xml:space="preserve">VISION 2030 PILLAR(S): </w:t>
      </w:r>
      <w:r>
        <w:rPr>
          <w:color w:val="1A1F1C"/>
          <w:sz w:val="19"/>
        </w:rPr>
        <w:t>Financial Growth | Global Partnership Engagement</w:t>
      </w:r>
    </w:p>
    <w:p>
      <w:pPr>
        <w:spacing w:before="160" w:after="60"/>
      </w:pPr>
      <w:r>
        <w:rPr>
          <w:b/>
          <w:color w:val="3B5B7A"/>
          <w:sz w:val="18"/>
        </w:rPr>
        <w:t>INSIGHT</w:t>
      </w:r>
    </w:p>
    <w:p>
      <w:pPr>
        <w:spacing w:after="80"/>
      </w:pPr>
      <w:r>
        <w:rPr>
          <w:i/>
          <w:color w:val="4A5650"/>
          <w:sz w:val="21"/>
        </w:rPr>
        <w:t>When four structurally different types of competitors move into the same space at once, it usually signals the opportunity is real — but also that the eventual standard or winner is genuinely unsettled. Worth watching, not urgently acting on.</w:t>
      </w:r>
    </w:p>
    <w:p>
      <w:pPr>
        <w:spacing w:before="160" w:after="60"/>
      </w:pPr>
      <w:r>
        <w:rPr>
          <w:b/>
          <w:color w:val="1B5E20"/>
          <w:sz w:val="18"/>
        </w:rPr>
        <w:t>TAKEAWAY</w:t>
      </w:r>
    </w:p>
    <w:p>
      <w:pPr>
        <w:shd w:val="clear" w:color="auto" w:fill="E6EFE4"/>
        <w:spacing w:before="40" w:after="200"/>
        <w:ind w:left="113"/>
      </w:pPr>
      <w:r>
        <w:rPr>
          <w:b/>
          <w:color w:val="153D1F"/>
          <w:sz w:val="21"/>
        </w:rPr>
        <w:t>Payments is a preview of what's coming to every trust-sensitive process — a Financial Growth and Global Partnership Engagement signal worth watching as fintech and AI platforms converge.</w:t>
      </w:r>
    </w:p>
    <w:p>
      <w:pPr>
        <w:spacing w:after="40"/>
      </w:pPr>
    </w:p>
    <w:p>
      <w:pPr>
        <w:pBdr>
          <w:bottom w:val="single" w:sz="6" w:space="1" w:color="DFE3DC"/>
        </w:pBdr>
      </w:pPr>
    </w:p>
    <w:p/>
    <w:p>
      <w:r>
        <w:rPr>
          <w:rFonts w:ascii="Calibri" w:hAnsi="Calibri"/>
          <w:b/>
          <w:color w:val="1A1F1C"/>
          <w:sz w:val="25"/>
        </w:rPr>
        <w:t>Decisions vs. Tasks: What Agentic AI Actually Means in Operations</w:t>
      </w:r>
    </w:p>
    <w:p>
      <w:pPr>
        <w:spacing w:after="80"/>
      </w:pPr>
      <w:r>
        <w:rPr>
          <w:i/>
          <w:color w:val="153D1F"/>
          <w:sz w:val="19"/>
        </w:rPr>
        <w:t>Prent Mishra</w:t>
      </w:r>
    </w:p>
    <w:p>
      <w:pPr>
        <w:spacing w:before="160" w:after="60"/>
      </w:pPr>
      <w:r>
        <w:rPr>
          <w:b/>
          <w:color w:val="1B5E20"/>
          <w:sz w:val="18"/>
        </w:rPr>
        <w:t>HIGHLIGHTS</w:t>
      </w:r>
    </w:p>
    <w:p>
      <w:pPr>
        <w:pStyle w:val="ListBullet"/>
        <w:spacing w:after="120"/>
      </w:pPr>
      <w:r>
        <w:rPr>
          <w:color w:val="1A1F1C"/>
          <w:sz w:val="21"/>
        </w:rPr>
        <w:t>Captured via stage/slide photos only; the full argument wasn't recovered from the source images.</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Even from a thin record, the framing itself matters: distinguishing "automating a task" from "delegating an actual decision" is the exact vocabulary the Physical AI panel's reversibility principle needs to be applied inside a real workflow.</w:t>
      </w:r>
    </w:p>
    <w:p>
      <w:r>
        <w:rPr>
          <w:i/>
          <w:color w:val="7C8A82"/>
          <w:sz w:val="18"/>
        </w:rPr>
        <w:t>Worth following up on if a fuller recording turns up.</w:t>
      </w:r>
    </w:p>
    <w:p>
      <w:pPr>
        <w:spacing w:after="40"/>
      </w:pPr>
    </w:p>
    <w:p>
      <w:pPr>
        <w:pBdr>
          <w:bottom w:val="single" w:sz="6" w:space="1" w:color="DFE3DC"/>
        </w:pBdr>
      </w:pPr>
    </w:p>
    <w:p/>
    <w:p>
      <w:r>
        <w:rPr>
          <w:rFonts w:ascii="Calibri" w:hAnsi="Calibri"/>
          <w:b/>
          <w:color w:val="1A1F1C"/>
          <w:sz w:val="25"/>
        </w:rPr>
        <w:t>Panel: Hidden Bottlenecks in Enterprise AI — Data Quality, Governance, and Reality</w:t>
      </w:r>
    </w:p>
    <w:p>
      <w:pPr>
        <w:spacing w:after="80"/>
      </w:pPr>
      <w:r>
        <w:rPr>
          <w:i/>
          <w:color w:val="153D1F"/>
          <w:sz w:val="19"/>
        </w:rPr>
        <w:t>Moderator: name unconfirmed ("Seunghyun"/"Seunghwan" Lee), VP, Samil PwC  |  Yongmin Choi, Head of AI Strategy Center, Woori Financial Group  |  Yoonhee Hwang, Senior VP, Data Intelligence, LG Electronics</w:t>
      </w:r>
    </w:p>
    <w:p>
      <w:pPr>
        <w:spacing w:before="160" w:after="60"/>
      </w:pPr>
      <w:r>
        <w:rPr>
          <w:b/>
          <w:color w:val="1B5E20"/>
          <w:sz w:val="18"/>
        </w:rPr>
        <w:t>HIGHLIGHTS</w:t>
      </w:r>
    </w:p>
    <w:p>
      <w:pPr>
        <w:pStyle w:val="ListBullet"/>
        <w:spacing w:after="120"/>
      </w:pPr>
      <w:r>
        <w:rPr>
          <w:color w:val="1A1F1C"/>
          <w:sz w:val="21"/>
        </w:rPr>
        <w:t>Named the real bottleneck of the last 2-3 years as that exact moment — someone senior has to approve scaling a pilot that already works.</w:t>
      </w:r>
    </w:p>
    <w:p>
      <w:pPr>
        <w:pStyle w:val="ListBullet"/>
        <w:spacing w:after="120"/>
      </w:pPr>
      <w:r>
        <w:rPr>
          <w:color w:val="1A1F1C"/>
          <w:sz w:val="21"/>
        </w:rPr>
        <w:t>Used a gold-rush comparison: in past tech waves, the money went to companies selling infrastructure, not most people trying to use it.</w:t>
      </w:r>
    </w:p>
    <w:p>
      <w:pPr>
        <w:pStyle w:val="ListBullet"/>
        <w:spacing w:after="120"/>
      </w:pPr>
      <w:r>
        <w:rPr>
          <w:color w:val="1A1F1C"/>
          <w:sz w:val="21"/>
        </w:rPr>
        <w:t>Debated whether AI agents should be managed like software accounts or like digital employees with defined roles — an open question.</w:t>
      </w:r>
    </w:p>
    <w:p>
      <w:pPr>
        <w:pStyle w:val="ListBullet"/>
        <w:spacing w:after="120"/>
      </w:pPr>
      <w:r>
        <w:rPr>
          <w:color w:val="1A1F1C"/>
          <w:sz w:val="21"/>
        </w:rPr>
        <w:t>LG Electronics described a common trap: a "plain-English database search" tool that worked great in testing broke down once scaled to thousands of real tables.</w:t>
      </w:r>
    </w:p>
    <w:p>
      <w:pPr>
        <w:pStyle w:val="ListBullet"/>
        <w:spacing w:after="120"/>
      </w:pPr>
      <w:r>
        <w:rPr>
          <w:color w:val="1A1F1C"/>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8A6C2C"/>
          <w:sz w:val="17"/>
        </w:rPr>
        <w:t xml:space="preserve">VISION 2030 PILLAR(S): </w:t>
      </w:r>
      <w:r>
        <w:rPr>
          <w:color w:val="1A1F1C"/>
          <w:sz w:val="19"/>
        </w:rPr>
        <w:t>Future Ready | Financial Growth</w:t>
      </w:r>
    </w:p>
    <w:p>
      <w:pPr>
        <w:spacing w:before="160" w:after="60"/>
      </w:pPr>
      <w:r>
        <w:rPr>
          <w:b/>
          <w:color w:val="3B5B7A"/>
          <w:sz w:val="18"/>
        </w:rPr>
        <w:t>INSIGHT</w:t>
      </w:r>
    </w:p>
    <w:p>
      <w:pPr>
        <w:spacing w:after="80"/>
      </w:pPr>
      <w:r>
        <w:rPr>
          <w:i/>
          <w:color w:val="4A5650"/>
          <w:sz w:val="21"/>
        </w:rPr>
        <w:t>The "who presses the button" problem and LG's specific technical failure (context overload as tables scale) likely compound each other: a technically shaky pilot makes leadership even less willing to approve scaling, and that hesitation delays the data-engineering fix that would have made it stable. It's a cycle that starts with data work, not executive courage.</w:t>
      </w:r>
    </w:p>
    <w:p>
      <w:pPr>
        <w:spacing w:before="160" w:after="60"/>
      </w:pPr>
      <w:r>
        <w:rPr>
          <w:b/>
          <w:color w:val="1B5E20"/>
          <w:sz w:val="18"/>
        </w:rPr>
        <w:t>TAKEAWAY</w:t>
      </w:r>
    </w:p>
    <w:p>
      <w:pPr>
        <w:shd w:val="clear" w:color="auto" w:fill="E6EFE4"/>
        <w:spacing w:before="40" w:after="200"/>
        <w:ind w:left="113"/>
      </w:pPr>
      <w:r>
        <w:rPr>
          <w:b/>
          <w:color w:val="153D1F"/>
          <w:sz w:val="21"/>
        </w:rPr>
        <w:t>Executive hesitation — not data or model quality — was named as the single biggest bottleneck. It's a Future Ready and Financial Growth governance problem the Digital Transformation Office should own explicitly, per the roles framework below.</w:t>
      </w:r>
    </w:p>
    <w:p>
      <w:pPr>
        <w:spacing w:after="40"/>
      </w:pPr>
    </w:p>
    <w:p>
      <w:pPr>
        <w:pBdr>
          <w:bottom w:val="single" w:sz="6" w:space="1" w:color="DFE3DC"/>
        </w:pBdr>
      </w:pPr>
    </w:p>
    <w:p/>
    <w:p>
      <w:r>
        <w:rPr>
          <w:rFonts w:ascii="Calibri" w:hAnsi="Calibri"/>
          <w:b/>
          <w:color w:val="1A1F1C"/>
          <w:sz w:val="25"/>
        </w:rPr>
        <w:t>Panel: AI Governance in Manufacturing</w:t>
      </w:r>
    </w:p>
    <w:p>
      <w:pPr>
        <w:spacing w:after="80"/>
      </w:pPr>
      <w:r>
        <w:rPr>
          <w:i/>
          <w:color w:val="153D1F"/>
          <w:sz w:val="19"/>
        </w:rPr>
        <w:t>Three panelists, names not captured in the recovered transcript</w:t>
      </w:r>
    </w:p>
    <w:p>
      <w:pPr>
        <w:spacing w:before="160" w:after="60"/>
      </w:pPr>
      <w:r>
        <w:rPr>
          <w:b/>
          <w:color w:val="1B5E20"/>
          <w:sz w:val="18"/>
        </w:rPr>
        <w:t>HIGHLIGHTS</w:t>
      </w:r>
    </w:p>
    <w:p>
      <w:pPr>
        <w:pStyle w:val="ListBullet"/>
        <w:spacing w:after="120"/>
      </w:pPr>
      <w:r>
        <w:rPr>
          <w:color w:val="1A1F1C"/>
          <w:sz w:val="21"/>
        </w:rPr>
        <w:t>Named the core difficulty as turning knowledge that lives only in experienced staff's heads into shared, written data.</w:t>
      </w:r>
    </w:p>
    <w:p>
      <w:pPr>
        <w:pStyle w:val="ListBullet"/>
        <w:spacing w:after="120"/>
      </w:pPr>
      <w:r>
        <w:rPr>
          <w:color w:val="1A1F1C"/>
          <w:sz w:val="21"/>
        </w:rPr>
        <w:t>Raised real cost pressure from cheaper competitors and the difficulty of hiring skilled on-site staff internationally as reasons manufacturers are turning to AI.</w:t>
      </w:r>
    </w:p>
    <w:p>
      <w:pPr>
        <w:pStyle w:val="ListBullet"/>
        <w:spacing w:after="120"/>
      </w:pPr>
      <w:r>
        <w:rPr>
          <w:color w:val="1A1F1C"/>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8A6C2C"/>
          <w:sz w:val="17"/>
        </w:rPr>
        <w:t xml:space="preserve">VISION 2030 PILLAR(S): </w:t>
      </w:r>
      <w:r>
        <w:rPr>
          <w:color w:val="1A1F1C"/>
          <w:sz w:val="19"/>
        </w:rPr>
        <w:t>Future Ready</w:t>
      </w:r>
    </w:p>
    <w:p>
      <w:pPr>
        <w:spacing w:before="160" w:after="60"/>
      </w:pPr>
      <w:r>
        <w:rPr>
          <w:b/>
          <w:color w:val="3B5B7A"/>
          <w:sz w:val="18"/>
        </w:rPr>
        <w:t>INSIGHT</w:t>
      </w:r>
    </w:p>
    <w:p>
      <w:pPr>
        <w:spacing w:after="80"/>
      </w:pPr>
      <w:r>
        <w:rPr>
          <w:i/>
          <w:color w:val="4A5650"/>
          <w:sz w:val="21"/>
        </w:rPr>
        <w:t>"Turning tacit knowledge into data" is functionally the same problem manufacturers have always had with retiring experienced staff and lost institutional memory. AI didn't create this problem — it just raised the cost of continuing to not solve it.</w:t>
      </w:r>
    </w:p>
    <w:p>
      <w:pPr>
        <w:spacing w:before="160" w:after="60"/>
      </w:pPr>
      <w:r>
        <w:rPr>
          <w:b/>
          <w:color w:val="1B5E20"/>
          <w:sz w:val="18"/>
        </w:rPr>
        <w:t>TAKEAWAY</w:t>
      </w:r>
    </w:p>
    <w:p>
      <w:pPr>
        <w:shd w:val="clear" w:color="auto" w:fill="E6EFE4"/>
        <w:spacing w:before="40" w:after="200"/>
        <w:ind w:left="113"/>
      </w:pPr>
      <w:r>
        <w:rPr>
          <w:b/>
          <w:color w:val="153D1F"/>
          <w:sz w:val="21"/>
        </w:rPr>
        <w:t>Writing down tacit, expert-only knowledge is the unglamorous but unavoidable first step before any manufacturing AI can be trusted — a Future Ready lesson for any Benilde department piloting AI on top of undocumented expert know-how.</w:t>
      </w:r>
    </w:p>
    <w:p>
      <w:pPr>
        <w:spacing w:after="40"/>
      </w:pPr>
    </w:p>
    <w:p>
      <w:pPr>
        <w:pBdr>
          <w:bottom w:val="single" w:sz="6" w:space="1" w:color="DFE3DC"/>
        </w:pBdr>
      </w:pPr>
    </w:p>
    <w:p/>
    <w:p>
      <w:r>
        <w:rPr>
          <w:rFonts w:ascii="Calibri" w:hAnsi="Calibri"/>
          <w:b/>
          <w:color w:val="1A1F1C"/>
          <w:sz w:val="25"/>
        </w:rPr>
        <w:t>Agentic AI Strategies for Building Digital Resilience</w:t>
      </w:r>
    </w:p>
    <w:p>
      <w:pPr>
        <w:spacing w:after="40"/>
      </w:pPr>
      <w:r>
        <w:rPr>
          <w:i/>
          <w:color w:val="7C8A82"/>
          <w:sz w:val="19"/>
        </w:rPr>
        <w:t>디지털 레질리언스 구축을 위한 에이전틱 AI 전략</w:t>
      </w:r>
    </w:p>
    <w:p>
      <w:pPr>
        <w:spacing w:after="80"/>
      </w:pPr>
      <w:r>
        <w:rPr>
          <w:i/>
          <w:color w:val="153D1F"/>
          <w:sz w:val="19"/>
        </w:rPr>
        <w:t>Cisco</w:t>
      </w:r>
    </w:p>
    <w:p>
      <w:pPr>
        <w:spacing w:before="160" w:after="60"/>
      </w:pPr>
      <w:r>
        <w:rPr>
          <w:b/>
          <w:color w:val="1B5E20"/>
          <w:sz w:val="18"/>
        </w:rPr>
        <w:t>HIGHLIGHTS</w:t>
      </w:r>
    </w:p>
    <w:p>
      <w:pPr>
        <w:pStyle w:val="ListBullet"/>
        <w:spacing w:after="120"/>
      </w:pPr>
      <w:r>
        <w:rPr>
          <w:color w:val="1A1F1C"/>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A1F1C"/>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A82"/>
          <w:sz w:val="17"/>
        </w:rPr>
        <w:t>One shared data foundation feeding security, compliance, and AI agents alike.</w:t>
      </w:r>
    </w:p>
    <w:p>
      <w:pPr>
        <w:shd w:val="clear" w:color="auto" w:fill="F1E8D4"/>
        <w:spacing w:before="120" w:after="120"/>
        <w:ind w:left="113"/>
      </w:pPr>
      <w:r>
        <w:rPr>
          <w:b/>
          <w:color w:val="8A6C2C"/>
          <w:sz w:val="17"/>
        </w:rPr>
        <w:t xml:space="preserve">VISION 2030 PILLAR(S): </w:t>
      </w:r>
      <w:r>
        <w:rPr>
          <w:color w:val="1A1F1C"/>
          <w:sz w:val="19"/>
        </w:rPr>
        <w:t>Future Ready | Enhanced Reputation and Branding</w:t>
      </w:r>
    </w:p>
    <w:p>
      <w:pPr>
        <w:spacing w:before="160" w:after="60"/>
      </w:pPr>
      <w:r>
        <w:rPr>
          <w:b/>
          <w:color w:val="3B5B7A"/>
          <w:sz w:val="18"/>
        </w:rPr>
        <w:t>INSIGHT</w:t>
      </w:r>
    </w:p>
    <w:p>
      <w:pPr>
        <w:spacing w:after="80"/>
      </w:pPr>
      <w:r>
        <w:rPr>
          <w:i/>
          <w:color w:val="4A5650"/>
          <w:sz w:val="21"/>
        </w:rPr>
        <w:t>Routing security and AI use cases through the same data pipeline is efficient, but it also means a security incident and an AI-agent failure will increasingly surface in the same monitoring system — worth deciding in advance who owns a cross-cutting incident before one actually happens.</w:t>
      </w:r>
    </w:p>
    <w:p>
      <w:pPr>
        <w:spacing w:before="160" w:after="60"/>
      </w:pPr>
      <w:r>
        <w:rPr>
          <w:b/>
          <w:color w:val="1B5E20"/>
          <w:sz w:val="18"/>
        </w:rPr>
        <w:t>TAKEAWAY</w:t>
      </w:r>
    </w:p>
    <w:p>
      <w:pPr>
        <w:shd w:val="clear" w:color="auto" w:fill="E6EFE4"/>
        <w:spacing w:before="40" w:after="200"/>
        <w:ind w:left="113"/>
      </w:pPr>
      <w:r>
        <w:rPr>
          <w:b/>
          <w:color w:val="153D1F"/>
          <w:sz w:val="21"/>
        </w:rPr>
        <w:t>Cybersecurity readiness and AI-agent readiness are converging on the same requirement — a Future Ready foundation that also protects Benilde's Enhanced Reputation and Branding position as a trustworthy institution.</w:t>
      </w:r>
    </w:p>
    <w:p>
      <w:pPr>
        <w:spacing w:after="40"/>
      </w:pPr>
    </w:p>
    <w:p>
      <w:pPr>
        <w:pBdr>
          <w:bottom w:val="single" w:sz="6" w:space="1" w:color="DFE3DC"/>
        </w:pBdr>
      </w:pPr>
    </w:p>
    <w:p/>
    <w:p>
      <w:r>
        <w:rPr>
          <w:rFonts w:ascii="Calibri" w:hAnsi="Calibri"/>
          <w:b/>
          <w:color w:val="1A1F1C"/>
          <w:sz w:val="25"/>
        </w:rPr>
        <w:t>From Intuition to Intelligence: How AI Has Redefined Revenue Growth</w:t>
      </w:r>
    </w:p>
    <w:p>
      <w:pPr>
        <w:spacing w:after="40"/>
      </w:pPr>
      <w:r>
        <w:rPr>
          <w:i/>
          <w:color w:val="7C8A82"/>
          <w:sz w:val="19"/>
        </w:rPr>
        <w:t>세일즈 과학의 혁명: AI는 영업을 어떻게 바꼈는가</w:t>
      </w:r>
    </w:p>
    <w:p>
      <w:pPr>
        <w:spacing w:after="80"/>
      </w:pPr>
      <w:r>
        <w:rPr>
          <w:i/>
          <w:color w:val="153D1F"/>
          <w:sz w:val="19"/>
        </w:rPr>
        <w:t>Barra O Briain — Head of APEC Sales, Gong</w:t>
      </w:r>
    </w:p>
    <w:p>
      <w:pPr>
        <w:spacing w:before="160" w:after="60"/>
      </w:pPr>
      <w:r>
        <w:rPr>
          <w:b/>
          <w:color w:val="1B5E20"/>
          <w:sz w:val="18"/>
        </w:rPr>
        <w:t>HIGHLIGHTS</w:t>
      </w:r>
    </w:p>
    <w:p>
      <w:pPr>
        <w:pStyle w:val="ListBullet"/>
        <w:spacing w:after="120"/>
      </w:pPr>
      <w:r>
        <w:rPr>
          <w:color w:val="1A1F1C"/>
          <w:sz w:val="21"/>
        </w:rPr>
        <w:t>Cited a PwC study: 74% of AI's business value goes to just 20% of companies — because they redesigned how they work around it and invested in more oversight, not less.</w:t>
      </w:r>
    </w:p>
    <w:p>
      <w:pPr>
        <w:pStyle w:val="ListBullet"/>
        <w:spacing w:after="120"/>
      </w:pPr>
      <w:r>
        <w:rPr>
          <w:color w:val="1A1F1C"/>
          <w:sz w:val="21"/>
        </w:rPr>
        <w:t>Contrasted an 88% AI-adoption figure with a separate finding that 60% of AI projects are on track to miss their goals — "everyone has the tool, almost no one has the value."</w:t>
      </w:r>
    </w:p>
    <w:p>
      <w:pPr>
        <w:pStyle w:val="ListBullet"/>
        <w:spacing w:after="120"/>
      </w:pPr>
      <w:r>
        <w:rPr>
          <w:color w:val="1A1F1C"/>
          <w:sz w:val="21"/>
        </w:rPr>
        <w:t>Proposed a formula for a real AI win: time saved times how much better the actual outcome is. Most companies stop at the "time saved" half.</w:t>
      </w:r>
    </w:p>
    <w:p>
      <w:pPr>
        <w:pStyle w:val="ListBullet"/>
        <w:spacing w:after="120"/>
      </w:pPr>
      <w:r>
        <w:rPr>
          <w:color w:val="1A1F1C"/>
          <w:sz w:val="21"/>
        </w:rPr>
        <w:t>From analyzing millions of real sales calls: top-performing reps talk about 46% of the time versus 68% for average reps, and wait until later in the call to discuss price.</w:t>
      </w:r>
    </w:p>
    <w:p>
      <w:pPr>
        <w:pStyle w:val="ListBullet"/>
        <w:spacing w:after="120"/>
      </w:pPr>
      <w:r>
        <w:rPr>
          <w:color w:val="1A1F1C"/>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27432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2743200"/>
                    </a:xfrm>
                    <a:prstGeom prst="rect"/>
                  </pic:spPr>
                </pic:pic>
              </a:graphicData>
            </a:graphic>
          </wp:inline>
        </w:drawing>
      </w:r>
    </w:p>
    <w:p>
      <w:pPr>
        <w:spacing w:after="200"/>
        <w:jc w:val="center"/>
      </w:pPr>
      <w:r>
        <w:rPr>
          <w:i/>
          <w:color w:val="7C8A82"/>
          <w:sz w:val="17"/>
        </w:rPr>
        <w:t>Gong's closing credibility slide — company stats and industry-analyst rankings.</w:t>
      </w:r>
    </w:p>
    <w:p>
      <w:pPr>
        <w:shd w:val="clear" w:color="auto" w:fill="F1E8D4"/>
        <w:spacing w:before="120" w:after="120"/>
        <w:ind w:left="113"/>
      </w:pPr>
      <w:r>
        <w:rPr>
          <w:b/>
          <w:color w:val="8A6C2C"/>
          <w:sz w:val="17"/>
        </w:rPr>
        <w:t xml:space="preserve">VISION 2030 PILLAR(S): </w:t>
      </w:r>
      <w:r>
        <w:rPr>
          <w:color w:val="1A1F1C"/>
          <w:sz w:val="19"/>
        </w:rPr>
        <w:t>Enrollment Growth | Financial Growth</w:t>
      </w:r>
    </w:p>
    <w:p>
      <w:pPr>
        <w:spacing w:before="160" w:after="60"/>
      </w:pPr>
      <w:r>
        <w:rPr>
          <w:b/>
          <w:color w:val="3B5B7A"/>
          <w:sz w:val="18"/>
        </w:rPr>
        <w:t>INSIGHT</w:t>
      </w:r>
    </w:p>
    <w:p>
      <w:pPr>
        <w:spacing w:after="80"/>
      </w:pPr>
      <w:r>
        <w:rPr>
          <w:i/>
          <w:color w:val="4A5650"/>
          <w:sz w:val="21"/>
        </w:rPr>
        <w:t>The formula is easy to state and hard to actually measure: "effectiveness" requires agreeing on what outcome you're optimizing for, and most organizations haven't had that conversation before buying the tool — which is exactly how you end up only measuring the efficiency half.</w:t>
      </w:r>
    </w:p>
    <w:p>
      <w:pPr>
        <w:spacing w:before="160" w:after="60"/>
      </w:pPr>
      <w:r>
        <w:rPr>
          <w:b/>
          <w:color w:val="1B5E20"/>
          <w:sz w:val="18"/>
        </w:rPr>
        <w:t>TAKEAWAY</w:t>
      </w:r>
    </w:p>
    <w:p>
      <w:pPr>
        <w:shd w:val="clear" w:color="auto" w:fill="E6EFE4"/>
        <w:spacing w:before="40" w:after="200"/>
        <w:ind w:left="113"/>
      </w:pPr>
      <w:r>
        <w:rPr>
          <w:b/>
          <w:color w:val="153D1F"/>
          <w:sz w:val="21"/>
        </w:rPr>
        <w:t>"Time saved times outcome improved" is a simple check directly applicable to Benilde's Enrollment Growth funnel (the Recruitment Chatbot, the Academic Advising Agent) and a Financial Growth discipline for reporting any AI tool's real value to the Board.</w:t>
      </w:r>
    </w:p>
    <w:p>
      <w:pPr>
        <w:spacing w:after="40"/>
      </w:pPr>
    </w:p>
    <w:p>
      <w:pPr>
        <w:pBdr>
          <w:bottom w:val="single" w:sz="6" w:space="1" w:color="DFE3DC"/>
        </w:pBdr>
      </w:pPr>
    </w:p>
    <w:p/>
    <w:p>
      <w:r>
        <w:rPr>
          <w:rFonts w:ascii="Calibri" w:hAnsi="Calibri"/>
          <w:b/>
          <w:color w:val="1A1F1C"/>
          <w:sz w:val="25"/>
        </w:rPr>
        <w:t>Expo Highlights</w:t>
      </w:r>
    </w:p>
    <w:p>
      <w:pPr>
        <w:spacing w:after="80"/>
      </w:pPr>
      <w:r>
        <w:rPr>
          <w:i/>
          <w:color w:val="153D1F"/>
          <w:sz w:val="19"/>
        </w:rPr>
        <w:t>Throughout both days - Expo Floor</w:t>
      </w:r>
    </w:p>
    <w:p>
      <w:pPr>
        <w:spacing w:before="160" w:after="60"/>
      </w:pPr>
      <w:r>
        <w:rPr>
          <w:b/>
          <w:color w:val="1B5E20"/>
          <w:sz w:val="18"/>
        </w:rPr>
        <w:t>HIGHLIGHTS</w:t>
      </w:r>
    </w:p>
    <w:p>
      <w:pPr>
        <w:pStyle w:val="ListBullet"/>
        <w:spacing w:after="120"/>
      </w:pPr>
      <w:r>
        <w:rPr>
          <w:color w:val="1A1F1C"/>
          <w:sz w:val="21"/>
        </w:rPr>
      </w:r>
      <w:r>
        <w:rPr>
          <w:b/>
          <w:color w:val="153D1F"/>
          <w:sz w:val="21"/>
        </w:rPr>
        <w:t>FAIN Robotics x AGIBOT</w:t>
      </w:r>
      <w:r>
        <w:rPr>
          <w:color w:val="1A1F1C"/>
          <w:sz w:val="21"/>
        </w:rPr>
        <w:t xml:space="preserve"> — humanoid and quadruped robots on live demo, the most direct physical illustration of "Physical AI" on the show floor.</w:t>
      </w:r>
    </w:p>
    <w:p>
      <w:pPr>
        <w:pStyle w:val="ListBullet"/>
        <w:spacing w:after="120"/>
      </w:pPr>
      <w:r>
        <w:rPr>
          <w:color w:val="1A1F1C"/>
          <w:sz w:val="21"/>
        </w:rPr>
      </w:r>
      <w:r>
        <w:rPr>
          <w:b/>
          <w:color w:val="153D1F"/>
          <w:sz w:val="21"/>
        </w:rPr>
        <w:t>Golden Gate University</w:t>
      </w:r>
      <w:r>
        <w:rPr>
          <w:color w:val="1A1F1C"/>
          <w:sz w:val="21"/>
        </w:rPr>
        <w:t xml:space="preserve"> — a fully online doctorate in Applied &amp; Agentic AI for working AI practitioners.</w:t>
      </w:r>
    </w:p>
    <w:p>
      <w:pPr>
        <w:pStyle w:val="ListBullet"/>
        <w:spacing w:after="120"/>
      </w:pPr>
      <w:r>
        <w:rPr>
          <w:color w:val="1A1F1C"/>
          <w:sz w:val="21"/>
        </w:rPr>
      </w:r>
      <w:r>
        <w:rPr>
          <w:b/>
          <w:color w:val="153D1F"/>
          <w:sz w:val="21"/>
        </w:rPr>
        <w:t>Foretell My Health</w:t>
      </w:r>
      <w:r>
        <w:rPr>
          <w:color w:val="1A1F1C"/>
          <w:sz w:val="21"/>
        </w:rPr>
        <w:t xml:space="preserve"> — a blood-based AI cancer-screening startup, starting with ovarian cancer risk.</w:t>
      </w:r>
    </w:p>
    <w:p>
      <w:pPr>
        <w:jc w:val="center"/>
      </w:pPr>
      <w:r>
        <w:drawing>
          <wp:inline xmlns:a="http://schemas.openxmlformats.org/drawingml/2006/main" xmlns:pic="http://schemas.openxmlformats.org/drawingml/2006/picture">
            <wp:extent cx="3657600" cy="2743200"/>
            <wp:docPr id="15" name="Picture 15"/>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2743200"/>
                    </a:xfrm>
                    <a:prstGeom prst="rect"/>
                  </pic:spPr>
                </pic:pic>
              </a:graphicData>
            </a:graphic>
          </wp:inline>
        </w:drawing>
      </w:r>
    </w:p>
    <w:p>
      <w:pPr>
        <w:spacing w:after="200"/>
        <w:jc w:val="center"/>
      </w:pPr>
      <w:r>
        <w:rPr>
          <w:i/>
          <w:color w:val="7C8A82"/>
          <w:sz w:val="17"/>
        </w:rPr>
        <w:t>Humanoid and quadruped robots on display at the expo floor.</w:t>
      </w:r>
    </w:p>
    <w:p>
      <w:pPr>
        <w:shd w:val="clear" w:color="auto" w:fill="F1E8D4"/>
        <w:spacing w:before="120" w:after="120"/>
        <w:ind w:left="113"/>
      </w:pPr>
      <w:r>
        <w:rPr>
          <w:b/>
          <w:color w:val="8A6C2C"/>
          <w:sz w:val="17"/>
        </w:rPr>
        <w:t xml:space="preserve">VISION 2030 PILLAR(S): </w:t>
      </w:r>
      <w:r>
        <w:rPr>
          <w:color w:val="1A1F1C"/>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Calibri" w:hAnsi="Calibri"/>
          <w:color w:val="153D1F"/>
          <w:sz w:val="36"/>
        </w:rPr>
        <w:t>Four Ideas That Kept Coming Back</w:t>
      </w:r>
    </w:p>
    <w:p>
      <w:r>
        <w:rPr>
          <w:i/>
          <w:color w:val="4A5650"/>
          <w:sz w:val="20"/>
        </w:rPr>
        <w:t>Across all 21 sessions, regardless of industry or track, these four points kept resurfacing.</w:t>
      </w:r>
    </w:p>
    <w:p/>
    <w:p>
      <w:pPr>
        <w:spacing w:after="80"/>
      </w:pPr>
      <w:r>
        <w:rPr>
          <w:b/>
          <w:color w:val="153D1F"/>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153D1F"/>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153D1F"/>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153D1F"/>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Calibri" w:hAnsi="Calibri"/>
          <w:color w:val="153D1F"/>
          <w:sz w:val="36"/>
        </w:rPr>
        <w:t>Vision 2030 Alignment: Who Makes This Real</w:t>
      </w:r>
    </w:p>
    <w:p>
      <w:r>
        <w:rPr>
          <w:color w:val="4A5650"/>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153D1F"/>
          <w:sz w:val="25"/>
        </w:rPr>
        <w:t>1.  Enrollment Growth</w:t>
      </w:r>
    </w:p>
    <w:p>
      <w:pPr>
        <w:spacing w:after="80"/>
      </w:pPr>
      <w:r>
        <w:rPr>
          <w:color w:val="1A1F1C"/>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80"/>
        <w:ind w:left="113"/>
      </w:pPr>
      <w:r>
        <w:rPr>
          <w:b/>
          <w:color w:val="8A6C2C"/>
          <w:sz w:val="18"/>
        </w:rPr>
        <w:t xml:space="preserve">RESPONSIBLE: </w:t>
      </w:r>
      <w:r>
        <w:rPr>
          <w:color w:val="1A1F1C"/>
          <w:sz w:val="20"/>
        </w:rPr>
        <w:t>Center of Educational Technology (CET), with Admissions for the chatbot; Academic Council for advising-agent guardrails.</w:t>
      </w:r>
    </w:p>
    <w:p>
      <w:pPr>
        <w:spacing w:after="80"/>
      </w:pPr>
      <w:r>
        <w:rPr>
          <w:b/>
          <w:color w:val="153D1F"/>
          <w:sz w:val="25"/>
        </w:rPr>
        <w:t>2.  Enhanced Reputation and Branding</w:t>
      </w:r>
    </w:p>
    <w:p>
      <w:pPr>
        <w:spacing w:after="80"/>
      </w:pPr>
      <w:r>
        <w:rPr>
          <w:color w:val="1A1F1C"/>
          <w:sz w:val="21"/>
        </w:rPr>
        <w:t>Publish a first AI case study once Phase 2 pilot results land, honest results included. Brand Benilde's public AI position around governance discipline specifically, not raw capability.</w:t>
      </w:r>
    </w:p>
    <w:p>
      <w:pPr>
        <w:shd w:val="clear" w:color="auto" w:fill="F1E8D4"/>
        <w:spacing w:after="280"/>
        <w:ind w:left="113"/>
      </w:pPr>
      <w:r>
        <w:rPr>
          <w:b/>
          <w:color w:val="8A6C2C"/>
          <w:sz w:val="18"/>
        </w:rPr>
        <w:t xml:space="preserve">RESPONSIBLE: </w:t>
      </w:r>
      <w:r>
        <w:rPr>
          <w:color w:val="1A1F1C"/>
          <w:sz w:val="20"/>
        </w:rPr>
        <w:t>Marketing &amp; Communications, with CET for content; Office of the Chancellor for public positioning.</w:t>
      </w:r>
    </w:p>
    <w:p>
      <w:pPr>
        <w:spacing w:after="80"/>
      </w:pPr>
      <w:r>
        <w:rPr>
          <w:b/>
          <w:color w:val="153D1F"/>
          <w:sz w:val="25"/>
        </w:rPr>
        <w:t>3.  Future Ready</w:t>
      </w:r>
    </w:p>
    <w:p>
      <w:pPr>
        <w:spacing w:after="80"/>
      </w:pPr>
      <w:r>
        <w:rPr>
          <w:color w:val="1A1F1C"/>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80"/>
        <w:ind w:left="113"/>
      </w:pPr>
      <w:r>
        <w:rPr>
          <w:b/>
          <w:color w:val="8A6C2C"/>
          <w:sz w:val="18"/>
        </w:rPr>
        <w:t xml:space="preserve">RESPONSIBLE: </w:t>
      </w:r>
      <w:r>
        <w:rPr>
          <w:color w:val="1A1F1C"/>
          <w:sz w:val="20"/>
        </w:rPr>
        <w:t>CET and Academic Council for the go/no-go gate; CET / IT infrastructure for the data warehouse review.</w:t>
      </w:r>
    </w:p>
    <w:p>
      <w:pPr>
        <w:spacing w:after="80"/>
      </w:pPr>
      <w:r>
        <w:rPr>
          <w:b/>
          <w:color w:val="153D1F"/>
          <w:sz w:val="25"/>
        </w:rPr>
        <w:t>4.  Global Partnership Engagement</w:t>
      </w:r>
    </w:p>
    <w:p>
      <w:pPr>
        <w:spacing w:after="80"/>
      </w:pPr>
      <w:r>
        <w:rPr>
          <w:color w:val="1A1F1C"/>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80"/>
        <w:ind w:left="113"/>
      </w:pPr>
      <w:r>
        <w:rPr>
          <w:b/>
          <w:color w:val="8A6C2C"/>
          <w:sz w:val="18"/>
        </w:rPr>
        <w:t xml:space="preserve">RESPONSIBLE: </w:t>
      </w:r>
      <w:r>
        <w:rPr>
          <w:color w:val="1A1F1C"/>
          <w:sz w:val="20"/>
        </w:rPr>
        <w:t>CET and Procurement for vendor terms; Office of the Chancellor and academic deans for research partnerships.</w:t>
      </w:r>
    </w:p>
    <w:p>
      <w:pPr>
        <w:spacing w:after="80"/>
      </w:pPr>
      <w:r>
        <w:rPr>
          <w:b/>
          <w:color w:val="153D1F"/>
          <w:sz w:val="25"/>
        </w:rPr>
        <w:t>5.  Financial Growth</w:t>
      </w:r>
    </w:p>
    <w:p>
      <w:pPr>
        <w:spacing w:after="80"/>
      </w:pPr>
      <w:r>
        <w:rPr>
          <w:color w:val="1A1F1C"/>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80"/>
        <w:ind w:left="113"/>
      </w:pPr>
      <w:r>
        <w:rPr>
          <w:b/>
          <w:color w:val="8A6C2C"/>
          <w:sz w:val="18"/>
        </w:rPr>
        <w:t xml:space="preserve">RESPONSIBLE: </w:t>
      </w:r>
      <w:r>
        <w:rPr>
          <w:color w:val="1A1F1C"/>
          <w:sz w:val="20"/>
        </w:rPr>
        <w:t>CET and Finance for reporting format; the Board / Leadership Team for gated budget release.</w:t>
      </w:r>
    </w:p>
    <w:p>
      <w:pPr>
        <w:spacing w:before="160" w:after="60"/>
      </w:pPr>
      <w:r>
        <w:rPr>
          <w:b/>
          <w:color w:val="3B5B7A"/>
          <w:sz w:val="18"/>
        </w:rPr>
        <w:t>WHO LEADS THIS, OVERALL</w:t>
      </w:r>
    </w:p>
    <w:p>
      <w:r>
        <w:rPr>
          <w:color w:val="1A1F1C"/>
          <w:sz w:val="21"/>
        </w:rPr>
        <w:t xml:space="preserve">A single accountable office, not a rotating committee, is what turns the five rows above from a wish list into a plan. </w:t>
      </w:r>
      <w:r>
        <w:rPr>
          <w:b/>
          <w:color w:val="153D1F"/>
          <w:sz w:val="21"/>
        </w:rPr>
        <w:t>Proposed lead role:</w:t>
      </w:r>
      <w:r>
        <w:rPr>
          <w:color w:val="1A1F1C"/>
          <w:sz w:val="21"/>
        </w:rPr>
        <w:t xml:space="preserve"> a Director, Office of AI-Enabled Transformation (new or an elevated existing role), reporting to the Office of the Chancellor, with the Center of Educational Technology as its operating arm. </w:t>
      </w:r>
      <w:r>
        <w:rPr>
          <w:b/>
          <w:color w:val="153D1F"/>
          <w:sz w:val="21"/>
        </w:rPr>
        <w:t>Decision authority:</w:t>
      </w:r>
      <w:r>
        <w:rPr>
          <w:color w:val="1A1F1C"/>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A1F1C"/>
          <w:sz w:val="21"/>
        </w:rPr>
        <w:t>An institutional strategic/innovation fund or a Board-approved capital line, released in gated tranches tied to pilot results.</w:t>
      </w:r>
    </w:p>
    <w:p>
      <w:pPr>
        <w:pStyle w:val="ListBullet"/>
        <w:spacing w:after="120"/>
      </w:pPr>
      <w:r>
        <w:rPr>
          <w:color w:val="1A1F1C"/>
          <w:sz w:val="21"/>
        </w:rPr>
        <w:t>Reallocation within the existing IT/EdTech operating budget as lower-value tools are retired.</w:t>
      </w:r>
    </w:p>
    <w:p>
      <w:pPr>
        <w:pStyle w:val="ListBullet"/>
        <w:spacing w:after="120"/>
      </w:pPr>
      <w:r>
        <w:rPr>
          <w:color w:val="1A1F1C"/>
          <w:sz w:val="21"/>
        </w:rPr>
        <w:t>Vendor/partner co-investment — several AI vendors now bundle deployment support into platform contracts at no extra cost.</w:t>
      </w:r>
    </w:p>
    <w:p>
      <w:pPr>
        <w:pStyle w:val="ListBullet"/>
        <w:spacing w:after="120"/>
      </w:pPr>
      <w:r>
        <w:rPr>
          <w:color w:val="1A1F1C"/>
          <w:sz w:val="21"/>
        </w:rPr>
        <w:t>External grants or partnership funding, including through existing research-partner relationships.</w:t>
      </w:r>
    </w:p>
    <w:p>
      <w:pPr>
        <w:pStyle w:val="ListBullet"/>
        <w:spacing w:after="120"/>
      </w:pPr>
      <w:r>
        <w:rPr>
          <w:color w:val="1A1F1C"/>
          <w:sz w:val="21"/>
        </w:rPr>
        <w:t>Philanthropic or alumni giving earmarked for innovation, worth a joint feasibility check with Advancement.</w:t>
      </w:r>
    </w:p>
    <w:p>
      <w:r>
        <w:br w:type="page"/>
      </w:r>
    </w:p>
    <w:p>
      <w:pPr>
        <w:pStyle w:val="Heading1"/>
      </w:pPr>
      <w:r>
        <w:rPr>
          <w:rFonts w:ascii="Calibri" w:hAnsi="Calibri"/>
          <w:color w:val="153D1F"/>
          <w:sz w:val="36"/>
        </w:rPr>
        <w:t>AI Implementation: Roles &amp; Responsibilities</w:t>
      </w:r>
    </w:p>
    <w:p>
      <w:r>
        <w:rPr>
          <w:color w:val="4A5650"/>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153D1F"/>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A1F1C"/>
          <w:sz w:val="20"/>
        </w:rPr>
        <w:t>Owns the roadmap's cadence and the master pilot list — the one place that can see across IT, CET, and Academic Affairs at once.</w:t>
      </w:r>
    </w:p>
    <w:p>
      <w:pPr>
        <w:pStyle w:val="ListBullet"/>
        <w:spacing w:after="100"/>
      </w:pPr>
      <w:r>
        <w:rPr>
          <w:color w:val="1A1F1C"/>
          <w:sz w:val="20"/>
        </w:rPr>
        <w:t>Runs the three-question go/no-go gate on every pilot before it's proposed for scale-up.</w:t>
      </w:r>
    </w:p>
    <w:p>
      <w:pPr>
        <w:pStyle w:val="ListBullet"/>
        <w:spacing w:after="100"/>
      </w:pPr>
      <w:r>
        <w:rPr>
          <w:color w:val="1A1F1C"/>
          <w:sz w:val="20"/>
        </w:rPr>
        <w:t>Prepares Board/BLT reporting on both efficiency and effectiveness, not adoption numbers alone.</w:t>
      </w:r>
    </w:p>
    <w:p>
      <w:pPr>
        <w:pStyle w:val="ListBullet"/>
        <w:spacing w:after="100"/>
      </w:pPr>
      <w:r>
        <w:rPr>
          <w:color w:val="1A1F1C"/>
          <w:sz w:val="20"/>
        </w:rPr>
        <w:t>Escalates anything hitting the reversibility line to Leadership — does not decide it alone.</w:t>
      </w:r>
    </w:p>
    <w:p>
      <w:pPr>
        <w:spacing w:after="80"/>
      </w:pPr>
    </w:p>
    <w:p>
      <w:pPr>
        <w:spacing w:after="40"/>
      </w:pPr>
      <w:r>
        <w:rPr>
          <w:b/>
          <w:color w:val="153D1F"/>
          <w:sz w:val="26"/>
        </w:rPr>
        <w:t>2. IT Team</w:t>
      </w:r>
    </w:p>
    <w:p>
      <w:pPr>
        <w:spacing w:after="120"/>
      </w:pPr>
      <w:r>
        <w:rPr>
          <w:i/>
          <w:color w:val="3B5B7A"/>
          <w:sz w:val="20"/>
        </w:rPr>
        <w:t>The infrastructure and safety net.</w:t>
      </w:r>
    </w:p>
    <w:p>
      <w:pPr>
        <w:pStyle w:val="ListBullet"/>
        <w:spacing w:after="100"/>
      </w:pPr>
      <w:r>
        <w:rPr>
          <w:color w:val="1A1F1C"/>
          <w:sz w:val="20"/>
        </w:rPr>
        <w:t>Owns the data-warehouse / agentic-query-capacity question before any platform is selected college-wide.</w:t>
      </w:r>
    </w:p>
    <w:p>
      <w:pPr>
        <w:pStyle w:val="ListBullet"/>
        <w:spacing w:after="100"/>
      </w:pPr>
      <w:r>
        <w:rPr>
          <w:color w:val="1A1F1C"/>
          <w:sz w:val="20"/>
        </w:rPr>
        <w:t>Runs security review on every AI vendor: data residency, access scope, breach exposure.</w:t>
      </w:r>
    </w:p>
    <w:p>
      <w:pPr>
        <w:pStyle w:val="ListBullet"/>
        <w:spacing w:after="100"/>
      </w:pPr>
      <w:r>
        <w:rPr>
          <w:color w:val="1A1F1C"/>
          <w:sz w:val="20"/>
        </w:rPr>
        <w:t>Owns uptime and support once a pilot graduates from CET's hands into daily operations.</w:t>
      </w:r>
    </w:p>
    <w:p>
      <w:pPr>
        <w:spacing w:after="80"/>
      </w:pPr>
    </w:p>
    <w:p>
      <w:pPr>
        <w:spacing w:after="40"/>
      </w:pPr>
      <w:r>
        <w:rPr>
          <w:b/>
          <w:color w:val="153D1F"/>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A1F1C"/>
          <w:sz w:val="20"/>
        </w:rPr>
        <w:t>Vets tools against the EdTech AI Tools Guide rubric before anything reaches a classroom or advisor.</w:t>
      </w:r>
    </w:p>
    <w:p>
      <w:pPr>
        <w:pStyle w:val="ListBullet"/>
        <w:spacing w:after="100"/>
      </w:pPr>
      <w:r>
        <w:rPr>
          <w:color w:val="1A1F1C"/>
          <w:sz w:val="20"/>
        </w:rPr>
        <w:t>Runs the actual pilots (syllabus AI, Academic Advising Agent, Mental Health Agent) and reports results.</w:t>
      </w:r>
    </w:p>
    <w:p>
      <w:pPr>
        <w:pStyle w:val="ListBullet"/>
        <w:spacing w:after="100"/>
      </w:pPr>
      <w:r>
        <w:rPr>
          <w:color w:val="1A1F1C"/>
          <w:sz w:val="20"/>
        </w:rPr>
        <w:t>Owns faculty and student training under the AI Literacy Framework.</w:t>
      </w:r>
    </w:p>
    <w:p>
      <w:pPr>
        <w:spacing w:after="80"/>
      </w:pPr>
    </w:p>
    <w:p>
      <w:pPr>
        <w:spacing w:after="40"/>
      </w:pPr>
      <w:r>
        <w:rPr>
          <w:b/>
          <w:color w:val="153D1F"/>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A1F1C"/>
          <w:sz w:val="20"/>
        </w:rPr>
        <w:t>Signs off on anything budget-significant or reputationally sensitive.</w:t>
      </w:r>
    </w:p>
    <w:p>
      <w:pPr>
        <w:pStyle w:val="ListBullet"/>
        <w:spacing w:after="100"/>
      </w:pPr>
      <w:r>
        <w:rPr>
          <w:color w:val="1A1F1C"/>
          <w:sz w:val="20"/>
        </w:rPr>
        <w:t>Releases Phase 3 scale-up funding in gated tranches tied to Phase 2 evidence, not as one lump commitment.</w:t>
      </w:r>
    </w:p>
    <w:p>
      <w:pPr>
        <w:pStyle w:val="ListBullet"/>
        <w:spacing w:after="100"/>
      </w:pPr>
      <w:r>
        <w:rPr>
          <w:color w:val="1A1F1C"/>
          <w:sz w:val="20"/>
        </w:rPr>
        <w:t>Sets the non-negotiable boundary: which decisions, per the reversibility test, never become AI's call no matter how well a pilot performs.</w:t>
      </w:r>
    </w:p>
    <w:p>
      <w:pPr>
        <w:spacing w:after="80"/>
      </w:pPr>
    </w:p>
    <w:p>
      <w:pPr>
        <w:spacing w:after="40"/>
      </w:pPr>
      <w:r>
        <w:rPr>
          <w:b/>
          <w:color w:val="153D1F"/>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A1F1C"/>
          <w:sz w:val="20"/>
        </w:rPr>
        <w:t>Academic Council: policy guardrails for anything touching grading, advising, or academic integrity.</w:t>
      </w:r>
    </w:p>
    <w:p>
      <w:pPr>
        <w:pStyle w:val="ListBullet"/>
        <w:spacing w:after="100"/>
      </w:pPr>
      <w:r>
        <w:rPr>
          <w:color w:val="1A1F1C"/>
          <w:sz w:val="20"/>
        </w:rPr>
        <w:t>Finance: the efficiency-times-effectiveness reporting format, and sign-off on budget tranches.</w:t>
      </w:r>
    </w:p>
    <w:p>
      <w:pPr>
        <w:pStyle w:val="ListBullet"/>
        <w:spacing w:after="100"/>
      </w:pPr>
      <w:r>
        <w:rPr>
          <w:color w:val="1A1F1C"/>
          <w:sz w:val="20"/>
        </w:rPr>
        <w:t>Marketing &amp; Communications: the public "governance discipline" narrative.</w:t>
      </w:r>
    </w:p>
    <w:p>
      <w:pPr>
        <w:pStyle w:val="ListBullet"/>
        <w:spacing w:after="100"/>
      </w:pPr>
      <w:r>
        <w:rPr>
          <w:color w:val="1A1F1C"/>
          <w:sz w:val="20"/>
        </w:rPr>
        <w:t>Student Affairs: co-owns the Mental Health Agent given its stakes.</w:t>
      </w:r>
    </w:p>
    <w:p>
      <w:pPr>
        <w:spacing w:after="80"/>
      </w:pPr>
    </w:p>
    <w:p>
      <w:pPr>
        <w:spacing w:before="160" w:after="60"/>
      </w:pPr>
      <w:r>
        <w:rPr>
          <w:b/>
          <w:color w:val="8A6C2C"/>
          <w:sz w:val="18"/>
        </w:rPr>
        <w:t>THE DECISION PATH</w:t>
      </w:r>
    </w:p>
    <w:p>
      <w:pPr>
        <w:shd w:val="clear" w:color="auto" w:fill="F1E8D4"/>
        <w:spacing w:after="200"/>
        <w:ind w:left="113"/>
      </w:pPr>
      <w:r>
        <w:rPr>
          <w:b/>
          <w:color w:val="1A1F1C"/>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2"/>
      </w:pPr>
      <w:r>
        <w:rPr>
          <w:rFonts w:ascii="Calibri" w:hAnsi="Calibri"/>
          <w:color w:val="1B5E20"/>
          <w:sz w:val="28"/>
        </w:rPr>
        <w:t>Record of Preparation</w:t>
      </w:r>
    </w:p>
    <w:p>
      <w:r>
        <w:rPr>
          <w:color w:val="7C8A82"/>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A82"/>
          <w:sz w:val="20"/>
        </w:rPr>
        <w:t>Recorded by:</w:t>
      </w:r>
    </w:p>
    <w:p>
      <w:r>
        <w:rPr>
          <w:b/>
          <w:color w:val="153D1F"/>
          <w:sz w:val="26"/>
        </w:rPr>
        <w:t>Lea S. Abarentos</w:t>
      </w:r>
    </w:p>
    <w:p>
      <w:r>
        <w:rPr>
          <w:color w:val="4A5650"/>
          <w:sz w:val="22"/>
        </w:rPr>
        <w:t>Program Lead - Digital Transformation Office</w:t>
      </w:r>
    </w:p>
    <w:p>
      <w:r>
        <w:rPr>
          <w:color w:val="7C8A82"/>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F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