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5669280" cy="425196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Gramercy Banquet &amp; Convention,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If You Only Have 5 Minutes</w:t>
      </w:r>
    </w:p>
    <w:p>
      <w:r>
        <w:rPr>
          <w:i/>
          <w:color w:val="7C8B7F"/>
          <w:sz w:val="20"/>
        </w:rPr>
        <w:t>The five ideas that came up again and again, in plain language.</w:t>
      </w:r>
    </w:p>
    <w:p>
      <w:pPr>
        <w:pStyle w:val="ListNumber"/>
        <w:spacing w:after="200"/>
      </w:pPr>
      <w:r>
        <w:rPr>
          <w:color w:val="132018"/>
          <w:sz w:val="22"/>
        </w:rPr>
      </w:r>
      <w:r>
        <w:rPr>
          <w:b/>
          <w:color w:val="08291A"/>
          <w:sz w:val="22"/>
        </w:rPr>
        <w:t>Most AI pilots never make it to real use — and it's rarely the AI's fault.</w:t>
      </w:r>
      <w:r>
        <w:rPr>
          <w:color w:val="132018"/>
          <w:sz w:val="22"/>
        </w:rPr>
        <w:t xml:space="preserve"> Roughly 80% of AI projects never reach full production. The real blockers were messy data, tools bolted onto old workflows, and no senior person willing to approve scaling something up.</w:t>
      </w:r>
    </w:p>
    <w:p>
      <w:pPr>
        <w:pStyle w:val="ListNumber"/>
        <w:spacing w:after="200"/>
      </w:pPr>
      <w:r>
        <w:rPr>
          <w:color w:val="132018"/>
          <w:sz w:val="22"/>
        </w:rPr>
      </w:r>
      <w:r>
        <w:rPr>
          <w:b/>
          <w:color w:val="08291A"/>
          <w:sz w:val="22"/>
        </w:rPr>
        <w:t>Picking the AI model is the easy part now.</w:t>
      </w:r>
      <w:r>
        <w:rPr>
          <w:color w:val="132018"/>
          <w:sz w:val="22"/>
        </w:rPr>
        <w:t xml:space="preserve"> Every major AI company (Anthropic, OpenAI, Microsoft, AWS) is now selling hands-on help to actually deploy AI inside a company, not just software access.</w:t>
      </w:r>
    </w:p>
    <w:p>
      <w:pPr>
        <w:pStyle w:val="ListNumber"/>
        <w:spacing w:after="200"/>
      </w:pPr>
      <w:r>
        <w:rPr>
          <w:color w:val="132018"/>
          <w:sz w:val="22"/>
        </w:rPr>
      </w:r>
      <w:r>
        <w:rPr>
          <w:b/>
          <w:color w:val="08291A"/>
          <w:sz w:val="22"/>
        </w:rPr>
        <w:t>Robots and physical AI need a stricter safety rule than chatbots.</w:t>
      </w:r>
      <w:r>
        <w:rPr>
          <w:color w:val="132018"/>
          <w:sz w:val="22"/>
        </w:rPr>
        <w:t xml:space="preserve"> A chatbot's wrong answer is annoying; a robot's wrong action can hurt someone. The clearest rule offered: let AI act on its own only where a mistake can be undone.</w:t>
      </w:r>
    </w:p>
    <w:p>
      <w:pPr>
        <w:pStyle w:val="ListNumber"/>
        <w:spacing w:after="200"/>
      </w:pPr>
      <w:r>
        <w:rPr>
          <w:color w:val="132018"/>
          <w:sz w:val="22"/>
        </w:rPr>
      </w:r>
      <w:r>
        <w:rPr>
          <w:b/>
          <w:color w:val="08291A"/>
          <w:sz w:val="22"/>
        </w:rPr>
        <w:t>Good results always traced back to good data — not a fancier model.</w:t>
      </w:r>
      <w:r>
        <w:rPr>
          <w:color w:val="132018"/>
          <w:sz w:val="22"/>
        </w:rPr>
        <w:t xml:space="preserve"> Storage, database, and AI companies all said the same thing in different words: organize your data first, or nothing built on top of it works reliably.</w:t>
      </w:r>
    </w:p>
    <w:p>
      <w:pPr>
        <w:pStyle w:val="ListNumber"/>
        <w:spacing w:after="200"/>
      </w:pPr>
      <w:r>
        <w:rPr>
          <w:color w:val="132018"/>
          <w:sz w:val="22"/>
        </w:rPr>
      </w:r>
      <w:r>
        <w:rPr>
          <w:b/>
          <w:color w:val="08291A"/>
          <w:sz w:val="22"/>
        </w:rPr>
        <w:t>The workforce most comfortable with AI is also the newest.</w:t>
      </w:r>
      <w:r>
        <w:rPr>
          <w:color w:val="132018"/>
          <w:sz w:val="22"/>
        </w:rPr>
        <w:t xml:space="preserve"> Roughly 30% of the global office workforce is now Gen Z — training built only for senior staff will miss where AI habits are actually forming.</w:t>
      </w:r>
    </w:p>
    <w:p/>
    <w:p>
      <w:pPr>
        <w:pStyle w:val="Heading2"/>
      </w:pPr>
      <w:r>
        <w:rPr>
          <w:rFonts w:ascii="Avenir Next" w:hAnsi="Avenir Next"/>
          <w:color w:val="0C5C3D"/>
          <w:sz w:val="28"/>
        </w:rPr>
        <w:t>How This Report Was Built — and Where to Be Careful</w:t>
      </w:r>
    </w:p>
    <w:p>
      <w:pPr>
        <w:pStyle w:val="ListBullet"/>
        <w:spacing w:after="120"/>
      </w:pPr>
      <w:r>
        <w:rPr>
          <w:color w:val="132018"/>
          <w:sz w:val="21"/>
        </w:rPr>
        <w:t>Numbers and quotes are the speakers' own claims, passed through live machine translation — treat every statistic as "what the speaker said," not independently verified.</w:t>
      </w:r>
    </w:p>
    <w:p>
      <w:pPr>
        <w:pStyle w:val="ListBullet"/>
        <w:spacing w:after="120"/>
      </w:pPr>
      <w:r>
        <w:rPr>
          <w:color w:val="132018"/>
          <w:sz w:val="21"/>
        </w:rPr>
        <w:t>Some sentences are cut off where a floating app button covered the caption feed, or a photo was blurry. Gaps are left as gaps, not guessed at.</w:t>
      </w:r>
    </w:p>
    <w:p>
      <w:pPr>
        <w:pStyle w:val="ListBullet"/>
        <w:spacing w:after="120"/>
      </w:pPr>
      <w:r>
        <w:rPr>
          <w:color w:val="132018"/>
          <w:sz w:val="21"/>
        </w:rPr>
        <w:t>A few names have uncertain spelling in the captions (marked "name unconfirmed") — worth checking against the official program before external use.</w:t>
      </w:r>
    </w:p>
    <w:p>
      <w:pPr>
        <w:pStyle w:val="ListBullet"/>
        <w:spacing w:after="120"/>
      </w:pPr>
      <w:r>
        <w:rPr>
          <w:color w:val="132018"/>
          <w:sz w:val="21"/>
        </w:rPr>
        <w:t>AI Summit Seoul (AIS26) ran Aug 19-21; the third day (Aug 21) was dedicated to the exhibition floor. This report's talk/panel coverage spans Aug 19-20, plus expo photos captured across the event.</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Speaker name not captured on slide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27432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pattern here suggests the industry conflated "more fluent" with "more capable." The deliberate constraints older assistants had — a defined belief state, a repair mechanism — weren't limitations to be discarded; they were the parts that made a system auditable. For a school evaluating an AI advising or chatbot tool, this means a fluent demo should never substitute for asking how the system handles an ambiguous or out-of-scope request. Losing that structure isn't progress on every dimension — for a student-facing tool, it's exactly the dimension that matters most when something goes wrong.</w:t>
      </w:r>
    </w:p>
    <w:p>
      <w:pPr>
        <w:spacing w:before="160" w:after="60"/>
      </w:pPr>
      <w:r>
        <w:rPr>
          <w:b/>
          <w:color w:val="0C5C3D"/>
          <w:sz w:val="18"/>
        </w:rPr>
        <w:t>TAKEAWAY</w:t>
      </w:r>
    </w:p>
    <w:p>
      <w:pPr>
        <w:shd w:val="clear" w:color="auto" w:fill="E6EFE4"/>
        <w:spacing w:before="40" w:after="200"/>
        <w:ind w:left="113"/>
      </w:pPr>
      <w:r>
        <w:rPr>
          <w:b/>
          <w:color w:val="08291A"/>
          <w:sz w:val="21"/>
        </w:rPr>
        <w:t>Fluency isn't the same as reliability. Before adopting any AI assistant for advising, admissions, or student services, Benilde should require vendors to show how the system escalates or refuses an out-of-scope request, not just how well it answers a scripted demo question. This is a Future Ready test: the tools worth trusting with real student interactions are the ones with a visible, checkable control layer, not simply the ones that sound the most impressive in a pitch. It is a habit worth building into procurement now, before a tool is already embedded in daily operations.</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model works because satellite tasking has cheap, reversible mistakes — a mis-pointed sensor just gets re-pointed — and a clear, measurable success condition. Those two conditions rarely hold in a school setting: a misrouted student inquiry or a wrongly flagged academic-integrity case is not something you simply re-task and try again. That is exactly the caveat the Physical AI panel raises later that evening, and it is why "humans on the loop" works beautifully for infrastructure monitoring but needs real modification before touching anything involving a student's record or wellbeing.</w:t>
      </w:r>
    </w:p>
    <w:p>
      <w:pPr>
        <w:spacing w:before="160" w:after="60"/>
      </w:pPr>
      <w:r>
        <w:rPr>
          <w:b/>
          <w:color w:val="0C5C3D"/>
          <w:sz w:val="18"/>
        </w:rPr>
        <w:t>TAKEAWAY</w:t>
      </w:r>
    </w:p>
    <w:p>
      <w:pPr>
        <w:shd w:val="clear" w:color="auto" w:fill="E6EFE4"/>
        <w:spacing w:before="40" w:after="200"/>
        <w:ind w:left="113"/>
      </w:pPr>
      <w:r>
        <w:rPr>
          <w:b/>
          <w:color w:val="08291A"/>
          <w:sz w:val="21"/>
        </w:rPr>
        <w:t>"Set the goal, check the result" is a clean, Future Ready pattern worth borrowing for coordinating multiple administrative systems at once — for example, syncing enrollment, financial aid, and registrar data through one AI-assisted workflow. Benilde should extend this pattern only to processes where a wrong output is genuinely cheap to catch and undo, not to anything touching a student's academic or financial standing.</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80"/>
      </w:pPr>
      <w:r>
        <w:rPr>
          <w:i/>
          <w:color w:val="08291A"/>
          <w:sz w:val="19"/>
        </w:rPr>
        <w:t>Featuring Prof. Kyungjong Lee — KB Kookmin Bank / KB Financial Group</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independent sources — Gartner, a national bank survey, and this speaker's own executive polling — landed on the same story: most organizations adopting AI cannot show it moved a real number. That is a useful gut-check for a school considering a large AI investment, since higher education faces the same incentive to announce adoption before proving impact. It should recalibrate how fast Benilde expects the Recruitment Chatbot or Advising Agent to show a measurable effect on enrollment, retention, or staff time — and argues for setting that expectation with the Board before launch, not after.</w:t>
      </w:r>
    </w:p>
    <w:p>
      <w:pPr>
        <w:spacing w:before="160" w:after="60"/>
      </w:pPr>
      <w:r>
        <w:rPr>
          <w:b/>
          <w:color w:val="0C5C3D"/>
          <w:sz w:val="18"/>
        </w:rPr>
        <w:t>TAKEAWAY</w:t>
      </w:r>
    </w:p>
    <w:p>
      <w:pPr>
        <w:shd w:val="clear" w:color="auto" w:fill="E6EFE4"/>
        <w:spacing w:before="40" w:after="200"/>
        <w:ind w:left="113"/>
      </w:pPr>
      <w:r>
        <w:rPr>
          <w:b/>
          <w:color w:val="08291A"/>
          <w:sz w:val="21"/>
        </w:rPr>
        <w:t>"Everyone's using AI" and "AI is actually working here" are different claims, and conflating them is how institutions over-commit budget on adoption numbers alone. Every Benilde AI pilot should report a specific operational metric — hours saved per advisor, response time per inquiry, retention lift per cohort — before it is considered for wider rollout. That is a Financial Growth and Future Ready discipline borrowed directly from this session's warning.</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27432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Four fierce competitors — Anthropic, OpenAI, AWS, and Microsoft — converging on the identical "embed our engineers with the customer" business model, at the same time, is a strong signal the model layer itself has commoditized. For a school evaluating vendors, the real differentiator in any AI contract is no longer "whose model is smartest" but "who will actually sit with our IT and CET teams to make this work." That shifts negotiating leverage: Benilde should expect deployment support bundled into any platform contract as standard, since every major vendor now positions it that way.</w:t>
      </w:r>
    </w:p>
    <w:p>
      <w:pPr>
        <w:spacing w:before="160" w:after="60"/>
      </w:pPr>
      <w:r>
        <w:rPr>
          <w:b/>
          <w:color w:val="0C5C3D"/>
          <w:sz w:val="18"/>
        </w:rPr>
        <w:t>TAKEAWAY</w:t>
      </w:r>
    </w:p>
    <w:p>
      <w:pPr>
        <w:shd w:val="clear" w:color="auto" w:fill="E6EFE4"/>
        <w:spacing w:before="40" w:after="200"/>
        <w:ind w:left="113"/>
      </w:pPr>
      <w:r>
        <w:rPr>
          <w:b/>
          <w:color w:val="08291A"/>
          <w:sz w:val="21"/>
        </w:rPr>
        <w:t>Every major AI vendor now sells hands-on deployment help, not just model access — a Global Partnership Engagement detail directly worth negotiating into Benilde's Phase 2 platform contract. It is also proof picking a model was never the hard part of an EdTech rollout; the real work is the governance, training, and integration layer around it, which is exactly what CET and the Digital Transformation Office are being asked to own.</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27432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shift — from one predictable query per user to an agent firing off many unpredictable queries at once — is a capacity-planning cost most organizations, schools included, haven't priced into their infrastructure budgets. A single Advising Agent or chatbot serving hundreds of students concurrently can generate a query load an ordinary student-information database was never designed for. That hidden cost surfaces only once a pilot scales past its demo, which is exactly the surprise Benilde's IT team should stress-test for before a college-wide rollout, not after.</w:t>
      </w:r>
    </w:p>
    <w:p>
      <w:pPr>
        <w:spacing w:before="160" w:after="60"/>
      </w:pPr>
      <w:r>
        <w:rPr>
          <w:b/>
          <w:color w:val="0C5C3D"/>
          <w:sz w:val="18"/>
        </w:rPr>
        <w:t>TAKEAWAY</w:t>
      </w:r>
    </w:p>
    <w:p>
      <w:pPr>
        <w:shd w:val="clear" w:color="auto" w:fill="E6EFE4"/>
        <w:spacing w:before="40" w:after="200"/>
        <w:ind w:left="113"/>
      </w:pPr>
      <w:r>
        <w:rPr>
          <w:b/>
          <w:color w:val="08291A"/>
          <w:sz w:val="21"/>
        </w:rPr>
        <w:t>AI agents need a database built for many unpredictable requests at once, not the steady, scheduled pattern most student information systems assume. This is a Future Ready requirement IT should validate — specifically, whether Benilde's data warehouse can handle concurrent agentic queries — before any platform decision is finalized in Phase 2.</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27432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Framing data as "the most valuable asset" is self-serving coming from a storage vendor, but the underlying number is a useful corrective for any institution. AI cost conversations in education tend to fixate on which subscription tier to buy, when the more durable cost driver is where student and institutional data actually lives and how long it is retained. For Benilde, the true long-term cost of any AI initiative includes data storage, retention policy, and archival planning, not just the software license.</w:t>
      </w:r>
    </w:p>
    <w:p>
      <w:pPr>
        <w:spacing w:before="160" w:after="60"/>
      </w:pPr>
      <w:r>
        <w:rPr>
          <w:b/>
          <w:color w:val="0C5C3D"/>
          <w:sz w:val="18"/>
        </w:rPr>
        <w:t>TAKEAWAY</w:t>
      </w:r>
    </w:p>
    <w:p>
      <w:pPr>
        <w:shd w:val="clear" w:color="auto" w:fill="E6EFE4"/>
        <w:spacing w:before="40" w:after="200"/>
        <w:ind w:left="113"/>
      </w:pPr>
      <w:r>
        <w:rPr>
          <w:b/>
          <w:color w:val="08291A"/>
          <w:sz w:val="21"/>
        </w:rPr>
        <w:t>Every AI conversation eventually becomes a data-storage-and-governance conversation. Before approving further AI budget, Finance and IT should jointly confirm where Benilde's growing volume of student interaction data will actually live, and at what cost — a Financial Growth and Future Ready question easy to overlook until the bill arrives.</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27432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is really a governance-mismatch warning dressed up as a workforce statistic: policies written by and for senior leadership may regulate the group least likely to be driving day-to-day AI usage. In a school, that group is not the newest hires; it is the students themselves, already Gen Z and already AI-native before they enroll. Any AI policy Benilde writes for faculty and staff should assume the incoming student body has already formed AI habits well before arriving on campus, and design onboarding accordingly rather than starting from zero.</w:t>
      </w:r>
    </w:p>
    <w:p>
      <w:pPr>
        <w:spacing w:before="160" w:after="60"/>
      </w:pPr>
      <w:r>
        <w:rPr>
          <w:b/>
          <w:color w:val="0C5C3D"/>
          <w:sz w:val="18"/>
        </w:rPr>
        <w:t>TAKEAWAY</w:t>
      </w:r>
    </w:p>
    <w:p>
      <w:pPr>
        <w:shd w:val="clear" w:color="auto" w:fill="E6EFE4"/>
        <w:spacing w:before="40" w:after="200"/>
        <w:ind w:left="113"/>
      </w:pPr>
      <w:r>
        <w:rPr>
          <w:b/>
          <w:color w:val="08291A"/>
          <w:sz w:val="21"/>
        </w:rPr>
        <w:t>AI habits form fastest at the newest, least senior level of any organization; for Benilde, that is simultaneously the incoming workforce and the incoming Enrollment Growth student body. Training built only around faculty and senior staff will miss where AI fluency is actually strongest on campus, a Future Ready gap worth closing with student-facing AI literacy programming, not just faculty workshops.</w:t>
      </w:r>
    </w:p>
    <w:p>
      <w:pPr>
        <w:spacing w:after="40"/>
      </w:pPr>
    </w:p>
    <w:p>
      <w:pPr>
        <w:pBdr>
          <w:bottom w:val="single" w:sz="6" w:space="1" w:color="DFE3DC"/>
        </w:pBdr>
      </w:pP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MTechLab</w:t>
      </w:r>
    </w:p>
    <w:p>
      <w:pPr>
        <w:spacing w:before="160" w:after="60"/>
      </w:pPr>
      <w:r>
        <w:rPr>
          <w:b/>
          <w:color w:val="0C5C3D"/>
          <w:sz w:val="18"/>
        </w:rPr>
        <w:t>HIGHLIGHTS</w:t>
      </w:r>
    </w:p>
    <w:p>
      <w:pPr>
        <w:pStyle w:val="ListBullet"/>
        <w:spacing w:after="120"/>
      </w:pPr>
      <w:r>
        <w:rPr>
          <w:color w:val="132018"/>
          <w:sz w:val="21"/>
        </w:rPr>
        <w:t>Opening keynote of the afternoon, framed as "the innovator's mindset in the age of AI" from IDEO's AI-focused lab.</w:t>
      </w:r>
    </w:p>
    <w:p>
      <w:pPr>
        <w:pStyle w:val="ListBullet"/>
        <w:spacing w:after="120"/>
      </w:pPr>
      <w:r>
        <w:rPr>
          <w:color w:val="132018"/>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2743200"/>
                    </a:xfrm>
                    <a:prstGeom prst="rect"/>
                  </pic:spPr>
                </pic:pic>
              </a:graphicData>
            </a:graphic>
          </wp:inline>
        </w:drawing>
      </w:r>
    </w:p>
    <w:p>
      <w:pPr>
        <w:spacing w:after="200"/>
        <w:jc w:val="center"/>
      </w:pPr>
      <w:r>
        <w:rPr>
          <w:i/>
          <w:color w:val="7C8B7F"/>
          <w:sz w:val="17"/>
        </w:rPr>
        <w:t>Introduction slide for the IDEO AI MTechLab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Keynotes that introduce one reusable concept function as shared vocabulary for the rest of an event, and watching which framing gets picked up by unrelated later sessions is a useful signal for what a field is actually converging on. "Embodiment" turned out to be exactly that kind of concept, resurfacing directly in the Physical AI panel hours later. For a school, embodiment is a useful frame for thinking about where AI moves beyond chat-based tools into anything with a physical or high-stakes real-world consequence, such as campus access systems, labs, or design studios.</w:t>
      </w:r>
    </w:p>
    <w:p>
      <w:pPr>
        <w:spacing w:before="160" w:after="60"/>
      </w:pPr>
      <w:r>
        <w:rPr>
          <w:b/>
          <w:color w:val="0C5C3D"/>
          <w:sz w:val="18"/>
        </w:rPr>
        <w:t>TAKEAWAY</w:t>
      </w:r>
    </w:p>
    <w:p>
      <w:pPr>
        <w:shd w:val="clear" w:color="auto" w:fill="E6EFE4"/>
        <w:spacing w:before="40" w:after="200"/>
        <w:ind w:left="113"/>
      </w:pPr>
      <w:r>
        <w:rPr>
          <w:b/>
          <w:color w:val="08291A"/>
          <w:sz w:val="21"/>
        </w:rPr>
        <w:t>"Embodiment" — intelligence that has to act in, and be checked against, the physical world — became this summit's connective thread. It is a Future Ready concept Benilde should track as AI moves from classroom chat tools into anything touching physical campus operations, safety systems, or hands-on creative practice in design and multimedia programs.</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Genspark</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27432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When a vendor's growth pitch and a completely unrelated speaker's opening keynote independently reach the same architectural conclusion hours apart, that is a stronger signal of real market consensus than either claim alone. Both converged on the same point: the unlock is not a bigger model, it is a persistent memory or context layer that follows a person across interactions. For a school, this argues against chasing the newest, biggest model for every feature, and instead prioritizing tools that remember a student's history across advising sessions, enrollments, or support tickets.</w:t>
      </w:r>
    </w:p>
    <w:p>
      <w:pPr>
        <w:spacing w:before="160" w:after="60"/>
      </w:pPr>
      <w:r>
        <w:rPr>
          <w:b/>
          <w:color w:val="0C5C3D"/>
          <w:sz w:val="18"/>
        </w:rPr>
        <w:t>TAKEAWAY</w:t>
      </w:r>
    </w:p>
    <w:p>
      <w:pPr>
        <w:shd w:val="clear" w:color="auto" w:fill="E6EFE4"/>
        <w:spacing w:before="40" w:after="200"/>
        <w:ind w:left="113"/>
      </w:pPr>
      <w:r>
        <w:rPr>
          <w:b/>
          <w:color w:val="08291A"/>
          <w:sz w:val="21"/>
        </w:rPr>
        <w:t>A persistent memory/context layer matters more than a bigger model — a Future Ready principle for evaluating any AI tool Benilde considers, whether it is a chatbot, an advising agent, or a faculty-facing assistant. Ask less about which model powers the tool and more about whether it retains useful context about a specific student or case over time.</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27432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"Reversibility" is a more portable governance principle than most, because it is domain-agnostic and testable in advance, unlike vaguer guidance such as "align with our values," which is hard to apply consistently across departments. It can be applied as a literal checklist question to any proposed AI feature, physical or digital, which is why it echoed through later sessions well outside robotics and defense. For Benilde, it translates directly into a rule for the Mental Health Agent and Academic Advising Agent: AI can flag and suggest freely, but anything hard to undo — a probation recommendation, a safety escalation, a financial-aid decision — stays a human call.</w:t>
      </w:r>
    </w:p>
    <w:p>
      <w:pPr>
        <w:spacing w:before="160" w:after="60"/>
      </w:pPr>
      <w:r>
        <w:rPr>
          <w:b/>
          <w:color w:val="0C5C3D"/>
          <w:sz w:val="18"/>
        </w:rPr>
        <w:t>TAKEAWAY</w:t>
      </w:r>
    </w:p>
    <w:p>
      <w:pPr>
        <w:shd w:val="clear" w:color="auto" w:fill="E6EFE4"/>
        <w:spacing w:before="40" w:after="200"/>
        <w:ind w:left="113"/>
      </w:pPr>
      <w:r>
        <w:rPr>
          <w:b/>
          <w:color w:val="08291A"/>
          <w:sz w:val="21"/>
        </w:rPr>
        <w:t>Use reversibility, not capability, as the line for how much AI decides. This is a Future Ready principle directly usable for Benilde's Mental Health and Academic Advising agents: build the rule into each pilot's operating charter now, while both tools are still early in development, rather than discovering the boundary only after an incident forces the question.</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27432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5/50/500 rule is really a proxy for blast radius, not raw usage: a tool with 5 users making low-stakes suggestions is a very different risk than 5 users making high-stakes calls, so it works best paired with the Physical AI panel's reversibility test. In a school, a faculty member's personal use of an AI grading assistant is low-risk; the moment that same tool is adopted department-wide for decisions affecting a student's standing, it needs a named owner and a documented process. This is exactly the quiet scope-creep that turns a helpful individual habit into an ungoverned institutional risk.</w:t>
      </w:r>
    </w:p>
    <w:p>
      <w:pPr>
        <w:spacing w:before="160" w:after="60"/>
      </w:pPr>
      <w:r>
        <w:rPr>
          <w:b/>
          <w:color w:val="0C5C3D"/>
          <w:sz w:val="18"/>
        </w:rPr>
        <w:t>TAKEAWAY</w:t>
      </w:r>
    </w:p>
    <w:p>
      <w:pPr>
        <w:shd w:val="clear" w:color="auto" w:fill="E6EFE4"/>
        <w:spacing w:before="40" w:after="200"/>
        <w:ind w:left="113"/>
      </w:pPr>
      <w:r>
        <w:rPr>
          <w:b/>
          <w:color w:val="08291A"/>
          <w:sz w:val="21"/>
        </w:rPr>
        <w:t>5 users, the builder still owns it; 50, it needs a named owner; 500, it needs a full team — a Future Ready and Financial Growth check Benilde should apply proactively at each threshold, rather than waiting for a pilot to become unmanageable before assigning it real ownership.</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The Conditions for AX Success and a Truly AI-Native Enterprise</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That a maturity-model talk earned its own dedicated session suggests the market conversation has matured past "should we adopt AI" into "how good are we at it yet" — a harder, more honest question. For Benilde, adopting a similar scorecard internally would let CET and the Digital Transformation Office track progress across departments in comparable terms, rather than each unit assessing its own readiness informally. It also gives Leadership a shared vocabulary for Board reporting that goes beyond "we have a chatbot now."</w:t>
      </w:r>
    </w:p>
    <w:p>
      <w:r>
        <w:rPr>
          <w:i/>
          <w:color w:val="7C8B7F"/>
          <w:sz w:val="18"/>
        </w:rPr>
        <w:t>Captured only in slide/photo form; caption detail for this talk wasn't fully recovered from the source images.</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Opening with the slowest-to-monetize, most credible work — protein folding, not a flashy chatbot demo — is itself a rhetorical strategy: positioning rigor as the differentiator in a market saturated with unverified demos. For a school evaluating any AI vendor's claims, ask what its most rigorously validated, least glamorous work looks like, not just its flashiest showcase feature. DeepMind's free academic-tier access to tools like AlphaFold is also a concrete example of the kind of low-cost research partnership Benilde's science and health-adjacent programs could explore directly.</w:t>
      </w:r>
    </w:p>
    <w:p>
      <w:pPr>
        <w:spacing w:before="160" w:after="60"/>
      </w:pPr>
      <w:r>
        <w:rPr>
          <w:b/>
          <w:color w:val="0C5C3D"/>
          <w:sz w:val="18"/>
        </w:rPr>
        <w:t>TAKEAWAY</w:t>
      </w:r>
    </w:p>
    <w:p>
      <w:pPr>
        <w:shd w:val="clear" w:color="auto" w:fill="E6EFE4"/>
        <w:spacing w:before="40" w:after="200"/>
        <w:ind w:left="113"/>
      </w:pPr>
      <w:r>
        <w:rPr>
          <w:b/>
          <w:color w:val="08291A"/>
          <w:sz w:val="21"/>
        </w:rPr>
        <w:t>The summit's most-repeated number — 80% of AI projects don't reach production — traces to data readiness, a Future Ready lesson directly applicable to Benilde's Phase 2 pilots. It is also a Global Partnership Engagement opening: DeepMind's free-tier academic tools are a concrete, low-cost starting point for any program wanting hands-on exposure to applied AI research rather than just consumer-facing chat tools.</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27432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When four structurally different competitor types move into the same space at once, the opportunity is real but the eventual standard is genuinely unsettled. For a school's finance and student-accounts operations, this is a preview rather than an urgent call to action: tuition payment and financial-aid disbursement will eventually be touched by similar AI-agent-driven tools, but the vendor landscape is too unsettled to commit early. It is worth Benilde's Finance office tracking this over the next one to two years rather than evaluating vendors today.</w:t>
      </w:r>
    </w:p>
    <w:p>
      <w:pPr>
        <w:spacing w:before="160" w:after="60"/>
      </w:pPr>
      <w:r>
        <w:rPr>
          <w:b/>
          <w:color w:val="0C5C3D"/>
          <w:sz w:val="18"/>
        </w:rPr>
        <w:t>TAKEAWAY</w:t>
      </w:r>
    </w:p>
    <w:p>
      <w:pPr>
        <w:shd w:val="clear" w:color="auto" w:fill="E6EFE4"/>
        <w:spacing w:before="40" w:after="200"/>
        <w:ind w:left="113"/>
      </w:pPr>
      <w:r>
        <w:rPr>
          <w:b/>
          <w:color w:val="08291A"/>
          <w:sz w:val="21"/>
        </w:rPr>
        <w:t>Payments previews what's coming to every trust-sensitive process — a Financial Growth and Global Partnership Engagement signal worth Benilde's Finance and IT offices monitoring, particularly as it may eventually touch how tuition and financial aid are processed.</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Prent Mishra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from a thin record, the framing itself matters: distinguishing "automating a task" from "delegating an actual decision" is the exact vocabulary the Physical AI panel's reversibility principle needs in order to be applied inside a real workflow. For Benilde, this distinction is directly useful when scoping any new AI pilot: automating the task of drafting a first-pass email reply is very different from delegating the decision of whether a student's appeal should be approved, even if both look like "AI helping with student services" from the outside. Every pilot proposal should state which category it falls into before it is approved.</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80"/>
      </w:pPr>
      <w:r>
        <w:rPr>
          <w:i/>
          <w:color w:val="08291A"/>
          <w:sz w:val="19"/>
        </w:rPr>
        <w:t>Moderator: name unconfirmed ("Seunghyun"/"Seunghwan" Lee), VP, Samil PwC  |  Yongmin Choi, Head of AI Strategy Center, Woori Financial Group  |  Yoonhee Hwang, Senior VP, Data Intelligence, LG Electronics</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"who presses the button" problem and LG's technical failure likely compound each other: a shaky pilot makes leadership less willing to approve scaling, and that hesitation delays the data-engineering fix that would have stabilized it. Schools are just as susceptible to this cycle, since most institutions run on a patchwork of legacy student-information and finance systems never designed with AI-agent access in mind. Breaking the cycle starts with treating the technical fix and the leadership sign-off as two parallel workstreams, not sequential ones.</w:t>
      </w:r>
    </w:p>
    <w:p>
      <w:pPr>
        <w:spacing w:before="160" w:after="60"/>
      </w:pPr>
      <w:r>
        <w:rPr>
          <w:b/>
          <w:color w:val="0C5C3D"/>
          <w:sz w:val="18"/>
        </w:rPr>
        <w:t>TAKEAWAY</w:t>
      </w:r>
    </w:p>
    <w:p>
      <w:pPr>
        <w:shd w:val="clear" w:color="auto" w:fill="E6EFE4"/>
        <w:spacing w:before="40" w:after="200"/>
        <w:ind w:left="113"/>
      </w:pPr>
      <w:r>
        <w:rPr>
          <w:b/>
          <w:color w:val="08291A"/>
          <w:sz w:val="21"/>
        </w:rPr>
        <w:t>Executive hesitation — not data or model quality — was the biggest bottleneck named here. It is a Future Ready and Financial Growth governance problem the Digital Transformation Office should own explicitly by naming a decision-maker for every pilot before it is built, not after it is ready to scale (see the Roles and Responsibilities section).</w:t>
      </w:r>
    </w:p>
    <w:p>
      <w:pPr>
        <w:spacing w:after="40"/>
      </w:pPr>
    </w:p>
    <w:p>
      <w:pPr>
        <w:pBdr>
          <w:bottom w:val="single" w:sz="6" w:space="1" w:color="DFE3DC"/>
        </w:pBdr>
      </w:pPr>
    </w:p>
    <w:p/>
    <w:p>
      <w:r>
        <w:rPr>
          <w:rFonts w:ascii="Avenir Next" w:hAnsi="Avenir Next"/>
          <w:b/>
          <w:color w:val="132018"/>
          <w:sz w:val="25"/>
        </w:rPr>
        <w:t>Panel: AI Governance in Manufacturing</w:t>
      </w:r>
    </w:p>
    <w:p>
      <w:pPr>
        <w:spacing w:after="80"/>
      </w:pPr>
      <w:r>
        <w:rPr>
          <w:i/>
          <w:color w:val="08291A"/>
          <w:sz w:val="19"/>
        </w:rPr>
        <w:t>Three panelists, names not captured in the recovered transcript</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"Turning tacit knowledge into data" is functionally the same problem manufacturers have always had with retiring experienced staff; AI did not create it, it just raised the cost of not solving it. Schools face a close parallel: a veteran registrar or advisor's judgment about edge cases often lives entirely in that person's head, undocumented, until they retire or move on. Any AI tool meant to assist with these judgment calls will only be as good as the documentation effort that precedes it, which means the real first project is often a knowledge-capture exercise, not a software purchase.</w:t>
      </w:r>
    </w:p>
    <w:p>
      <w:pPr>
        <w:spacing w:before="160" w:after="60"/>
      </w:pPr>
      <w:r>
        <w:rPr>
          <w:b/>
          <w:color w:val="0C5C3D"/>
          <w:sz w:val="18"/>
        </w:rPr>
        <w:t>TAKEAWAY</w:t>
      </w:r>
    </w:p>
    <w:p>
      <w:pPr>
        <w:shd w:val="clear" w:color="auto" w:fill="E6EFE4"/>
        <w:spacing w:before="40" w:after="200"/>
        <w:ind w:left="113"/>
      </w:pPr>
      <w:r>
        <w:rPr>
          <w:b/>
          <w:color w:val="08291A"/>
          <w:sz w:val="21"/>
        </w:rPr>
        <w:t>Writing down tacit, expert-only knowledge is the unglamorous but unavoidable first step before any AI tool can be trusted with it — a Future Ready lesson for Benilde's registrar, advising, and financial-aid offices specifically, where institutional judgment calls are often concentrated in a small number of long-tenured staff.</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Cisco</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Routing security and AI through the same pipeline is efficient, but it also means a security incident and an AI-agent failure will increasingly surface in the same monitoring system. For a school with limited IT staffing, this efficiency argument is compelling: one well-governed data foundation can support cybersecurity monitoring, compliance reporting, and AI-agent operations at once, instead of three separate systems each requiring its own maintenance. The tradeoff is that IT and the Digital Transformation Office need a clear, pre-agreed answer for who responds when an incident could plausibly be either a breach or an AI malfunction.</w:t>
      </w:r>
    </w:p>
    <w:p>
      <w:pPr>
        <w:spacing w:before="160" w:after="60"/>
      </w:pPr>
      <w:r>
        <w:rPr>
          <w:b/>
          <w:color w:val="0C5C3D"/>
          <w:sz w:val="18"/>
        </w:rPr>
        <w:t>TAKEAWAY</w:t>
      </w:r>
    </w:p>
    <w:p>
      <w:pPr>
        <w:shd w:val="clear" w:color="auto" w:fill="E6EFE4"/>
        <w:spacing w:before="40" w:after="200"/>
        <w:ind w:left="113"/>
      </w:pPr>
      <w:r>
        <w:rPr>
          <w:b/>
          <w:color w:val="08291A"/>
          <w:sz w:val="21"/>
        </w:rPr>
        <w:t>Cybersecurity and AI-agent readiness are converging on the same requirement — a Future Ready foundation that also protects Benilde's Enhanced Reputation and Branding position as a trustworthy institution, since one well-governed pipeline is both cheaper to maintain and less likely to produce the kind of visible failure that damages public trust.</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27432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The formula is easy to state and hard to measure: "effectiveness" requires agreeing on what outcome you are optimizing for, and most organizations, schools included, have not had that conversation before adopting the tool — which is exactly how an institution ends up only measuring the efficiency half. For Benilde's Recruitment Chatbot and Advising Agent, efficiency is easy to track (response time, hours saved), but effectiveness requires agreeing in advance on the outcome that matters — conversion to enrollment, or improved retention — and building that measurement in from day one, not retrofitting it later.</w:t>
      </w:r>
    </w:p>
    <w:p>
      <w:pPr>
        <w:spacing w:before="160" w:after="60"/>
      </w:pPr>
      <w:r>
        <w:rPr>
          <w:b/>
          <w:color w:val="0C5C3D"/>
          <w:sz w:val="18"/>
        </w:rPr>
        <w:t>TAKEAWAY</w:t>
      </w:r>
    </w:p>
    <w:p>
      <w:pPr>
        <w:shd w:val="clear" w:color="auto" w:fill="E6EFE4"/>
        <w:spacing w:before="40" w:after="200"/>
        <w:ind w:left="113"/>
      </w:pPr>
      <w:r>
        <w:rPr>
          <w:b/>
          <w:color w:val="08291A"/>
          <w:sz w:val="21"/>
        </w:rPr>
        <w:t>"Time saved times outcome improved" applies directly to Benilde's Enrollment Growth funnel — the Recruitment Chatbot and Advising Agent both need this two-part measurement built in from the start. It is also a Financial Growth discipline for reporting any AI tool's real value to the Board in terms the Board can act on, not just adoption statistics.</w:t>
      </w:r>
    </w:p>
    <w:p>
      <w:pPr>
        <w:spacing w:after="40"/>
      </w:pPr>
    </w:p>
    <w:p>
      <w:pPr>
        <w:pBdr>
          <w:bottom w:val="single" w:sz="6" w:space="1" w:color="DFE3DC"/>
        </w:pBdr>
      </w:pPr>
    </w:p>
    <w:p/>
    <w:p>
      <w:r>
        <w:rPr>
          <w:rFonts w:ascii="Avenir Next" w:hAnsi="Avenir Next"/>
          <w:b/>
          <w:color w:val="132018"/>
          <w:sz w:val="25"/>
        </w:rPr>
        <w:t>Expo Highlights</w:t>
      </w:r>
    </w:p>
    <w:p>
      <w:pPr>
        <w:spacing w:after="80"/>
      </w:pPr>
      <w:r>
        <w:rPr>
          <w:i/>
          <w:color w:val="08291A"/>
          <w:sz w:val="19"/>
        </w:rPr>
        <w:t>Throughout both days - Expo Floor</w:t>
      </w:r>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humanoid and quadruped robots on live demo, the most direct physical illustration of "Physical AI" on the show floor.</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2743200"/>
                    </a:xfrm>
                    <a:prstGeom prst="rect"/>
                  </pic:spPr>
                </pic:pic>
              </a:graphicData>
            </a:graphic>
          </wp:inline>
        </w:drawing>
      </w:r>
    </w:p>
    <w:p>
      <w:pPr>
        <w:spacing w:after="200"/>
        <w:jc w:val="center"/>
      </w:pPr>
      <w:r>
        <w:rPr>
          <w:i/>
          <w:color w:val="7C8B7F"/>
          <w:sz w:val="17"/>
        </w:rPr>
        <w:t>Humanoid and quadruped robots on display at the expo floor.</w:t>
      </w: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8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80"/>
        <w:ind w:left="113"/>
      </w:pPr>
      <w:r>
        <w:rPr>
          <w:b/>
          <w:color w:val="8A6C2C"/>
          <w:sz w:val="18"/>
        </w:rPr>
        <w:t xml:space="preserve">RESPONSIBLE: </w:t>
      </w:r>
      <w:r>
        <w:rPr>
          <w:color w:val="132018"/>
          <w:sz w:val="20"/>
        </w:rPr>
        <w:t>Marketing &amp; Communications, with CET for content; Office of the Chancellor for public positioning.</w:t>
      </w: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80"/>
        <w:ind w:left="113"/>
      </w:pPr>
      <w:r>
        <w:rPr>
          <w:b/>
          <w:color w:val="8A6C2C"/>
          <w:sz w:val="18"/>
        </w:rPr>
        <w:t xml:space="preserve">RESPONSIBLE: </w:t>
      </w:r>
      <w:r>
        <w:rPr>
          <w:color w:val="132018"/>
          <w:sz w:val="20"/>
        </w:rPr>
        <w:t>CET and Academic Council for the go/no-go gate; CET / IT infrastructure for the data warehouse review.</w:t>
      </w: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80"/>
        <w:ind w:left="113"/>
      </w:pPr>
      <w:r>
        <w:rPr>
          <w:b/>
          <w:color w:val="8A6C2C"/>
          <w:sz w:val="18"/>
        </w:rPr>
        <w:t xml:space="preserve">RESPONSIBLE: </w:t>
      </w:r>
      <w:r>
        <w:rPr>
          <w:color w:val="132018"/>
          <w:sz w:val="20"/>
        </w:rPr>
        <w:t>CET and Procurement for vendor terms; Office of the Chancellor and academic deans for research partnerships.</w:t>
      </w: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80"/>
        <w:ind w:left="113"/>
      </w:pPr>
      <w:r>
        <w:rPr>
          <w:b/>
          <w:color w:val="8A6C2C"/>
          <w:sz w:val="18"/>
        </w:rPr>
        <w:t xml:space="preserve">RESPONSIBLE: </w:t>
      </w:r>
      <w:r>
        <w:rPr>
          <w:color w:val="132018"/>
          <w:sz w:val="20"/>
        </w:rPr>
        <w:t>CET and Finance for reporting format; the Board / Leadership Team for gated budget release.</w:t>
      </w: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23">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24">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25">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26">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27">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hyperlink" Target="https://tech.asu.edu/features/asu-and-openai-expand-collaboration-scaling-ai" TargetMode="External"/><Relationship Id="rId24" Type="http://schemas.openxmlformats.org/officeDocument/2006/relationships/hyperlink" Target="https://news.nus.edu.sg/nus-powers-education-research-and-administration-to-new-heights-with-ai-through-a-strategic-collaboration-with-openai/" TargetMode="External"/><Relationship Id="rId25" Type="http://schemas.openxmlformats.org/officeDocument/2006/relationships/hyperlink" Target="https://www.ai.gatech.edu/news" TargetMode="External"/><Relationship Id="rId26" Type="http://schemas.openxmlformats.org/officeDocument/2006/relationships/hyperlink" Target="https://thescipub.com/abstract/jcssp.2026.840.859" TargetMode="External"/><Relationship Id="rId27"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