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55904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5669280" cy="755904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COEX Grand Ballroom &amp; Exhibition Hall B, Samseong-dong, Gangnam-gu,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10 Things I Took Away as an Attendee</w:t>
      </w:r>
    </w:p>
    <w:p/>
    <w:p>
      <w:pPr>
        <w:spacing w:after="40"/>
      </w:pPr>
      <w:r>
        <w:rPr>
          <w:b/>
          <w:color w:val="0C5C3D"/>
          <w:sz w:val="24"/>
        </w:rPr>
        <w:t xml:space="preserve">01.  </w:t>
      </w:r>
      <w:r>
        <w:rPr>
          <w:b/>
          <w:color w:val="08291A"/>
          <w:sz w:val="24"/>
        </w:rPr>
        <w:t>Data is the bottleneck, not the model.</w:t>
      </w:r>
    </w:p>
    <w:p>
      <w:pPr>
        <w:spacing w:after="240"/>
        <w:ind w:left="340"/>
      </w:pPr>
      <w:r>
        <w:rPr>
          <w:color w:val="48584D"/>
          <w:sz w:val="20"/>
        </w:rPr>
        <w:t>The unglamorous work — cleaning, structuring, connecting — is where AI actually lives or dies.</w:t>
      </w:r>
    </w:p>
    <w:p>
      <w:pPr>
        <w:spacing w:after="40"/>
      </w:pPr>
      <w:r>
        <w:rPr>
          <w:b/>
          <w:color w:val="0C5C3D"/>
          <w:sz w:val="24"/>
        </w:rPr>
        <w:t xml:space="preserve">02.  </w:t>
      </w:r>
      <w:r>
        <w:rPr>
          <w:b/>
          <w:color w:val="08291A"/>
          <w:sz w:val="24"/>
        </w:rPr>
        <w:t>PoC ≠ production.</w:t>
      </w:r>
    </w:p>
    <w:p>
      <w:pPr>
        <w:spacing w:after="240"/>
        <w:ind w:left="340"/>
      </w:pPr>
      <w:r>
        <w:rPr>
          <w:color w:val="48584D"/>
          <w:sz w:val="20"/>
        </w:rPr>
        <w:t>What works in testing often breaks at scale.</w:t>
      </w:r>
    </w:p>
    <w:p>
      <w:pPr>
        <w:spacing w:after="40"/>
      </w:pPr>
      <w:r>
        <w:rPr>
          <w:b/>
          <w:color w:val="0C5C3D"/>
          <w:sz w:val="24"/>
        </w:rPr>
        <w:t xml:space="preserve">03.  </w:t>
      </w:r>
      <w:r>
        <w:rPr>
          <w:b/>
          <w:color w:val="08291A"/>
          <w:sz w:val="24"/>
        </w:rPr>
        <w:t>Building is easy.</w:t>
      </w:r>
    </w:p>
    <w:p>
      <w:pPr>
        <w:spacing w:after="240"/>
        <w:ind w:left="340"/>
      </w:pPr>
      <w:r>
        <w:rPr>
          <w:color w:val="48584D"/>
          <w:sz w:val="20"/>
        </w:rPr>
        <w:t>Scaling is the real work.</w:t>
      </w:r>
    </w:p>
    <w:p>
      <w:pPr>
        <w:spacing w:after="40"/>
      </w:pPr>
      <w:r>
        <w:rPr>
          <w:b/>
          <w:color w:val="0C5C3D"/>
          <w:sz w:val="24"/>
        </w:rPr>
        <w:t xml:space="preserve">04.  </w:t>
      </w:r>
      <w:r>
        <w:rPr>
          <w:b/>
          <w:color w:val="08291A"/>
          <w:sz w:val="24"/>
        </w:rPr>
        <w:t>Tacit knowledge is the new gold.</w:t>
      </w:r>
    </w:p>
    <w:p>
      <w:pPr>
        <w:spacing w:after="240"/>
        <w:ind w:left="340"/>
      </w:pPr>
      <w:r>
        <w:rPr>
          <w:color w:val="48584D"/>
          <w:sz w:val="20"/>
        </w:rPr>
        <w:t>Capture the judgment calls before you can automate them.</w:t>
      </w:r>
    </w:p>
    <w:p>
      <w:pPr>
        <w:spacing w:after="240"/>
      </w:pPr>
      <w:r>
        <w:rPr>
          <w:b/>
          <w:color w:val="0C5C3D"/>
          <w:sz w:val="24"/>
        </w:rPr>
        <w:t xml:space="preserve">05.  </w:t>
      </w:r>
      <w:r>
        <w:rPr>
          <w:b/>
          <w:color w:val="08291A"/>
          <w:sz w:val="24"/>
        </w:rPr>
        <w:t>Redesign process with the tech, not after it.</w:t>
      </w:r>
    </w:p>
    <w:p>
      <w:pPr>
        <w:spacing w:after="40"/>
      </w:pPr>
      <w:r>
        <w:rPr>
          <w:b/>
          <w:color w:val="0C5C3D"/>
          <w:sz w:val="24"/>
        </w:rPr>
        <w:t xml:space="preserve">06.  </w:t>
      </w:r>
      <w:r>
        <w:rPr>
          <w:b/>
          <w:color w:val="08291A"/>
          <w:sz w:val="24"/>
        </w:rPr>
        <w:t>Adoption isn't a tech problem — it's a courage problem.</w:t>
      </w:r>
    </w:p>
    <w:p>
      <w:pPr>
        <w:spacing w:after="240"/>
        <w:ind w:left="340"/>
      </w:pPr>
      <w:r>
        <w:rPr>
          <w:color w:val="48584D"/>
          <w:sz w:val="20"/>
        </w:rPr>
        <w:t>Someone has to press the button.</w:t>
      </w:r>
    </w:p>
    <w:p>
      <w:pPr>
        <w:spacing w:after="240"/>
      </w:pPr>
      <w:r>
        <w:rPr>
          <w:b/>
          <w:color w:val="0C5C3D"/>
          <w:sz w:val="24"/>
        </w:rPr>
        <w:t xml:space="preserve">07.  </w:t>
      </w:r>
      <w:r>
        <w:rPr>
          <w:b/>
          <w:color w:val="08291A"/>
          <w:sz w:val="24"/>
        </w:rPr>
        <w:t>Silos slow AI more than compute ever will.</w:t>
      </w:r>
    </w:p>
    <w:p>
      <w:pPr>
        <w:spacing w:after="40"/>
      </w:pPr>
      <w:r>
        <w:rPr>
          <w:b/>
          <w:color w:val="0C5C3D"/>
          <w:sz w:val="24"/>
        </w:rPr>
        <w:t xml:space="preserve">08.  </w:t>
      </w:r>
      <w:r>
        <w:rPr>
          <w:b/>
          <w:color w:val="08291A"/>
          <w:sz w:val="24"/>
        </w:rPr>
        <w:t>AI agents are becoming coworkers.</w:t>
      </w:r>
    </w:p>
    <w:p>
      <w:pPr>
        <w:spacing w:after="240"/>
        <w:ind w:left="340"/>
      </w:pPr>
      <w:r>
        <w:rPr>
          <w:color w:val="48584D"/>
          <w:sz w:val="20"/>
        </w:rPr>
        <w:t>Start managing them like it.</w:t>
      </w:r>
    </w:p>
    <w:p>
      <w:pPr>
        <w:spacing w:after="40"/>
      </w:pPr>
      <w:r>
        <w:rPr>
          <w:b/>
          <w:color w:val="0C5C3D"/>
          <w:sz w:val="24"/>
        </w:rPr>
        <w:t xml:space="preserve">09.  </w:t>
      </w:r>
      <w:r>
        <w:rPr>
          <w:b/>
          <w:color w:val="08291A"/>
          <w:sz w:val="24"/>
        </w:rPr>
        <w:t>Invest in the connectors, not just the AI.</w:t>
      </w:r>
    </w:p>
    <w:p>
      <w:pPr>
        <w:spacing w:after="240"/>
        <w:ind w:left="340"/>
      </w:pPr>
      <w:r>
        <w:rPr>
          <w:color w:val="48584D"/>
          <w:sz w:val="20"/>
        </w:rPr>
        <w:t>People + process are the missing link.</w:t>
      </w:r>
    </w:p>
    <w:p>
      <w:pPr>
        <w:spacing w:after="40"/>
      </w:pPr>
      <w:r>
        <w:rPr>
          <w:b/>
          <w:color w:val="0C5C3D"/>
          <w:sz w:val="24"/>
        </w:rPr>
        <w:t xml:space="preserve">10.  </w:t>
      </w:r>
      <w:r>
        <w:rPr>
          <w:b/>
          <w:color w:val="08291A"/>
          <w:sz w:val="24"/>
        </w:rPr>
        <w:t>In every gold rush, the infrastructure wins.</w:t>
      </w:r>
    </w:p>
    <w:p>
      <w:pPr>
        <w:spacing w:after="240"/>
        <w:ind w:left="340"/>
      </w:pPr>
      <w:r>
        <w:rPr>
          <w:color w:val="48584D"/>
          <w:sz w:val="20"/>
        </w:rPr>
        <w:t>Bet on the picks and shovels.</w:t>
      </w:r>
    </w:p>
    <w:p/>
    <w:p>
      <w:pPr>
        <w:pStyle w:val="Heading2"/>
      </w:pPr>
      <w:r>
        <w:rPr>
          <w:rFonts w:ascii="Avenir Next" w:hAnsi="Avenir Next"/>
          <w:color w:val="0C5C3D"/>
          <w:sz w:val="28"/>
        </w:rPr>
        <w:t>Why This One Mattered to Me</w:t>
      </w:r>
    </w:p>
    <w:p>
      <w:pPr>
        <w:shd w:val="clear" w:color="auto" w:fill="F1E8D4"/>
        <w:spacing w:before="120" w:after="80"/>
        <w:ind w:left="113"/>
      </w:pPr>
      <w:r>
        <w:rPr>
          <w:color w:val="132018"/>
          <w:sz w:val="21"/>
        </w:rPr>
        <w:t>I went into this summit wearing two hats: Program Lead for the Digital Transformation Office, and currently seconded as IT Director at De La Salle Lipa (DLSL). That combination is exactly why I took these notes as seriously as I did -- almost every session below landed twice for me, once as "here's what we should be doing differently," and again as "here's what I'm already dealing with on the ground, right now, at DLSL." The Woori/LG panel's point about nobody wanting to press the button, the manufacturing panel's point about writing down tacit knowledge before automating it -- those aren't theory to me, they're this month's actual work.</w:t>
      </w:r>
    </w:p>
    <w:p>
      <w:pPr>
        <w:shd w:val="clear" w:color="auto" w:fill="F1E8D4"/>
        <w:spacing w:after="200"/>
        <w:ind w:left="113"/>
      </w:pPr>
      <w:r>
        <w:rPr>
          <w:color w:val="132018"/>
          <w:sz w:val="21"/>
        </w:rPr>
        <w:t>What follows isn't a polished executive summary written after the fact. It's closer to my own working notes from the two days -- the ten takeaways up top are genuinely what I walked away believing, and I've tried to keep that same plain, first-hand voice through every session. A quick honest note on the notes themselves: this was pieced together from live-translation screenshots and photos, not an official transcript, so treat exact numbers and quotes as what the speaker said rather than something I independently verified -- a few names have uncertain spelling too, marked "name unconfirmed." And the summit itself ran Aug 19-21; my coverage below is mostly the two days of talks and panels, plus what I caught on the expo floor.</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Speaker name not captured on slide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48768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48768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Sitting through this, what stuck with me is that the old assistants could actually explain themselves and get fixed when they got something wrong. Today's AI just sounds confident, even when it is guessing. For any chatbot or advising tool we look at, that is the real question to ask a vendor: what does it do when it is not sure? A smooth demo will not show you that; you have to ask directly.</w:t>
      </w:r>
    </w:p>
    <w:p>
      <w:pPr>
        <w:spacing w:before="160" w:after="60"/>
      </w:pPr>
      <w:r>
        <w:rPr>
          <w:b/>
          <w:color w:val="0C5C3D"/>
          <w:sz w:val="18"/>
        </w:rPr>
        <w:t>TAKEAWAY</w:t>
      </w:r>
    </w:p>
    <w:p>
      <w:pPr>
        <w:shd w:val="clear" w:color="auto" w:fill="E6EFE4"/>
        <w:spacing w:before="40" w:after="200"/>
        <w:ind w:left="113"/>
      </w:pPr>
      <w:r>
        <w:rPr>
          <w:b/>
          <w:color w:val="08291A"/>
          <w:sz w:val="21"/>
        </w:rPr>
        <w:t>Sounding smart is not the same as being reliable. Before we put any AI assistant in front of students for advising or admissions, we should make the vendor show us what happens when a student asks something confusing or off-topic, not just watch a polished demo.</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works because if the system points a satellite the wrong way, you just point it again, no harm done. A school does not get that luxury: a misrouted student inquiry, or a wrongly flagged academic-integrity case, is not something you just try again. So "let AI coordinate, humans just check" only really works for the low-stakes stuff.</w:t>
      </w:r>
    </w:p>
    <w:p>
      <w:pPr>
        <w:spacing w:before="160" w:after="60"/>
      </w:pPr>
      <w:r>
        <w:rPr>
          <w:b/>
          <w:color w:val="0C5C3D"/>
          <w:sz w:val="18"/>
        </w:rPr>
        <w:t>TAKEAWAY</w:t>
      </w:r>
    </w:p>
    <w:p>
      <w:pPr>
        <w:shd w:val="clear" w:color="auto" w:fill="E6EFE4"/>
        <w:spacing w:before="40" w:after="200"/>
        <w:ind w:left="113"/>
      </w:pPr>
      <w:r>
        <w:rPr>
          <w:b/>
          <w:color w:val="08291A"/>
          <w:sz w:val="21"/>
        </w:rPr>
        <w:t>This "set the goal, let it coordinate, check the result" pattern is worth borrowing, but only for tasks where a mistake is cheap to catch and fix, like syncing schedules between offices. Anything touching a student's record should stay more hands-on.</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80"/>
      </w:pPr>
      <w:r>
        <w:rPr>
          <w:i/>
          <w:color w:val="08291A"/>
          <w:sz w:val="19"/>
        </w:rPr>
        <w:t>Featuring Prof. Kyungjong Lee — KB Kookmin Bank / KB Financial Group</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separate studies, same story: most companies using AI cannot actually show it did anything for their numbers. That is my takeaway #2 in a nutshell: a working pilot and a working product are two different things. We should expect the same slow, unclear payoff from our own chatbot and advising pilots, and just say that plainly to the Board instead of overpromising.</w:t>
      </w:r>
    </w:p>
    <w:p>
      <w:pPr>
        <w:spacing w:before="160" w:after="60"/>
      </w:pPr>
      <w:r>
        <w:rPr>
          <w:b/>
          <w:color w:val="0C5C3D"/>
          <w:sz w:val="18"/>
        </w:rPr>
        <w:t>TAKEAWAY</w:t>
      </w:r>
    </w:p>
    <w:p>
      <w:pPr>
        <w:shd w:val="clear" w:color="auto" w:fill="E6EFE4"/>
        <w:spacing w:before="40" w:after="200"/>
        <w:ind w:left="113"/>
      </w:pPr>
      <w:r>
        <w:rPr>
          <w:b/>
          <w:color w:val="08291A"/>
          <w:sz w:val="21"/>
        </w:rPr>
        <w:t>Using AI and AI actually helping are two different claims. Every pilot we run should track one specific thing (hours saved, faster replies, more students staying enrolled) before we call it a win or spend more on it. Ties to takeaway #2: PoC does not equal production.</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48768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48768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Every big AI company is now doing the same thing: sending their own people to actually help clients set things up, not just selling the software. That told me picking an AI is not the hard part anymore, getting it running properly is. When we talk to vendors, we should be asking what hands-on help comes with the contract, not just what the AI can do.</w:t>
      </w:r>
    </w:p>
    <w:p>
      <w:pPr>
        <w:spacing w:before="160" w:after="60"/>
      </w:pPr>
      <w:r>
        <w:rPr>
          <w:b/>
          <w:color w:val="0C5C3D"/>
          <w:sz w:val="18"/>
        </w:rPr>
        <w:t>TAKEAWAY</w:t>
      </w:r>
    </w:p>
    <w:p>
      <w:pPr>
        <w:shd w:val="clear" w:color="auto" w:fill="E6EFE4"/>
        <w:spacing w:before="40" w:after="200"/>
        <w:ind w:left="113"/>
      </w:pPr>
      <w:r>
        <w:rPr>
          <w:b/>
          <w:color w:val="08291A"/>
          <w:sz w:val="21"/>
        </w:rPr>
        <w:t>Ask every vendor what real setup help they will give us. Most of the big names now offer it. Building a demo is easy; getting it actually running for the whole school is the real work. Ties to takeaway #3: building is easy, scaling is the real work.</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48768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48768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An AI tool hits a database very differently than a normal app does: lots of requests firing off at once, not one at a time. If a lot of students use our chatbot or advising tool together, our current systems could slow down or break in ways nobody tested for. That is a data problem before it is ever a model problem.</w:t>
      </w:r>
    </w:p>
    <w:p>
      <w:pPr>
        <w:spacing w:before="160" w:after="60"/>
      </w:pPr>
      <w:r>
        <w:rPr>
          <w:b/>
          <w:color w:val="0C5C3D"/>
          <w:sz w:val="18"/>
        </w:rPr>
        <w:t>TAKEAWAY</w:t>
      </w:r>
    </w:p>
    <w:p>
      <w:pPr>
        <w:shd w:val="clear" w:color="auto" w:fill="E6EFE4"/>
        <w:spacing w:before="40" w:after="200"/>
        <w:ind w:left="113"/>
      </w:pPr>
      <w:r>
        <w:rPr>
          <w:b/>
          <w:color w:val="08291A"/>
          <w:sz w:val="21"/>
        </w:rPr>
        <w:t>Before we pick a platform, IT should check if our systems can actually handle a lot of students using an AI tool at the same time, not just one person testing it quietly. Ties to takeaway #1: data is the bottleneck, not the model.</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48768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48768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It is easy to forget, but every AI tool has to keep its data somewhere, and that costs money for years, not just once. Yes, the speaker sells storage, but the point held up: most of what a school ends up paying for AI comes down to where the data lives and how long we keep it, not the flashy part.</w:t>
      </w:r>
    </w:p>
    <w:p>
      <w:pPr>
        <w:spacing w:before="160" w:after="60"/>
      </w:pPr>
      <w:r>
        <w:rPr>
          <w:b/>
          <w:color w:val="0C5C3D"/>
          <w:sz w:val="18"/>
        </w:rPr>
        <w:t>TAKEAWAY</w:t>
      </w:r>
    </w:p>
    <w:p>
      <w:pPr>
        <w:shd w:val="clear" w:color="auto" w:fill="E6EFE4"/>
        <w:spacing w:before="40" w:after="200"/>
        <w:ind w:left="113"/>
      </w:pPr>
      <w:r>
        <w:rPr>
          <w:b/>
          <w:color w:val="08291A"/>
          <w:sz w:val="21"/>
        </w:rPr>
        <w:t>Before we spend more on AI, Finance and IT should figure out where all this student data will actually live, and what that costs us over time, not just the price tag on the AI tool itself. Ties to takeaway #10: infrastructure wins the gold rush.</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48768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talk was about the workforce, but it made me think about our own students instead. Gen Z already grew up using AI. Our incoming students are the same: they will already know these tools before they even enroll. So our AI training should not just be for staff; the students are already ahead of us on this one.</w:t>
      </w:r>
    </w:p>
    <w:p>
      <w:pPr>
        <w:spacing w:before="160" w:after="60"/>
      </w:pPr>
      <w:r>
        <w:rPr>
          <w:b/>
          <w:color w:val="0C5C3D"/>
          <w:sz w:val="18"/>
        </w:rPr>
        <w:t>TAKEAWAY</w:t>
      </w:r>
    </w:p>
    <w:p>
      <w:pPr>
        <w:shd w:val="clear" w:color="auto" w:fill="E6EFE4"/>
        <w:spacing w:before="40" w:after="200"/>
        <w:ind w:left="113"/>
      </w:pPr>
      <w:r>
        <w:rPr>
          <w:b/>
          <w:color w:val="08291A"/>
          <w:sz w:val="21"/>
        </w:rPr>
        <w:t>Our newest students are probably more comfortable with AI than a lot of our staff are. If we only train faculty and leadership, we are missing where AI use is already strongest, with the students themselves.</w:t>
      </w:r>
    </w:p>
    <w:p>
      <w:pPr>
        <w:spacing w:after="40"/>
      </w:pPr>
    </w:p>
    <w:p>
      <w:pPr>
        <w:pBdr>
          <w:bottom w:val="single" w:sz="6" w:space="1" w:color="DFE3DC"/>
        </w:pBdr>
      </w:pP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MTechLab</w:t>
      </w:r>
    </w:p>
    <w:p>
      <w:pPr>
        <w:spacing w:before="160" w:after="60"/>
      </w:pPr>
      <w:r>
        <w:rPr>
          <w:b/>
          <w:color w:val="0C5C3D"/>
          <w:sz w:val="18"/>
        </w:rPr>
        <w:t>HIGHLIGHTS</w:t>
      </w:r>
    </w:p>
    <w:p>
      <w:pPr>
        <w:pStyle w:val="ListBullet"/>
        <w:spacing w:after="120"/>
      </w:pPr>
      <w:r>
        <w:rPr>
          <w:color w:val="132018"/>
          <w:sz w:val="21"/>
        </w:rPr>
        <w:t>Opening keynote of the afternoon, framed as "the innovator's mindset in the age of AI" from IDEO's AI-focused lab.</w:t>
      </w:r>
    </w:p>
    <w:p>
      <w:pPr>
        <w:pStyle w:val="ListBullet"/>
        <w:spacing w:after="120"/>
      </w:pPr>
      <w:r>
        <w:rPr>
          <w:color w:val="132018"/>
          <w:sz w:val="21"/>
        </w:rPr>
        <w:t>Its framing of embodiment was picked up directly, by name, later that same day in the Physical AI panel.</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kunovsky.jpg"/>
                    <pic:cNvPicPr/>
                  </pic:nvPicPr>
                  <pic:blipFill>
                    <a:blip r:embed="rId15"/>
                    <a:stretch>
                      <a:fillRect/>
                    </a:stretch>
                  </pic:blipFill>
                  <pic:spPr>
                    <a:xfrm>
                      <a:off x="0" y="0"/>
                      <a:ext cx="3657600" cy="4876800"/>
                    </a:xfrm>
                    <a:prstGeom prst="rect"/>
                  </pic:spPr>
                </pic:pic>
              </a:graphicData>
            </a:graphic>
          </wp:inline>
        </w:drawing>
      </w:r>
    </w:p>
    <w:p>
      <w:pPr>
        <w:spacing w:after="200"/>
        <w:jc w:val="center"/>
      </w:pPr>
      <w:r>
        <w:rPr>
          <w:i/>
          <w:color w:val="7C8B7F"/>
          <w:sz w:val="17"/>
        </w:rPr>
        <w:t>Introduction slide for the IDEO AI MTechLab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word "embodiment" kept coming back later that same day, especially in the robotics panel. It basically means AI that has to actually do something in the real world, not just chat. Worth keeping in mind once we go beyond a simple chatbot: things like campus access systems, labs, or hands-on design work.</w:t>
      </w:r>
    </w:p>
    <w:p>
      <w:pPr>
        <w:spacing w:before="160" w:after="60"/>
      </w:pPr>
      <w:r>
        <w:rPr>
          <w:b/>
          <w:color w:val="0C5C3D"/>
          <w:sz w:val="18"/>
        </w:rPr>
        <w:t>TAKEAWAY</w:t>
      </w:r>
    </w:p>
    <w:p>
      <w:pPr>
        <w:shd w:val="clear" w:color="auto" w:fill="E6EFE4"/>
        <w:spacing w:before="40" w:after="200"/>
        <w:ind w:left="113"/>
      </w:pPr>
      <w:r>
        <w:rPr>
          <w:b/>
          <w:color w:val="08291A"/>
          <w:sz w:val="21"/>
        </w:rPr>
        <w:t>Keep an eye on AI that has to act in the real world, not just answer questions. It matters most once we move past classroom chat tools into things like campus safety systems or studio work.</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Genspark</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genspark.jpg"/>
                    <pic:cNvPicPr/>
                  </pic:nvPicPr>
                  <pic:blipFill>
                    <a:blip r:embed="rId16"/>
                    <a:stretch>
                      <a:fillRect/>
                    </a:stretch>
                  </pic:blipFill>
                  <pic:spPr>
                    <a:xfrm>
                      <a:off x="0" y="0"/>
                      <a:ext cx="3657600" cy="48768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Two completely separate speakers, hours apart, basically said the same thing: the real improvement is not a smarter model, it is an AI that remembers you. For us, that means the real question for any vendor is whether the tool remembers a student's history, not which brand of AI sits behind it.</w:t>
      </w:r>
    </w:p>
    <w:p>
      <w:pPr>
        <w:spacing w:before="160" w:after="60"/>
      </w:pPr>
      <w:r>
        <w:rPr>
          <w:b/>
          <w:color w:val="0C5C3D"/>
          <w:sz w:val="18"/>
        </w:rPr>
        <w:t>TAKEAWAY</w:t>
      </w:r>
    </w:p>
    <w:p>
      <w:pPr>
        <w:shd w:val="clear" w:color="auto" w:fill="E6EFE4"/>
        <w:spacing w:before="40" w:after="200"/>
        <w:ind w:left="113"/>
      </w:pPr>
      <w:r>
        <w:rPr>
          <w:b/>
          <w:color w:val="08291A"/>
          <w:sz w:val="21"/>
        </w:rPr>
        <w:t>An AI that remembers a student across conversations matters more than which model powers it. Ask vendors about memory, not just intelligence.</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is the one rule from the whole summit I would actually want us to write down: let AI decide on its own only if a mistake can be undone. If it cannot be undone, like flagging a student for probation or a safety escalation, a person makes that call, no matter how good the AI looks. That is not really a tech decision, that is someone having the nerve to say "not this one."</w:t>
      </w:r>
    </w:p>
    <w:p>
      <w:pPr>
        <w:spacing w:before="160" w:after="60"/>
      </w:pPr>
      <w:r>
        <w:rPr>
          <w:b/>
          <w:color w:val="0C5C3D"/>
          <w:sz w:val="18"/>
        </w:rPr>
        <w:t>TAKEAWAY</w:t>
      </w:r>
    </w:p>
    <w:p>
      <w:pPr>
        <w:shd w:val="clear" w:color="auto" w:fill="E6EFE4"/>
        <w:spacing w:before="40" w:after="200"/>
        <w:ind w:left="113"/>
      </w:pPr>
      <w:r>
        <w:rPr>
          <w:b/>
          <w:color w:val="08291A"/>
          <w:sz w:val="21"/>
        </w:rPr>
        <w:t>For our Mental Health and Advising AI tools: let the AI notice things and suggest, but keep the final call with a person for anything that is hard to undo. Write this down now, while both tools are still being built. Ties to takeaway #6: someone has to press the button.</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4876800"/>
            <wp:docPr id="10" name="Picture 10"/>
            <wp:cNvGraphicFramePr>
              <a:graphicFrameLocks noChangeAspect="1"/>
            </wp:cNvGraphicFramePr>
            <a:graphic>
              <a:graphicData uri="http://schemas.openxmlformats.org/drawingml/2006/picture">
                <pic:pic>
                  <pic:nvPicPr>
                    <pic:cNvPr id="0" name="publicis.jpg"/>
                    <pic:cNvPicPr/>
                  </pic:nvPicPr>
                  <pic:blipFill>
                    <a:blip r:embed="rId18"/>
                    <a:stretch>
                      <a:fillRect/>
                    </a:stretch>
                  </pic:blipFill>
                  <pic:spPr>
                    <a:xfrm>
                      <a:off x="0" y="0"/>
                      <a:ext cx="3657600" cy="48768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rule was: 5 users, one person owns it casually; 50, it needs a real owner; 500, it needs a team. What I would add is that it is less about headcount and more about how much damage a mistake could do. One teacher using an AI grading tool casually is fine; the same tool deciding grades department-wide is a different animal entirely.</w:t>
      </w:r>
    </w:p>
    <w:p>
      <w:pPr>
        <w:spacing w:before="160" w:after="60"/>
      </w:pPr>
      <w:r>
        <w:rPr>
          <w:b/>
          <w:color w:val="0C5C3D"/>
          <w:sz w:val="18"/>
        </w:rPr>
        <w:t>TAKEAWAY</w:t>
      </w:r>
    </w:p>
    <w:p>
      <w:pPr>
        <w:shd w:val="clear" w:color="auto" w:fill="E6EFE4"/>
        <w:spacing w:before="40" w:after="200"/>
        <w:ind w:left="113"/>
      </w:pPr>
      <w:r>
        <w:rPr>
          <w:b/>
          <w:color w:val="08291A"/>
          <w:sz w:val="21"/>
        </w:rPr>
        <w:t>The moment a personal AI habit becomes something a whole department relies on, someone needs to officially own it. Do not wait until it is already everyone's tool to figure out who is in charge. Ties to takeaway #5: redesign process with the tech, not after it.</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The Conditions for AX Success and a Truly AI-Native Enterprise</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Simple idea, but a good one: a 4-level scale for how far along a team actually is with AI, instead of just saying we use AI now. We could use something like this ourselves so departments are not all just guessing how ready they really are.</w:t>
      </w:r>
    </w:p>
    <w:p>
      <w:r>
        <w:rPr>
          <w:i/>
          <w:color w:val="7C8B7F"/>
          <w:sz w:val="18"/>
        </w:rPr>
        <w:t>Captured only in slide/photo form; caption detail for this talk wasn't fully recovered from the source images.</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What stood out is that DeepMind opened with their slowest, least flashy work, predicting protein shapes, instead of a chatbot trick. It felt like "we do not need a gimmick, our stuff actually works." Good habit to copy: ask any vendor to show their most boring, most tested work, not their flashiest demo.</w:t>
      </w:r>
    </w:p>
    <w:p>
      <w:pPr>
        <w:spacing w:before="160" w:after="60"/>
      </w:pPr>
      <w:r>
        <w:rPr>
          <w:b/>
          <w:color w:val="0C5C3D"/>
          <w:sz w:val="18"/>
        </w:rPr>
        <w:t>TAKEAWAY</w:t>
      </w:r>
    </w:p>
    <w:p>
      <w:pPr>
        <w:shd w:val="clear" w:color="auto" w:fill="E6EFE4"/>
        <w:spacing w:before="40" w:after="200"/>
        <w:ind w:left="113"/>
      </w:pPr>
      <w:r>
        <w:rPr>
          <w:b/>
          <w:color w:val="08291A"/>
          <w:sz w:val="21"/>
        </w:rPr>
        <w:t>80% of AI projects never really launch, and it comes down to messy data and weak habits, not bad AI. DeepMind also offers some research tools free to schools, worth someone looking into. Ties to takeaways #1 and #2: data first, and testing well does not equal working at scale.</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48768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48768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Four completely different types of companies are racing into AI payments at once. That usually means something real is happening, but nobody has actually won yet. For our own Finance office, this is more "keep watching" than "act now."</w:t>
      </w:r>
    </w:p>
    <w:p>
      <w:pPr>
        <w:spacing w:before="160" w:after="60"/>
      </w:pPr>
      <w:r>
        <w:rPr>
          <w:b/>
          <w:color w:val="0C5C3D"/>
          <w:sz w:val="18"/>
        </w:rPr>
        <w:t>TAKEAWAY</w:t>
      </w:r>
    </w:p>
    <w:p>
      <w:pPr>
        <w:shd w:val="clear" w:color="auto" w:fill="E6EFE4"/>
        <w:spacing w:before="40" w:after="200"/>
        <w:ind w:left="113"/>
      </w:pPr>
      <w:r>
        <w:rPr>
          <w:b/>
          <w:color w:val="08291A"/>
          <w:sz w:val="21"/>
        </w:rPr>
        <w:t>AI is showing up in payments from every direction at once, worth Finance keeping an eye on since tuition and financial aid could eventually be touched by this, but no need to rush into anything.</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Prent Mishra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with limited notes from this one, the main point stuck: doing a task for someone (drafting a reply) is very different from making a decision for them (approving an appeal). Before we approve any new AI tool, we should just ask plainly which one it is actually doing.</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80"/>
      </w:pPr>
      <w:r>
        <w:rPr>
          <w:i/>
          <w:color w:val="08291A"/>
          <w:sz w:val="19"/>
        </w:rPr>
        <w:t>Moderator: name unconfirmed ("Seunghyun"/"Seunghwan" Lee), VP, Samil PwC  |  Yongmin Choi, Head of AI Strategy Center, Woori Financial Group  |  Yoonhee Hwang, Senior VP, Data Intelligence, LG Electronics</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What struck me here: the biggest reason AI projects stall is not the tech, it is that nobody senior wants to be the one to say yes, scale it up. LG also mentioned a tool that worked fine in testing but broke once it hit real scale, which probably makes leadership even more hesitant to approve the next one. We should fix both at once, not wait for one before starting the other.</w:t>
      </w:r>
    </w:p>
    <w:p>
      <w:pPr>
        <w:spacing w:before="160" w:after="60"/>
      </w:pPr>
      <w:r>
        <w:rPr>
          <w:b/>
          <w:color w:val="0C5C3D"/>
          <w:sz w:val="18"/>
        </w:rPr>
        <w:t>TAKEAWAY</w:t>
      </w:r>
    </w:p>
    <w:p>
      <w:pPr>
        <w:shd w:val="clear" w:color="auto" w:fill="E6EFE4"/>
        <w:spacing w:before="40" w:after="200"/>
        <w:ind w:left="113"/>
      </w:pPr>
      <w:r>
        <w:rPr>
          <w:b/>
          <w:color w:val="08291A"/>
          <w:sz w:val="21"/>
        </w:rPr>
        <w:t>The biggest blocker was not the AI, it was nobody wanting to be the one to approve scaling it up. We should name that person for every pilot from day one, not scramble to find them once a pilot is ready to grow. This is takeaway #6, word for word: adoption is a courage problem.</w:t>
      </w:r>
    </w:p>
    <w:p>
      <w:pPr>
        <w:spacing w:after="40"/>
      </w:pPr>
    </w:p>
    <w:p>
      <w:pPr>
        <w:pBdr>
          <w:bottom w:val="single" w:sz="6" w:space="1" w:color="DFE3DC"/>
        </w:pBdr>
      </w:pPr>
    </w:p>
    <w:p/>
    <w:p>
      <w:r>
        <w:rPr>
          <w:rFonts w:ascii="Avenir Next" w:hAnsi="Avenir Next"/>
          <w:b/>
          <w:color w:val="132018"/>
          <w:sz w:val="25"/>
        </w:rPr>
        <w:t>Panel: AI Governance in Manufacturing</w:t>
      </w:r>
    </w:p>
    <w:p>
      <w:pPr>
        <w:spacing w:after="80"/>
      </w:pPr>
      <w:r>
        <w:rPr>
          <w:i/>
          <w:color w:val="08291A"/>
          <w:sz w:val="19"/>
        </w:rPr>
        <w:t>Three panelists, names not captured in the recovered transcript</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one hit close to home. A lot of what makes a school actually run well lives in the heads of a few long-time staff, a registrar who just knows how to handle a weird case, an advisor who has seen every version of a tricky appeal. Before any AI tool can help with that kind of judgment call, someone has to write that knowledge down first. That is slow, unglamorous work, and it comes before the AI, not after.</w:t>
      </w:r>
    </w:p>
    <w:p>
      <w:pPr>
        <w:spacing w:before="160" w:after="60"/>
      </w:pPr>
      <w:r>
        <w:rPr>
          <w:b/>
          <w:color w:val="0C5C3D"/>
          <w:sz w:val="18"/>
        </w:rPr>
        <w:t>TAKEAWAY</w:t>
      </w:r>
    </w:p>
    <w:p>
      <w:pPr>
        <w:shd w:val="clear" w:color="auto" w:fill="E6EFE4"/>
        <w:spacing w:before="40" w:after="200"/>
        <w:ind w:left="113"/>
      </w:pPr>
      <w:r>
        <w:rPr>
          <w:b/>
          <w:color w:val="08291A"/>
          <w:sz w:val="21"/>
        </w:rPr>
        <w:t>Before any AI tool can help with the tricky judgment calls our staff make, we need to write that knowledge down first. True for registrar, advising, and financial-aid offices especially. This is takeaway #4, word for word: tacit knowledge is the new gold.</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Cisco</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Simple idea: instead of three separate systems for security, compliance, and AI, build one shared setup that feeds all three. For a school with a small IT team, that is genuinely useful, less to maintain. The one thing to figure out ahead of time is who responds when something breaks and it is not obvious if it is a security issue or an AI glitch.</w:t>
      </w:r>
    </w:p>
    <w:p>
      <w:pPr>
        <w:spacing w:before="160" w:after="60"/>
      </w:pPr>
      <w:r>
        <w:rPr>
          <w:b/>
          <w:color w:val="0C5C3D"/>
          <w:sz w:val="18"/>
        </w:rPr>
        <w:t>TAKEAWAY</w:t>
      </w:r>
    </w:p>
    <w:p>
      <w:pPr>
        <w:shd w:val="clear" w:color="auto" w:fill="E6EFE4"/>
        <w:spacing w:before="40" w:after="200"/>
        <w:ind w:left="113"/>
      </w:pPr>
      <w:r>
        <w:rPr>
          <w:b/>
          <w:color w:val="08291A"/>
          <w:sz w:val="21"/>
        </w:rPr>
        <w:t>Running AI and cybersecurity on one shared, well-kept system is smart for a small IT team, and it protects our reputation too, a public failure looks the same to outsiders either way. Ties to takeaway #7: silos slow AI more than compute ever will.</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48768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48768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"Time saved times how much better the result is" sounds simple, but most companies, schools too, never actually agree ahead of time on what better even means. For our chatbot and advising tool, we need to decide upfront whether we are measuring the easy part (faster replies) or the part that actually matters (more students enrolling and staying), and build that measurement in from day one.</w:t>
      </w:r>
    </w:p>
    <w:p>
      <w:pPr>
        <w:spacing w:before="160" w:after="60"/>
      </w:pPr>
      <w:r>
        <w:rPr>
          <w:b/>
          <w:color w:val="0C5C3D"/>
          <w:sz w:val="18"/>
        </w:rPr>
        <w:t>TAKEAWAY</w:t>
      </w:r>
    </w:p>
    <w:p>
      <w:pPr>
        <w:shd w:val="clear" w:color="auto" w:fill="E6EFE4"/>
        <w:spacing w:before="40" w:after="200"/>
        <w:ind w:left="113"/>
      </w:pPr>
      <w:r>
        <w:rPr>
          <w:b/>
          <w:color w:val="08291A"/>
          <w:sz w:val="21"/>
        </w:rPr>
        <w:t>For our Recruitment Chatbot and Advising Agent, we should track both halves: time saved AND whether it actually helped students enroll or stay enrolled. Reporting only the first half to the Board is not the full picture. Ties to takeaway #9: people and process are the missing link, not just the AI.</w:t>
      </w:r>
    </w:p>
    <w:p>
      <w:pPr>
        <w:spacing w:after="40"/>
      </w:pPr>
    </w:p>
    <w:p>
      <w:pPr>
        <w:pBdr>
          <w:bottom w:val="single" w:sz="6" w:space="1" w:color="DFE3DC"/>
        </w:pBdr>
      </w:pPr>
    </w:p>
    <w:p/>
    <w:p>
      <w:r>
        <w:rPr>
          <w:rFonts w:ascii="Avenir Next" w:hAnsi="Avenir Next"/>
          <w:b/>
          <w:color w:val="132018"/>
          <w:sz w:val="25"/>
        </w:rPr>
        <w:t>Expo Highlights</w:t>
      </w:r>
    </w:p>
    <w:p>
      <w:pPr>
        <w:spacing w:after="80"/>
      </w:pPr>
      <w:r>
        <w:rPr>
          <w:i/>
          <w:color w:val="08291A"/>
          <w:sz w:val="19"/>
        </w:rPr>
        <w:t>Throughout both days - Expo Floor (through Aug 21)</w:t>
      </w:r>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their quadruped robot actually trotting around the demo floor, "Physical AI" made tangible, not just slides.</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pStyle w:val="ListBullet"/>
        <w:spacing w:after="120"/>
      </w:pPr>
      <w:r>
        <w:rPr>
          <w:color w:val="132018"/>
          <w:sz w:val="21"/>
        </w:rPr>
      </w:r>
      <w:r>
        <w:rPr>
          <w:b/>
          <w:color w:val="08291A"/>
          <w:sz w:val="21"/>
        </w:rPr>
        <w:t>NOVA — AI sign language avatar</w:t>
      </w:r>
      <w:r>
        <w:rPr>
          <w:color w:val="132018"/>
          <w:sz w:val="21"/>
        </w:rPr>
        <w:t xml:space="preserve"> — text or voice in, an AI-generated sign-language avatar out, already live on KTX kiosks, KakaoBank, and Seoul Medical Center.</w:t>
      </w:r>
    </w:p>
    <w:p>
      <w:pPr>
        <w:pStyle w:val="ListBullet"/>
        <w:spacing w:after="120"/>
      </w:pPr>
      <w:r>
        <w:rPr>
          <w:color w:val="132018"/>
          <w:sz w:val="21"/>
        </w:rPr>
      </w:r>
      <w:r>
        <w:rPr>
          <w:b/>
          <w:color w:val="08291A"/>
          <w:sz w:val="21"/>
        </w:rPr>
        <w:t>Golden Planet x Google Cloud</w:t>
      </w:r>
      <w:r>
        <w:rPr>
          <w:color w:val="132018"/>
          <w:sz w:val="21"/>
        </w:rPr>
        <w:t xml:space="preserve"> — "Gemini Enterprise," pitched plainly as enterprise-ready agentic AI, Google's tech paired with a local system integrator's delivery.</w:t>
      </w:r>
    </w:p>
    <w:p>
      <w:pPr>
        <w:pStyle w:val="ListBullet"/>
        <w:spacing w:after="120"/>
      </w:pPr>
      <w:r>
        <w:rPr>
          <w:color w:val="132018"/>
          <w:sz w:val="21"/>
        </w:rPr>
      </w:r>
      <w:r>
        <w:rPr>
          <w:b/>
          <w:color w:val="08291A"/>
          <w:sz w:val="21"/>
        </w:rPr>
        <w:t>Dify + AX Foundry</w:t>
      </w:r>
      <w:r>
        <w:rPr>
          <w:color w:val="132018"/>
          <w:sz w:val="21"/>
        </w:rPr>
        <w:t xml:space="preserve"> — "Build with Dify, operate with AX Foundry": the booth's own tagline was blunt, the more AI agents you have, the more you need governance.</w:t>
      </w:r>
    </w:p>
    <w:p>
      <w:pPr>
        <w:pStyle w:val="ListBullet"/>
        <w:spacing w:after="120"/>
      </w:pPr>
      <w:r>
        <w:rPr>
          <w:color w:val="132018"/>
          <w:sz w:val="21"/>
        </w:rPr>
      </w:r>
      <w:r>
        <w:rPr>
          <w:b/>
          <w:color w:val="08291A"/>
          <w:sz w:val="21"/>
        </w:rPr>
        <w:t>Seagate</w:t>
      </w:r>
      <w:r>
        <w:rPr>
          <w:color w:val="132018"/>
          <w:sz w:val="21"/>
        </w:rPr>
        <w:t xml:space="preserve"> — the same company behind Day 1's storage talk; seeing "Run AI Anywhere" live on the show floor was a good reminder the talk wasn't abstract, this is an actual product line.</w:t>
      </w:r>
    </w:p>
    <w:p>
      <w:pPr>
        <w:pStyle w:val="ListBullet"/>
        <w:spacing w:after="120"/>
      </w:pPr>
      <w:r>
        <w:rPr>
          <w:color w:val="132018"/>
          <w:sz w:val="21"/>
        </w:rPr>
      </w:r>
      <w:r>
        <w:rPr>
          <w:b/>
          <w:color w:val="08291A"/>
          <w:sz w:val="21"/>
        </w:rPr>
        <w:t>AIM Future</w:t>
      </w:r>
      <w:r>
        <w:rPr>
          <w:color w:val="132018"/>
          <w:sz w:val="21"/>
        </w:rPr>
        <w:t xml:space="preserve"> — on-device edge AI chips (NPU/ASIC) for cameras, robots, and cars, a reminder that not all AI runs in the cloud.</w:t>
      </w:r>
    </w:p>
    <w:p>
      <w:pPr>
        <w:pStyle w:val="ListBullet"/>
        <w:spacing w:after="120"/>
      </w:pPr>
      <w:r>
        <w:rPr>
          <w:color w:val="132018"/>
          <w:sz w:val="21"/>
        </w:rPr>
      </w:r>
      <w:r>
        <w:rPr>
          <w:b/>
          <w:color w:val="08291A"/>
          <w:sz w:val="21"/>
        </w:rPr>
        <w:t>Splunk (a Cisco company)</w:t>
      </w:r>
      <w:r>
        <w:rPr>
          <w:color w:val="132018"/>
          <w:sz w:val="21"/>
        </w:rPr>
        <w:t xml:space="preserve"> — "Why did our AI suddenly get slow?": observability for AI agents, from the same company behind Day 2's data-resilience talk.</w:t>
      </w:r>
    </w:p>
    <w:p>
      <w:pPr>
        <w:pStyle w:val="ListBullet"/>
        <w:spacing w:after="120"/>
      </w:pPr>
      <w:r>
        <w:rPr>
          <w:color w:val="132018"/>
          <w:sz w:val="21"/>
        </w:rPr>
      </w:r>
      <w:r>
        <w:rPr>
          <w:b/>
          <w:color w:val="08291A"/>
          <w:sz w:val="21"/>
        </w:rPr>
        <w:t>Jamf</w:t>
      </w:r>
      <w:r>
        <w:rPr>
          <w:color w:val="132018"/>
          <w:sz w:val="21"/>
        </w:rPr>
        <w:t xml:space="preserve"> — "Govern AI on Mac with confidence": Apple device-management governance for AI specifically, directly relevant given how much of our own device fleet is Mac/iOS.</w:t>
      </w:r>
    </w:p>
    <w:p>
      <w:pPr>
        <w:jc w:val="center"/>
      </w:pPr>
      <w:r>
        <w:drawing>
          <wp:inline xmlns:a="http://schemas.openxmlformats.org/drawingml/2006/main" xmlns:pic="http://schemas.openxmlformats.org/drawingml/2006/picture">
            <wp:extent cx="3108960" cy="5529771"/>
            <wp:docPr id="15" name="Picture 15"/>
            <wp:cNvGraphicFramePr>
              <a:graphicFrameLocks noChangeAspect="1"/>
            </wp:cNvGraphicFramePr>
            <a:graphic>
              <a:graphicData uri="http://schemas.openxmlformats.org/drawingml/2006/picture">
                <pic:pic>
                  <pic:nvPicPr>
                    <pic:cNvPr id="0" name="robotdog.jpg"/>
                    <pic:cNvPicPr/>
                  </pic:nvPicPr>
                  <pic:blipFill>
                    <a:blip r:embed="rId23"/>
                    <a:stretch>
                      <a:fillRect/>
                    </a:stretch>
                  </pic:blipFill>
                  <pic:spPr>
                    <a:xfrm>
                      <a:off x="0" y="0"/>
                      <a:ext cx="3108960" cy="5529771"/>
                    </a:xfrm>
                    <a:prstGeom prst="rect"/>
                  </pic:spPr>
                </pic:pic>
              </a:graphicData>
            </a:graphic>
          </wp:inline>
        </w:drawing>
      </w:r>
    </w:p>
    <w:p>
      <w:pPr>
        <w:spacing w:after="200"/>
        <w:jc w:val="center"/>
      </w:pPr>
      <w:r>
        <w:rPr>
          <w:i/>
          <w:color w:val="7C8B7F"/>
          <w:sz w:val="17"/>
        </w:rPr>
        <w:t>The FAIN Robotics quadruped mid-stride on the demo floor.</w:t>
      </w:r>
    </w:p>
    <w:p>
      <w:pPr>
        <w:jc w:val="center"/>
      </w:pPr>
      <w:r>
        <w:drawing>
          <wp:inline xmlns:a="http://schemas.openxmlformats.org/drawingml/2006/main" xmlns:pic="http://schemas.openxmlformats.org/drawingml/2006/picture">
            <wp:extent cx="3108960" cy="4145280"/>
            <wp:docPr id="16" name="Picture 16"/>
            <wp:cNvGraphicFramePr>
              <a:graphicFrameLocks noChangeAspect="1"/>
            </wp:cNvGraphicFramePr>
            <a:graphic>
              <a:graphicData uri="http://schemas.openxmlformats.org/drawingml/2006/picture">
                <pic:pic>
                  <pic:nvPicPr>
                    <pic:cNvPr id="0" name="nova.jpg"/>
                    <pic:cNvPicPr/>
                  </pic:nvPicPr>
                  <pic:blipFill>
                    <a:blip r:embed="rId24"/>
                    <a:stretch>
                      <a:fillRect/>
                    </a:stretch>
                  </pic:blipFill>
                  <pic:spPr>
                    <a:xfrm>
                      <a:off x="0" y="0"/>
                      <a:ext cx="3108960" cy="4145280"/>
                    </a:xfrm>
                    <a:prstGeom prst="rect"/>
                  </pic:spPr>
                </pic:pic>
              </a:graphicData>
            </a:graphic>
          </wp:inline>
        </w:drawing>
      </w:r>
    </w:p>
    <w:p>
      <w:pPr>
        <w:spacing w:after="200"/>
        <w:jc w:val="center"/>
      </w:pPr>
      <w:r>
        <w:rPr>
          <w:i/>
          <w:color w:val="7C8B7F"/>
          <w:sz w:val="17"/>
        </w:rPr>
        <w:t>NOVA's AI sign-language avatar booth.</w:t>
      </w:r>
    </w:p>
    <w:p>
      <w:pPr>
        <w:jc w:val="center"/>
      </w:pPr>
      <w:r>
        <w:drawing>
          <wp:inline xmlns:a="http://schemas.openxmlformats.org/drawingml/2006/main" xmlns:pic="http://schemas.openxmlformats.org/drawingml/2006/picture">
            <wp:extent cx="3108960" cy="4145280"/>
            <wp:docPr id="17" name="Picture 17"/>
            <wp:cNvGraphicFramePr>
              <a:graphicFrameLocks noChangeAspect="1"/>
            </wp:cNvGraphicFramePr>
            <a:graphic>
              <a:graphicData uri="http://schemas.openxmlformats.org/drawingml/2006/picture">
                <pic:pic>
                  <pic:nvPicPr>
                    <pic:cNvPr id="0" name="goldenplanet.jpg"/>
                    <pic:cNvPicPr/>
                  </pic:nvPicPr>
                  <pic:blipFill>
                    <a:blip r:embed="rId25"/>
                    <a:stretch>
                      <a:fillRect/>
                    </a:stretch>
                  </pic:blipFill>
                  <pic:spPr>
                    <a:xfrm>
                      <a:off x="0" y="0"/>
                      <a:ext cx="3108960" cy="4145280"/>
                    </a:xfrm>
                    <a:prstGeom prst="rect"/>
                  </pic:spPr>
                </pic:pic>
              </a:graphicData>
            </a:graphic>
          </wp:inline>
        </w:drawing>
      </w:r>
    </w:p>
    <w:p>
      <w:pPr>
        <w:spacing w:after="200"/>
        <w:jc w:val="center"/>
      </w:pPr>
      <w:r>
        <w:rPr>
          <w:i/>
          <w:color w:val="7C8B7F"/>
          <w:sz w:val="17"/>
        </w:rPr>
        <w:t>Golden Planet x Google Cloud: Gemini Enterprise.</w:t>
      </w:r>
    </w:p>
    <w:p>
      <w:pPr>
        <w:jc w:val="center"/>
      </w:pPr>
      <w:r>
        <w:drawing>
          <wp:inline xmlns:a="http://schemas.openxmlformats.org/drawingml/2006/main" xmlns:pic="http://schemas.openxmlformats.org/drawingml/2006/picture">
            <wp:extent cx="3108960" cy="4145280"/>
            <wp:docPr id="18" name="Picture 18"/>
            <wp:cNvGraphicFramePr>
              <a:graphicFrameLocks noChangeAspect="1"/>
            </wp:cNvGraphicFramePr>
            <a:graphic>
              <a:graphicData uri="http://schemas.openxmlformats.org/drawingml/2006/picture">
                <pic:pic>
                  <pic:nvPicPr>
                    <pic:cNvPr id="0" name="axfoundry.jpg"/>
                    <pic:cNvPicPr/>
                  </pic:nvPicPr>
                  <pic:blipFill>
                    <a:blip r:embed="rId26"/>
                    <a:stretch>
                      <a:fillRect/>
                    </a:stretch>
                  </pic:blipFill>
                  <pic:spPr>
                    <a:xfrm>
                      <a:off x="0" y="0"/>
                      <a:ext cx="3108960" cy="4145280"/>
                    </a:xfrm>
                    <a:prstGeom prst="rect"/>
                  </pic:spPr>
                </pic:pic>
              </a:graphicData>
            </a:graphic>
          </wp:inline>
        </w:drawing>
      </w:r>
    </w:p>
    <w:p>
      <w:pPr>
        <w:spacing w:after="200"/>
        <w:jc w:val="center"/>
      </w:pPr>
      <w:r>
        <w:rPr>
          <w:i/>
          <w:color w:val="7C8B7F"/>
          <w:sz w:val="17"/>
        </w:rPr>
        <w:t>Dify + AX Foundry: build with one, govern with the other.</w:t>
      </w:r>
    </w:p>
    <w:p>
      <w:pPr>
        <w:jc w:val="center"/>
      </w:pPr>
      <w:r>
        <w:drawing>
          <wp:inline xmlns:a="http://schemas.openxmlformats.org/drawingml/2006/main" xmlns:pic="http://schemas.openxmlformats.org/drawingml/2006/picture">
            <wp:extent cx="3108960" cy="4145280"/>
            <wp:docPr id="19" name="Picture 19"/>
            <wp:cNvGraphicFramePr>
              <a:graphicFrameLocks noChangeAspect="1"/>
            </wp:cNvGraphicFramePr>
            <a:graphic>
              <a:graphicData uri="http://schemas.openxmlformats.org/drawingml/2006/picture">
                <pic:pic>
                  <pic:nvPicPr>
                    <pic:cNvPr id="0" name="seagatebooth.jpg"/>
                    <pic:cNvPicPr/>
                  </pic:nvPicPr>
                  <pic:blipFill>
                    <a:blip r:embed="rId27"/>
                    <a:stretch>
                      <a:fillRect/>
                    </a:stretch>
                  </pic:blipFill>
                  <pic:spPr>
                    <a:xfrm>
                      <a:off x="0" y="0"/>
                      <a:ext cx="3108960" cy="4145280"/>
                    </a:xfrm>
                    <a:prstGeom prst="rect"/>
                  </pic:spPr>
                </pic:pic>
              </a:graphicData>
            </a:graphic>
          </wp:inline>
        </w:drawing>
      </w:r>
    </w:p>
    <w:p>
      <w:pPr>
        <w:spacing w:after="200"/>
        <w:jc w:val="center"/>
      </w:pPr>
      <w:r>
        <w:rPr>
          <w:i/>
          <w:color w:val="7C8B7F"/>
          <w:sz w:val="17"/>
        </w:rPr>
        <w:t>Seagate's own booth on the expo floor.</w:t>
      </w:r>
    </w:p>
    <w:p>
      <w:pPr>
        <w:jc w:val="center"/>
      </w:pPr>
      <w:r>
        <w:drawing>
          <wp:inline xmlns:a="http://schemas.openxmlformats.org/drawingml/2006/main" xmlns:pic="http://schemas.openxmlformats.org/drawingml/2006/picture">
            <wp:extent cx="3108960" cy="4145280"/>
            <wp:docPr id="20" name="Picture 20"/>
            <wp:cNvGraphicFramePr>
              <a:graphicFrameLocks noChangeAspect="1"/>
            </wp:cNvGraphicFramePr>
            <a:graphic>
              <a:graphicData uri="http://schemas.openxmlformats.org/drawingml/2006/picture">
                <pic:pic>
                  <pic:nvPicPr>
                    <pic:cNvPr id="0" name="aimfuture.jpg"/>
                    <pic:cNvPicPr/>
                  </pic:nvPicPr>
                  <pic:blipFill>
                    <a:blip r:embed="rId28"/>
                    <a:stretch>
                      <a:fillRect/>
                    </a:stretch>
                  </pic:blipFill>
                  <pic:spPr>
                    <a:xfrm>
                      <a:off x="0" y="0"/>
                      <a:ext cx="3108960" cy="4145280"/>
                    </a:xfrm>
                    <a:prstGeom prst="rect"/>
                  </pic:spPr>
                </pic:pic>
              </a:graphicData>
            </a:graphic>
          </wp:inline>
        </w:drawing>
      </w:r>
    </w:p>
    <w:p>
      <w:pPr>
        <w:spacing w:after="200"/>
        <w:jc w:val="center"/>
      </w:pPr>
      <w:r>
        <w:rPr>
          <w:i/>
          <w:color w:val="7C8B7F"/>
          <w:sz w:val="17"/>
        </w:rPr>
        <w:t>AIM Future's on-device edge AI chip line.</w:t>
      </w:r>
    </w:p>
    <w:p>
      <w:pPr>
        <w:jc w:val="center"/>
      </w:pPr>
      <w:r>
        <w:drawing>
          <wp:inline xmlns:a="http://schemas.openxmlformats.org/drawingml/2006/main" xmlns:pic="http://schemas.openxmlformats.org/drawingml/2006/picture">
            <wp:extent cx="3108960" cy="4145280"/>
            <wp:docPr id="21" name="Picture 21"/>
            <wp:cNvGraphicFramePr>
              <a:graphicFrameLocks noChangeAspect="1"/>
            </wp:cNvGraphicFramePr>
            <a:graphic>
              <a:graphicData uri="http://schemas.openxmlformats.org/drawingml/2006/picture">
                <pic:pic>
                  <pic:nvPicPr>
                    <pic:cNvPr id="0" name="splunk.jpg"/>
                    <pic:cNvPicPr/>
                  </pic:nvPicPr>
                  <pic:blipFill>
                    <a:blip r:embed="rId29"/>
                    <a:stretch>
                      <a:fillRect/>
                    </a:stretch>
                  </pic:blipFill>
                  <pic:spPr>
                    <a:xfrm>
                      <a:off x="0" y="0"/>
                      <a:ext cx="3108960" cy="4145280"/>
                    </a:xfrm>
                    <a:prstGeom prst="rect"/>
                  </pic:spPr>
                </pic:pic>
              </a:graphicData>
            </a:graphic>
          </wp:inline>
        </w:drawing>
      </w:r>
    </w:p>
    <w:p>
      <w:pPr>
        <w:spacing w:after="200"/>
        <w:jc w:val="center"/>
      </w:pPr>
      <w:r>
        <w:rPr>
          <w:i/>
          <w:color w:val="7C8B7F"/>
          <w:sz w:val="17"/>
        </w:rPr>
        <w:t>Splunk (a Cisco company): Agentic SOC and Observability for AI.</w:t>
      </w:r>
    </w:p>
    <w:p>
      <w:pPr>
        <w:jc w:val="center"/>
      </w:pPr>
      <w:r>
        <w:drawing>
          <wp:inline xmlns:a="http://schemas.openxmlformats.org/drawingml/2006/main" xmlns:pic="http://schemas.openxmlformats.org/drawingml/2006/picture">
            <wp:extent cx="3108960" cy="4145280"/>
            <wp:docPr id="22" name="Picture 22"/>
            <wp:cNvGraphicFramePr>
              <a:graphicFrameLocks noChangeAspect="1"/>
            </wp:cNvGraphicFramePr>
            <a:graphic>
              <a:graphicData uri="http://schemas.openxmlformats.org/drawingml/2006/picture">
                <pic:pic>
                  <pic:nvPicPr>
                    <pic:cNvPr id="0" name="jamf.jpg"/>
                    <pic:cNvPicPr/>
                  </pic:nvPicPr>
                  <pic:blipFill>
                    <a:blip r:embed="rId30"/>
                    <a:stretch>
                      <a:fillRect/>
                    </a:stretch>
                  </pic:blipFill>
                  <pic:spPr>
                    <a:xfrm>
                      <a:off x="0" y="0"/>
                      <a:ext cx="3108960" cy="4145280"/>
                    </a:xfrm>
                    <a:prstGeom prst="rect"/>
                  </pic:spPr>
                </pic:pic>
              </a:graphicData>
            </a:graphic>
          </wp:inline>
        </w:drawing>
      </w:r>
    </w:p>
    <w:p>
      <w:pPr>
        <w:spacing w:after="200"/>
        <w:jc w:val="center"/>
      </w:pPr>
      <w:r>
        <w:rPr>
          <w:i/>
          <w:color w:val="7C8B7F"/>
          <w:sz w:val="17"/>
        </w:rPr>
        <w:t>Jamf's booth: "Govern AI on Mac with confidence."</w:t>
      </w: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00"/>
        <w:ind w:left="113"/>
      </w:pPr>
      <w:r>
        <w:rPr>
          <w:b/>
          <w:color w:val="8A6C2C"/>
          <w:sz w:val="18"/>
        </w:rPr>
        <w:t xml:space="preserve">RESPONSIBLE: </w:t>
      </w:r>
      <w:r>
        <w:rPr>
          <w:color w:val="132018"/>
          <w:sz w:val="20"/>
        </w:rPr>
        <w:t>Center of Educational Technology (CET), with Admissions for the chatbot; Academic Council for advising-agent guardrails.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cost per enrolled student -- a chatbot that keeps context across the funnel should convert more inquiries without more staff.</w:t>
      </w:r>
    </w:p>
    <w:p>
      <w:pPr>
        <w:pStyle w:val="ListBullet"/>
        <w:spacing w:after="60"/>
        <w:ind w:left="340"/>
      </w:pPr>
      <w:r>
        <w:rPr>
          <w:color w:val="132018"/>
          <w:sz w:val="20"/>
        </w:rPr>
        <w:t>Retained tuition revenue from students the Advising Agent flags early enough to keep enrolled.</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Chatbot inquiry -&gt; completed application conversion rate</w:t>
      </w:r>
    </w:p>
    <w:p>
      <w:pPr>
        <w:pStyle w:val="ListBullet"/>
        <w:spacing w:after="60"/>
        <w:ind w:left="340"/>
      </w:pPr>
      <w:r>
        <w:rPr>
          <w:color w:val="132018"/>
          <w:sz w:val="20"/>
        </w:rPr>
        <w:t>Average response time to a prospective student inquiry</w:t>
      </w:r>
    </w:p>
    <w:p>
      <w:pPr>
        <w:pStyle w:val="ListBullet"/>
        <w:spacing w:after="60"/>
        <w:ind w:left="340"/>
      </w:pPr>
      <w:r>
        <w:rPr>
          <w:color w:val="132018"/>
          <w:sz w:val="20"/>
        </w:rPr>
        <w:t>Term-to-term retention rate among students the Advising Agent flagged as at-risk</w:t>
      </w:r>
    </w:p>
    <w:p>
      <w:pPr>
        <w:spacing w:after="120"/>
      </w:pP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00"/>
        <w:ind w:left="113"/>
      </w:pPr>
      <w:r>
        <w:rPr>
          <w:b/>
          <w:color w:val="8A6C2C"/>
          <w:sz w:val="18"/>
        </w:rPr>
        <w:t xml:space="preserve">RESPONSIBLE: </w:t>
      </w:r>
      <w:r>
        <w:rPr>
          <w:color w:val="132018"/>
          <w:sz w:val="20"/>
        </w:rPr>
        <w:t>Marketing &amp; Communications, with CET for content; Office of the Chancellor for public positioning.</w:t>
      </w:r>
    </w:p>
    <w:p>
      <w:pPr>
        <w:shd w:val="clear" w:color="auto" w:fill="E7EDF3"/>
        <w:spacing w:after="40"/>
        <w:ind w:left="113"/>
      </w:pPr>
      <w:r>
        <w:rPr>
          <w:b/>
          <w:color w:val="3B5B7A"/>
          <w:sz w:val="18"/>
        </w:rPr>
        <w:t>POTENTIAL ROI</w:t>
      </w:r>
    </w:p>
    <w:p>
      <w:pPr>
        <w:pStyle w:val="ListBullet"/>
        <w:spacing w:after="60"/>
        <w:ind w:left="340"/>
      </w:pPr>
      <w:r>
        <w:rPr>
          <w:color w:val="132018"/>
          <w:sz w:val="20"/>
        </w:rPr>
        <w:t>Earned media and inbound interest from being the credible "governance-first" story, not the flashiest AI demo.</w:t>
      </w:r>
    </w:p>
    <w:p>
      <w:pPr>
        <w:pStyle w:val="ListBullet"/>
        <w:spacing w:after="60"/>
        <w:ind w:left="340"/>
      </w:pPr>
      <w:r>
        <w:rPr>
          <w:color w:val="132018"/>
          <w:sz w:val="20"/>
        </w:rPr>
        <w:t>Stronger position in accreditation and partner conversations that already ask about AI policy.</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External citations/mentions of Benilde's AI governance model (press, academic papers, conference invitations)</w:t>
      </w:r>
    </w:p>
    <w:p>
      <w:pPr>
        <w:pStyle w:val="ListBullet"/>
        <w:spacing w:after="60"/>
        <w:ind w:left="340"/>
      </w:pPr>
      <w:r>
        <w:rPr>
          <w:color w:val="132018"/>
          <w:sz w:val="20"/>
        </w:rPr>
        <w:t>Inbound partnership or speaking-invite requests referencing our AI work</w:t>
      </w:r>
    </w:p>
    <w:p>
      <w:pPr>
        <w:spacing w:after="120"/>
      </w:pP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00"/>
        <w:ind w:left="113"/>
      </w:pPr>
      <w:r>
        <w:rPr>
          <w:b/>
          <w:color w:val="8A6C2C"/>
          <w:sz w:val="18"/>
        </w:rPr>
        <w:t xml:space="preserve">RESPONSIBLE: </w:t>
      </w:r>
      <w:r>
        <w:rPr>
          <w:color w:val="132018"/>
          <w:sz w:val="20"/>
        </w:rPr>
        <w:t>CET and Academic Council for the go/no-go gate; CET / IT infrastructure for the data warehouse review.</w:t>
      </w:r>
    </w:p>
    <w:p>
      <w:pPr>
        <w:shd w:val="clear" w:color="auto" w:fill="E7EDF3"/>
        <w:spacing w:after="40"/>
        <w:ind w:left="113"/>
      </w:pPr>
      <w:r>
        <w:rPr>
          <w:b/>
          <w:color w:val="3B5B7A"/>
          <w:sz w:val="18"/>
        </w:rPr>
        <w:t>POTENTIAL ROI</w:t>
      </w:r>
    </w:p>
    <w:p>
      <w:pPr>
        <w:pStyle w:val="ListBullet"/>
        <w:spacing w:after="60"/>
        <w:ind w:left="340"/>
      </w:pPr>
      <w:r>
        <w:rPr>
          <w:color w:val="132018"/>
          <w:sz w:val="20"/>
        </w:rPr>
        <w:t>Avoided waste on pilots that were never going to reach production -- the summit's own baseline says most institutions lose about 80% of AI spend to this.</w:t>
      </w:r>
    </w:p>
    <w:p>
      <w:pPr>
        <w:pStyle w:val="ListBullet"/>
        <w:spacing w:after="60"/>
        <w:ind w:left="340"/>
      </w:pPr>
      <w:r>
        <w:rPr>
          <w:color w:val="132018"/>
          <w:sz w:val="20"/>
        </w:rPr>
        <w:t>Avoided cost of a governance incident by catching it before scale, not after.</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 of pilots that pass the go/no-go gate and reach Phase 3 (compare against that 80%-fail baseline)</w:t>
      </w:r>
    </w:p>
    <w:p>
      <w:pPr>
        <w:pStyle w:val="ListBullet"/>
        <w:spacing w:after="60"/>
        <w:ind w:left="340"/>
      </w:pPr>
      <w:r>
        <w:rPr>
          <w:color w:val="132018"/>
          <w:sz w:val="20"/>
        </w:rPr>
        <w:t>Time from pilot approval to production-ready</w:t>
      </w:r>
    </w:p>
    <w:p>
      <w:pPr>
        <w:pStyle w:val="ListBullet"/>
        <w:spacing w:after="60"/>
        <w:ind w:left="340"/>
      </w:pPr>
      <w:r>
        <w:rPr>
          <w:color w:val="132018"/>
          <w:sz w:val="20"/>
        </w:rPr>
        <w:t>Data warehouse uptime and headroom under real agentic query load</w:t>
      </w:r>
    </w:p>
    <w:p>
      <w:pPr>
        <w:spacing w:after="120"/>
      </w:pP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00"/>
        <w:ind w:left="113"/>
      </w:pPr>
      <w:r>
        <w:rPr>
          <w:b/>
          <w:color w:val="8A6C2C"/>
          <w:sz w:val="18"/>
        </w:rPr>
        <w:t xml:space="preserve">RESPONSIBLE: </w:t>
      </w:r>
      <w:r>
        <w:rPr>
          <w:color w:val="132018"/>
          <w:sz w:val="20"/>
        </w:rPr>
        <w:t>CET and Procurement for vendor terms; Office of the Chancellor and academic deans for research partnerships.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net implementation cost if vendor-bundled setup support replaces work we'd otherwise pay a contractor for.</w:t>
      </w:r>
    </w:p>
    <w:p>
      <w:pPr>
        <w:pStyle w:val="ListBullet"/>
        <w:spacing w:after="60"/>
        <w:ind w:left="340"/>
      </w:pPr>
      <w:r>
        <w:rPr>
          <w:color w:val="132018"/>
          <w:sz w:val="20"/>
        </w:rPr>
        <w:t>Free or discounted access to research-grade tools (like DeepMind's academic-tier offerings) instead of paying full commercial price.</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Vendor-provided implementation hours logged per contract</w:t>
      </w:r>
    </w:p>
    <w:p>
      <w:pPr>
        <w:pStyle w:val="ListBullet"/>
        <w:spacing w:after="60"/>
        <w:ind w:left="340"/>
      </w:pPr>
      <w:r>
        <w:rPr>
          <w:color w:val="132018"/>
          <w:sz w:val="20"/>
        </w:rPr>
        <w:t>Estimated dollar value of in-kind/free-tier tools secured</w:t>
      </w:r>
    </w:p>
    <w:p>
      <w:pPr>
        <w:pStyle w:val="ListBullet"/>
        <w:spacing w:after="60"/>
        <w:ind w:left="340"/>
      </w:pPr>
      <w:r>
        <w:rPr>
          <w:color w:val="132018"/>
          <w:sz w:val="20"/>
        </w:rPr>
        <w:t>Number of active partnerships with a named joint deliverable (not just a signed MOU)</w:t>
      </w:r>
    </w:p>
    <w:p>
      <w:pPr>
        <w:spacing w:after="120"/>
      </w:pP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00"/>
        <w:ind w:left="113"/>
      </w:pPr>
      <w:r>
        <w:rPr>
          <w:b/>
          <w:color w:val="8A6C2C"/>
          <w:sz w:val="18"/>
        </w:rPr>
        <w:t xml:space="preserve">RESPONSIBLE: </w:t>
      </w:r>
      <w:r>
        <w:rPr>
          <w:color w:val="132018"/>
          <w:sz w:val="20"/>
        </w:rPr>
        <w:t>CET and Finance for reporting format; the Board / Leadership Team for gated budget release.</w:t>
      </w:r>
    </w:p>
    <w:p>
      <w:pPr>
        <w:shd w:val="clear" w:color="auto" w:fill="E7EDF3"/>
        <w:spacing w:after="40"/>
        <w:ind w:left="113"/>
      </w:pPr>
      <w:r>
        <w:rPr>
          <w:b/>
          <w:color w:val="3B5B7A"/>
          <w:sz w:val="18"/>
        </w:rPr>
        <w:t>POTENTIAL ROI</w:t>
      </w:r>
    </w:p>
    <w:p>
      <w:pPr>
        <w:pStyle w:val="ListBullet"/>
        <w:spacing w:after="60"/>
        <w:ind w:left="340"/>
      </w:pPr>
      <w:r>
        <w:rPr>
          <w:color w:val="132018"/>
          <w:sz w:val="20"/>
        </w:rPr>
        <w:t>Staff hours saved that can be redirected instead of hired for.</w:t>
      </w:r>
    </w:p>
    <w:p>
      <w:pPr>
        <w:pStyle w:val="ListBullet"/>
        <w:spacing w:after="60"/>
        <w:ind w:left="340"/>
      </w:pPr>
      <w:r>
        <w:rPr>
          <w:color w:val="132018"/>
          <w:sz w:val="20"/>
        </w:rPr>
        <w:t>Incremental tuition revenue from any measurable retention or enrollment lift.</w:t>
      </w:r>
    </w:p>
    <w:p>
      <w:pPr>
        <w:pStyle w:val="ListBullet"/>
        <w:spacing w:after="60"/>
        <w:ind w:left="340"/>
      </w:pPr>
      <w:r>
        <w:rPr>
          <w:color w:val="132018"/>
          <w:sz w:val="20"/>
        </w:rPr>
        <w:t>Tighter budget discipline from releasing money in tranches instead of one lump sum.</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Advisor/staff hours saved per week (the efficiency half)</w:t>
      </w:r>
    </w:p>
    <w:p>
      <w:pPr>
        <w:pStyle w:val="ListBullet"/>
        <w:spacing w:after="60"/>
        <w:ind w:left="340"/>
      </w:pPr>
      <w:r>
        <w:rPr>
          <w:color w:val="132018"/>
          <w:sz w:val="20"/>
        </w:rPr>
        <w:t>Retention or enrollment lift attributable to an AI tool (the effectiveness half -- the part most reports skip)</w:t>
      </w:r>
    </w:p>
    <w:p>
      <w:pPr>
        <w:pStyle w:val="ListBullet"/>
        <w:spacing w:after="60"/>
        <w:ind w:left="340"/>
      </w:pPr>
      <w:r>
        <w:rPr>
          <w:color w:val="132018"/>
          <w:sz w:val="20"/>
        </w:rPr>
        <w:t>Cost per successful outcome: total AI spend / number of confirmed wins</w:t>
      </w:r>
    </w:p>
    <w:p>
      <w:pPr>
        <w:pStyle w:val="ListBullet"/>
        <w:spacing w:after="60"/>
        <w:ind w:left="340"/>
      </w:pPr>
      <w:r>
        <w:rPr>
          <w:color w:val="132018"/>
          <w:sz w:val="20"/>
        </w:rPr>
        <w:t>Actual spend vs. the approved gated-tranche budget</w:t>
      </w:r>
    </w:p>
    <w:p>
      <w:pPr>
        <w:spacing w:after="120"/>
      </w:pP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32018"/>
          <w:sz w:val="20"/>
        </w:rPr>
        <w:t>Owns the roadmap's cadence and the master pilot list — the one place that can see across IT, CET, and Academic Affairs at once.</w:t>
      </w:r>
    </w:p>
    <w:p>
      <w:pPr>
        <w:pStyle w:val="ListBullet"/>
        <w:spacing w:after="100"/>
      </w:pPr>
      <w:r>
        <w:rPr>
          <w:color w:val="132018"/>
          <w:sz w:val="20"/>
        </w:rPr>
        <w:t>Runs the three-question go/no-go gate on every pilot before it's proposed for scale-up.</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w:t>
      </w:r>
    </w:p>
    <w:p>
      <w:pPr>
        <w:pStyle w:val="ListBullet"/>
        <w:spacing w:after="100"/>
      </w:pPr>
      <w:r>
        <w:rPr>
          <w:color w:val="132018"/>
          <w:sz w:val="20"/>
        </w:rPr>
        <w:t>Owns uptime and support once a pilot graduates from CET's hands into daily operations.</w:t>
      </w:r>
    </w:p>
    <w:p>
      <w:pPr>
        <w:spacing w:after="80"/>
      </w:pPr>
    </w:p>
    <w:p>
      <w:pPr>
        <w:spacing w:after="40"/>
      </w:pPr>
      <w:r>
        <w:rPr>
          <w:b/>
          <w:color w:val="08291A"/>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actual pilots (syllabus AI, Academic Advising Agent, Mental Health Agent) and reports results.</w:t>
      </w:r>
    </w:p>
    <w:p>
      <w:pPr>
        <w:pStyle w:val="ListBullet"/>
        <w:spacing w:after="100"/>
      </w:pPr>
      <w:r>
        <w:rPr>
          <w:color w:val="132018"/>
          <w:sz w:val="20"/>
        </w:rPr>
        <w:t>Owns faculty and student training under the AI Literacy Framework.</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32018"/>
          <w:sz w:val="20"/>
        </w:rPr>
        <w:t>Academic Council: policy guardrails for anything touching grading, advising, or academic integrity.</w:t>
      </w:r>
    </w:p>
    <w:p>
      <w:pPr>
        <w:pStyle w:val="ListBullet"/>
        <w:spacing w:after="100"/>
      </w:pPr>
      <w:r>
        <w:rPr>
          <w:color w:val="132018"/>
          <w:sz w:val="20"/>
        </w:rPr>
        <w:t>Finance: the efficiency-times-effectiveness reporting format, and sign-off on budget tranches.</w:t>
      </w:r>
    </w:p>
    <w:p>
      <w:pPr>
        <w:pStyle w:val="ListBullet"/>
        <w:spacing w:after="100"/>
      </w:pPr>
      <w:r>
        <w:rPr>
          <w:color w:val="132018"/>
          <w:sz w:val="20"/>
        </w:rPr>
        <w:t>Marketing &amp; Communications: the public "governance discipline" narrative.</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31">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32">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33">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34">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35">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hyperlink" Target="https://tech.asu.edu/features/asu-and-openai-expand-collaboration-scaling-ai" TargetMode="External"/><Relationship Id="rId32" Type="http://schemas.openxmlformats.org/officeDocument/2006/relationships/hyperlink" Target="https://news.nus.edu.sg/nus-powers-education-research-and-administration-to-new-heights-with-ai-through-a-strategic-collaboration-with-openai/" TargetMode="External"/><Relationship Id="rId33" Type="http://schemas.openxmlformats.org/officeDocument/2006/relationships/hyperlink" Target="https://www.ai.gatech.edu/news" TargetMode="External"/><Relationship Id="rId34" Type="http://schemas.openxmlformats.org/officeDocument/2006/relationships/hyperlink" Target="https://thescipub.com/abstract/jcssp.2026.840.859" TargetMode="External"/><Relationship Id="rId35"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