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316992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2377440" cy="316992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day,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 (through Aug 21)</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p>
      <w:pPr>
        <w:jc w:val="center"/>
      </w:pPr>
      <w:r>
        <w:drawing>
          <wp:inline xmlns:a="http://schemas.openxmlformats.org/drawingml/2006/main" xmlns:pic="http://schemas.openxmlformats.org/drawingml/2006/picture">
            <wp:extent cx="3108960" cy="5529771"/>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3108960" cy="5529771"/>
                    </a:xfrm>
                    <a:prstGeom prst="rect"/>
                  </pic:spPr>
                </pic:pic>
              </a:graphicData>
            </a:graphic>
          </wp:inline>
        </w:drawing>
      </w:r>
    </w:p>
    <w:p>
      <w:pPr>
        <w:spacing w:after="200"/>
        <w:jc w:val="center"/>
      </w:pPr>
      <w:r>
        <w:rPr>
          <w:i/>
          <w:color w:val="7C8B7F"/>
          <w:sz w:val="17"/>
        </w:rPr>
        <w:t>The FAIN Robotics quadruped mid-stride on the demo floor.</w:t>
      </w:r>
    </w:p>
    <w:p>
      <w:pPr>
        <w:jc w:val="center"/>
      </w:pPr>
      <w:r>
        <w:drawing>
          <wp:inline xmlns:a="http://schemas.openxmlformats.org/drawingml/2006/main" xmlns:pic="http://schemas.openxmlformats.org/drawingml/2006/picture">
            <wp:extent cx="3108960" cy="414528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3108960" cy="4145280"/>
                    </a:xfrm>
                    <a:prstGeom prst="rect"/>
                  </pic:spPr>
                </pic:pic>
              </a:graphicData>
            </a:graphic>
          </wp:inline>
        </w:drawing>
      </w:r>
    </w:p>
    <w:p>
      <w:pPr>
        <w:spacing w:after="200"/>
        <w:jc w:val="center"/>
      </w:pPr>
      <w:r>
        <w:rPr>
          <w:i/>
          <w:color w:val="7C8B7F"/>
          <w:sz w:val="17"/>
        </w:rPr>
        <w:t>NOVA's AI sign-language avatar booth.</w:t>
      </w:r>
    </w:p>
    <w:p>
      <w:pPr>
        <w:jc w:val="center"/>
      </w:pPr>
      <w:r>
        <w:drawing>
          <wp:inline xmlns:a="http://schemas.openxmlformats.org/drawingml/2006/main" xmlns:pic="http://schemas.openxmlformats.org/drawingml/2006/picture">
            <wp:extent cx="3108960" cy="414528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3108960" cy="4145280"/>
                    </a:xfrm>
                    <a:prstGeom prst="rect"/>
                  </pic:spPr>
                </pic:pic>
              </a:graphicData>
            </a:graphic>
          </wp:inline>
        </w:drawing>
      </w:r>
    </w:p>
    <w:p>
      <w:pPr>
        <w:spacing w:after="200"/>
        <w:jc w:val="center"/>
      </w:pPr>
      <w:r>
        <w:rPr>
          <w:i/>
          <w:color w:val="7C8B7F"/>
          <w:sz w:val="17"/>
        </w:rPr>
        <w:t>Golden Planet x Google Cloud: Gemini Enterprise.</w:t>
      </w:r>
    </w:p>
    <w:p>
      <w:pPr>
        <w:jc w:val="center"/>
      </w:pPr>
      <w:r>
        <w:drawing>
          <wp:inline xmlns:a="http://schemas.openxmlformats.org/drawingml/2006/main" xmlns:pic="http://schemas.openxmlformats.org/drawingml/2006/picture">
            <wp:extent cx="3108960" cy="414528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3108960" cy="4145280"/>
                    </a:xfrm>
                    <a:prstGeom prst="rect"/>
                  </pic:spPr>
                </pic:pic>
              </a:graphicData>
            </a:graphic>
          </wp:inline>
        </w:drawing>
      </w:r>
    </w:p>
    <w:p>
      <w:pPr>
        <w:spacing w:after="200"/>
        <w:jc w:val="center"/>
      </w:pPr>
      <w:r>
        <w:rPr>
          <w:i/>
          <w:color w:val="7C8B7F"/>
          <w:sz w:val="17"/>
        </w:rPr>
        <w:t>Dify + AX Foundry: build with one, govern with the other.</w:t>
      </w:r>
    </w:p>
    <w:p>
      <w:pPr>
        <w:jc w:val="center"/>
      </w:pPr>
      <w:r>
        <w:drawing>
          <wp:inline xmlns:a="http://schemas.openxmlformats.org/drawingml/2006/main" xmlns:pic="http://schemas.openxmlformats.org/drawingml/2006/picture">
            <wp:extent cx="3108960" cy="414528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3108960" cy="4145280"/>
                    </a:xfrm>
                    <a:prstGeom prst="rect"/>
                  </pic:spPr>
                </pic:pic>
              </a:graphicData>
            </a:graphic>
          </wp:inline>
        </w:drawing>
      </w:r>
    </w:p>
    <w:p>
      <w:pPr>
        <w:spacing w:after="200"/>
        <w:jc w:val="center"/>
      </w:pPr>
      <w:r>
        <w:rPr>
          <w:i/>
          <w:color w:val="7C8B7F"/>
          <w:sz w:val="17"/>
        </w:rPr>
        <w:t>Seagate's own booth on the expo floor.</w:t>
      </w:r>
    </w:p>
    <w:p>
      <w:pPr>
        <w:jc w:val="center"/>
      </w:pPr>
      <w:r>
        <w:drawing>
          <wp:inline xmlns:a="http://schemas.openxmlformats.org/drawingml/2006/main" xmlns:pic="http://schemas.openxmlformats.org/drawingml/2006/picture">
            <wp:extent cx="3108960" cy="414528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3108960" cy="4145280"/>
                    </a:xfrm>
                    <a:prstGeom prst="rect"/>
                  </pic:spPr>
                </pic:pic>
              </a:graphicData>
            </a:graphic>
          </wp:inline>
        </w:drawing>
      </w:r>
    </w:p>
    <w:p>
      <w:pPr>
        <w:spacing w:after="200"/>
        <w:jc w:val="center"/>
      </w:pPr>
      <w:r>
        <w:rPr>
          <w:i/>
          <w:color w:val="7C8B7F"/>
          <w:sz w:val="17"/>
        </w:rPr>
        <w:t>AIM Future's on-device edge AI chip line.</w:t>
      </w:r>
    </w:p>
    <w:p>
      <w:pPr>
        <w:jc w:val="center"/>
      </w:pPr>
      <w:r>
        <w:drawing>
          <wp:inline xmlns:a="http://schemas.openxmlformats.org/drawingml/2006/main" xmlns:pic="http://schemas.openxmlformats.org/drawingml/2006/picture">
            <wp:extent cx="3108960" cy="414528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3108960" cy="4145280"/>
                    </a:xfrm>
                    <a:prstGeom prst="rect"/>
                  </pic:spPr>
                </pic:pic>
              </a:graphicData>
            </a:graphic>
          </wp:inline>
        </w:drawing>
      </w:r>
    </w:p>
    <w:p>
      <w:pPr>
        <w:spacing w:after="200"/>
        <w:jc w:val="center"/>
      </w:pPr>
      <w:r>
        <w:rPr>
          <w:i/>
          <w:color w:val="7C8B7F"/>
          <w:sz w:val="17"/>
        </w:rPr>
        <w:t>Splunk (a Cisco company): Agentic SOC and Observability for AI.</w:t>
      </w:r>
    </w:p>
    <w:p>
      <w:pPr>
        <w:jc w:val="center"/>
      </w:pPr>
      <w:r>
        <w:drawing>
          <wp:inline xmlns:a="http://schemas.openxmlformats.org/drawingml/2006/main" xmlns:pic="http://schemas.openxmlformats.org/drawingml/2006/picture">
            <wp:extent cx="3108960" cy="414528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3108960" cy="4145280"/>
                    </a:xfrm>
                    <a:prstGeom prst="rect"/>
                  </pic:spPr>
                </pic:pic>
              </a:graphicData>
            </a:graphic>
          </wp:inline>
        </w:drawing>
      </w:r>
    </w:p>
    <w:p>
      <w:pPr>
        <w:spacing w:after="200"/>
        <w:jc w:val="center"/>
      </w:pPr>
      <w:r>
        <w:rPr>
          <w:i/>
          <w:color w:val="7C8B7F"/>
          <w:sz w:val="17"/>
        </w:rPr>
        <w:t>Jamf's booth: "Govern AI on Mac with confidence."</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CET and Academic Council for the go/no-go gate; CET / IT infrastructure for the data warehouse review.</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CET and Procurement for vendor terms;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CET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