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669280" cy="7559040"/>
            <wp:docPr id="1" name="Picture 1"/>
            <wp:cNvGraphicFramePr>
              <a:graphicFrameLocks noChangeAspect="1"/>
            </wp:cNvGraphicFramePr>
            <a:graphic>
              <a:graphicData uri="http://schemas.openxmlformats.org/drawingml/2006/picture">
                <pic:pic>
                  <pic:nvPicPr>
                    <pic:cNvPr id="0" name="cover.jpg"/>
                    <pic:cNvPicPr/>
                  </pic:nvPicPr>
                  <pic:blipFill>
                    <a:blip r:embed="rId9"/>
                    <a:stretch>
                      <a:fillRect/>
                    </a:stretch>
                  </pic:blipFill>
                  <pic:spPr>
                    <a:xfrm>
                      <a:off x="0" y="0"/>
                      <a:ext cx="5669280" cy="7559040"/>
                    </a:xfrm>
                    <a:prstGeom prst="rect"/>
                  </pic:spPr>
                </pic:pic>
              </a:graphicData>
            </a:graphic>
          </wp:inline>
        </w:drawing>
      </w:r>
    </w:p>
    <w:p>
      <w:pPr>
        <w:spacing w:after="200"/>
        <w:jc w:val="center"/>
      </w:pPr>
      <w:r>
        <w:rPr>
          <w:i/>
          <w:color w:val="7C8B7F"/>
          <w:sz w:val="17"/>
        </w:rPr>
        <w:t>Main stage, AI Summit Seoul (AIS26)</w:t>
      </w:r>
    </w:p>
    <w:p>
      <w:r>
        <w:rPr>
          <w:rFonts w:ascii="Avenir Next" w:hAnsi="Avenir Next"/>
          <w:b/>
          <w:color w:val="08291A"/>
          <w:sz w:val="56"/>
        </w:rPr>
        <w:t>AI Summit Seoul 2026</w:t>
      </w:r>
    </w:p>
    <w:p>
      <w:pPr>
        <w:spacing w:after="280"/>
      </w:pPr>
      <w:r>
        <w:rPr>
          <w:color w:val="48584D"/>
          <w:sz w:val="28"/>
        </w:rPr>
        <w:t>Session Report — Talks, Panels, and Expo Highlights</w:t>
      </w:r>
    </w:p>
    <w:p>
      <w:pPr>
        <w:spacing w:after="120"/>
      </w:pPr>
      <w:r>
        <w:rPr>
          <w:rFonts w:ascii="Avenir Next" w:hAnsi="Avenir Next"/>
          <w:color w:val="7C8B7F"/>
          <w:sz w:val="19"/>
        </w:rPr>
        <w:t>Talks &amp; panels: Aug 19-20, 2026 (exhibit floor ran through Aug 21)   |   Venue: COEX Grand Ballroom &amp; Exhibition Hall B, Samseong-dong, Gangnam-gu, Seoul</w:t>
      </w:r>
    </w:p>
    <w:p>
      <w:pPr>
        <w:spacing w:after="120"/>
      </w:pPr>
      <w:r>
        <w:rPr>
          <w:rFonts w:ascii="Avenir Next" w:hAnsi="Avenir Next"/>
          <w:color w:val="7C8B7F"/>
          <w:sz w:val="19"/>
        </w:rPr>
        <w:t>Sessions logged: 21 talks/panels + 3 expo booths   |   Source: 231 photos, 8 live-caption sequences, 7 short clips</w:t>
      </w:r>
    </w:p>
    <w:p/>
    <w:p>
      <w:r>
        <w:rPr>
          <w:color w:val="7C8B7F"/>
          <w:sz w:val="19"/>
        </w:rPr>
        <w:t xml:space="preserve">Each session below is broken into three layers: </w:t>
      </w:r>
      <w:r>
        <w:rPr>
          <w:b/>
          <w:color w:val="0C5C3D"/>
          <w:sz w:val="19"/>
        </w:rPr>
        <w:t>Highlights</w:t>
      </w:r>
      <w:r>
        <w:rPr>
          <w:color w:val="7C8B7F"/>
          <w:sz w:val="19"/>
        </w:rPr>
        <w:t xml:space="preserve"> (what was actually said/shown), </w:t>
      </w:r>
      <w:r>
        <w:rPr>
          <w:b/>
          <w:color w:val="3B5B7A"/>
          <w:sz w:val="19"/>
        </w:rPr>
        <w:t>Insight</w:t>
      </w:r>
      <w:r>
        <w:rPr>
          <w:color w:val="7C8B7F"/>
          <w:sz w:val="19"/>
        </w:rPr>
        <w:t xml:space="preserve"> (what it actually means / why it matters), and </w:t>
      </w:r>
      <w:r>
        <w:rPr>
          <w:b/>
          <w:color w:val="0C5C3D"/>
          <w:sz w:val="19"/>
        </w:rPr>
        <w:t>Takeaway</w:t>
      </w:r>
      <w:r>
        <w:rPr>
          <w:color w:val="7C8B7F"/>
          <w:sz w:val="19"/>
        </w:rPr>
        <w:t xml:space="preserve"> (the one line worth remembering).</w:t>
      </w:r>
    </w:p>
    <w:p>
      <w:r>
        <w:br w:type="page"/>
      </w:r>
    </w:p>
    <w:p>
      <w:pPr>
        <w:pStyle w:val="Heading1"/>
      </w:pPr>
      <w:r>
        <w:rPr>
          <w:rFonts w:ascii="Avenir Next" w:hAnsi="Avenir Next"/>
          <w:color w:val="08291A"/>
          <w:sz w:val="36"/>
        </w:rPr>
        <w:t>If You Only Have 5 Minutes</w:t>
      </w:r>
    </w:p>
    <w:p>
      <w:r>
        <w:rPr>
          <w:i/>
          <w:color w:val="7C8B7F"/>
          <w:sz w:val="20"/>
        </w:rPr>
        <w:t>The five ideas that came up again and again, in plain language.</w:t>
      </w:r>
    </w:p>
    <w:p>
      <w:pPr>
        <w:pStyle w:val="ListNumber"/>
        <w:spacing w:after="200"/>
      </w:pPr>
      <w:r>
        <w:rPr>
          <w:color w:val="132018"/>
          <w:sz w:val="22"/>
        </w:rPr>
      </w:r>
      <w:r>
        <w:rPr>
          <w:b/>
          <w:color w:val="08291A"/>
          <w:sz w:val="22"/>
        </w:rPr>
        <w:t>Most AI pilots never make it to real use — and it's rarely the AI's fault.</w:t>
      </w:r>
      <w:r>
        <w:rPr>
          <w:color w:val="132018"/>
          <w:sz w:val="22"/>
        </w:rPr>
        <w:t xml:space="preserve"> Roughly 80% of AI projects never reach full production. The real blockers were messy data, tools bolted onto old workflows, and no senior person willing to approve scaling something up.</w:t>
      </w:r>
    </w:p>
    <w:p>
      <w:pPr>
        <w:pStyle w:val="ListNumber"/>
        <w:spacing w:after="200"/>
      </w:pPr>
      <w:r>
        <w:rPr>
          <w:color w:val="132018"/>
          <w:sz w:val="22"/>
        </w:rPr>
      </w:r>
      <w:r>
        <w:rPr>
          <w:b/>
          <w:color w:val="08291A"/>
          <w:sz w:val="22"/>
        </w:rPr>
        <w:t>Picking the AI model is the easy part now.</w:t>
      </w:r>
      <w:r>
        <w:rPr>
          <w:color w:val="132018"/>
          <w:sz w:val="22"/>
        </w:rPr>
        <w:t xml:space="preserve"> Every major AI company (Anthropic, OpenAI, Microsoft, AWS) is now selling hands-on help to actually deploy AI inside a company, not just software access.</w:t>
      </w:r>
    </w:p>
    <w:p>
      <w:pPr>
        <w:pStyle w:val="ListNumber"/>
        <w:spacing w:after="200"/>
      </w:pPr>
      <w:r>
        <w:rPr>
          <w:color w:val="132018"/>
          <w:sz w:val="22"/>
        </w:rPr>
      </w:r>
      <w:r>
        <w:rPr>
          <w:b/>
          <w:color w:val="08291A"/>
          <w:sz w:val="22"/>
        </w:rPr>
        <w:t>Robots and physical AI need a stricter safety rule than chatbots.</w:t>
      </w:r>
      <w:r>
        <w:rPr>
          <w:color w:val="132018"/>
          <w:sz w:val="22"/>
        </w:rPr>
        <w:t xml:space="preserve"> A chatbot's wrong answer is annoying; a robot's wrong action can hurt someone. The clearest rule offered: let AI act on its own only where a mistake can be undone.</w:t>
      </w:r>
    </w:p>
    <w:p>
      <w:pPr>
        <w:pStyle w:val="ListNumber"/>
        <w:spacing w:after="200"/>
      </w:pPr>
      <w:r>
        <w:rPr>
          <w:color w:val="132018"/>
          <w:sz w:val="22"/>
        </w:rPr>
      </w:r>
      <w:r>
        <w:rPr>
          <w:b/>
          <w:color w:val="08291A"/>
          <w:sz w:val="22"/>
        </w:rPr>
        <w:t>Good results always traced back to good data — not a fancier model.</w:t>
      </w:r>
      <w:r>
        <w:rPr>
          <w:color w:val="132018"/>
          <w:sz w:val="22"/>
        </w:rPr>
        <w:t xml:space="preserve"> Storage, database, and AI companies all said the same thing in different words: organize your data first, or nothing built on top of it works reliably.</w:t>
      </w:r>
    </w:p>
    <w:p>
      <w:pPr>
        <w:pStyle w:val="ListNumber"/>
        <w:spacing w:after="200"/>
      </w:pPr>
      <w:r>
        <w:rPr>
          <w:color w:val="132018"/>
          <w:sz w:val="22"/>
        </w:rPr>
      </w:r>
      <w:r>
        <w:rPr>
          <w:b/>
          <w:color w:val="08291A"/>
          <w:sz w:val="22"/>
        </w:rPr>
        <w:t>The workforce most comfortable with AI is also the newest.</w:t>
      </w:r>
      <w:r>
        <w:rPr>
          <w:color w:val="132018"/>
          <w:sz w:val="22"/>
        </w:rPr>
        <w:t xml:space="preserve"> Roughly 30% of the global office workforce is now Gen Z — training built only for senior staff will miss where AI habits are actually forming.</w:t>
      </w:r>
    </w:p>
    <w:p/>
    <w:p>
      <w:pPr>
        <w:pStyle w:val="Heading2"/>
      </w:pPr>
      <w:r>
        <w:rPr>
          <w:rFonts w:ascii="Avenir Next" w:hAnsi="Avenir Next"/>
          <w:color w:val="0C5C3D"/>
          <w:sz w:val="28"/>
        </w:rPr>
        <w:t>How This Report Was Built — and Where to Be Careful</w:t>
      </w:r>
    </w:p>
    <w:p>
      <w:pPr>
        <w:pStyle w:val="ListBullet"/>
        <w:spacing w:after="120"/>
      </w:pPr>
      <w:r>
        <w:rPr>
          <w:color w:val="132018"/>
          <w:sz w:val="21"/>
        </w:rPr>
        <w:t>Numbers and quotes are the speakers' own claims, passed through live machine translation — treat every statistic as "what the speaker said," not independently verified.</w:t>
      </w:r>
    </w:p>
    <w:p>
      <w:pPr>
        <w:pStyle w:val="ListBullet"/>
        <w:spacing w:after="120"/>
      </w:pPr>
      <w:r>
        <w:rPr>
          <w:color w:val="132018"/>
          <w:sz w:val="21"/>
        </w:rPr>
        <w:t>Some sentences are cut off where a floating app button covered the caption feed, or a photo was blurry. Gaps are left as gaps, not guessed at.</w:t>
      </w:r>
    </w:p>
    <w:p>
      <w:pPr>
        <w:pStyle w:val="ListBullet"/>
        <w:spacing w:after="120"/>
      </w:pPr>
      <w:r>
        <w:rPr>
          <w:color w:val="132018"/>
          <w:sz w:val="21"/>
        </w:rPr>
        <w:t>A few names have uncertain spelling in the captions (marked "name unconfirmed") — worth checking against the official program before external use.</w:t>
      </w:r>
    </w:p>
    <w:p>
      <w:pPr>
        <w:pStyle w:val="ListBullet"/>
        <w:spacing w:after="120"/>
      </w:pPr>
      <w:r>
        <w:rPr>
          <w:color w:val="132018"/>
          <w:sz w:val="21"/>
        </w:rPr>
        <w:t>AI Summit Seoul (AIS26) ran Aug 19-21; the third day (Aug 21) was dedicated to the exhibition floor. This report's talk/panel coverage spans Aug 19-20, plus expo photos captured across the event.</w:t>
      </w:r>
    </w:p>
    <w:p>
      <w:r>
        <w:br w:type="page"/>
      </w:r>
    </w:p>
    <w:p>
      <w:pPr>
        <w:pStyle w:val="Heading1"/>
      </w:pPr>
      <w:r>
        <w:rPr>
          <w:rFonts w:ascii="Avenir Next" w:hAnsi="Avenir Next"/>
          <w:color w:val="08291A"/>
          <w:sz w:val="36"/>
        </w:rPr>
        <w:t>Six Terms Worth Knowing</w:t>
      </w:r>
    </w:p>
    <w:p>
      <w:pPr>
        <w:spacing w:after="160"/>
      </w:pPr>
      <w:r>
        <w:rPr>
          <w:b/>
          <w:color w:val="0C5C3D"/>
          <w:sz w:val="21"/>
        </w:rPr>
        <w:t xml:space="preserve">Agentic AI — </w:t>
      </w:r>
      <w:r>
        <w:rPr>
          <w:sz w:val="21"/>
        </w:rPr>
        <w:t>AI that doesn't just answer a question, but takes multi-step actions on its own toward a goal.</w:t>
      </w:r>
    </w:p>
    <w:p>
      <w:pPr>
        <w:spacing w:after="160"/>
      </w:pPr>
      <w:r>
        <w:rPr>
          <w:b/>
          <w:color w:val="0C5C3D"/>
          <w:sz w:val="21"/>
        </w:rPr>
        <w:t xml:space="preserve">AX — </w:t>
      </w:r>
      <w:r>
        <w:rPr>
          <w:sz w:val="21"/>
        </w:rPr>
        <w:t>Shorthand used throughout the summit for "AI Transformation" — enterprise-wide AI adoption, not just one tool.</w:t>
      </w:r>
    </w:p>
    <w:p>
      <w:pPr>
        <w:spacing w:after="160"/>
      </w:pPr>
      <w:r>
        <w:rPr>
          <w:b/>
          <w:color w:val="0C5C3D"/>
          <w:sz w:val="21"/>
        </w:rPr>
        <w:t xml:space="preserve">Harness Engineering — </w:t>
      </w:r>
      <w:r>
        <w:rPr>
          <w:sz w:val="21"/>
        </w:rPr>
        <w:t>The tooling and guardrails built around an AI model so it can run unsupervised in production.</w:t>
      </w:r>
    </w:p>
    <w:p>
      <w:pPr>
        <w:spacing w:after="160"/>
      </w:pPr>
      <w:r>
        <w:rPr>
          <w:b/>
          <w:color w:val="0C5C3D"/>
          <w:sz w:val="21"/>
        </w:rPr>
        <w:t xml:space="preserve">Sim-to-Real gap — </w:t>
      </w:r>
      <w:r>
        <w:rPr>
          <w:sz w:val="21"/>
        </w:rPr>
        <w:t>When something that works in a simulator/lab fails once it meets real-world mess (lighting, heat, unpredictable people).</w:t>
      </w:r>
    </w:p>
    <w:p>
      <w:pPr>
        <w:spacing w:after="160"/>
      </w:pPr>
      <w:r>
        <w:rPr>
          <w:b/>
          <w:color w:val="0C5C3D"/>
          <w:sz w:val="21"/>
        </w:rPr>
        <w:t xml:space="preserve">World model — </w:t>
      </w:r>
      <w:r>
        <w:rPr>
          <w:sz w:val="21"/>
        </w:rPr>
        <w:t>An AI's internal understanding of how physical things behave — the piece robots need that chatbots don't.</w:t>
      </w:r>
    </w:p>
    <w:p>
      <w:pPr>
        <w:spacing w:after="160"/>
      </w:pPr>
      <w:r>
        <w:rPr>
          <w:b/>
          <w:color w:val="0C5C3D"/>
          <w:sz w:val="21"/>
        </w:rPr>
        <w:t xml:space="preserve">FDE (Forward-Deployed Engineer) — </w:t>
      </w:r>
      <w:r>
        <w:rPr>
          <w:sz w:val="21"/>
        </w:rPr>
        <w:t>A vendor's own engineer embedded inside a customer's rollout, rather than just selling a license.</w:t>
      </w:r>
    </w:p>
    <w:p>
      <w:r>
        <w:br w:type="page"/>
      </w:r>
    </w:p>
    <w:p>
      <w:pPr>
        <w:pStyle w:val="Heading1"/>
      </w:pPr>
      <w:r>
        <w:rPr>
          <w:rFonts w:ascii="Avenir Next" w:hAnsi="Avenir Next"/>
          <w:color w:val="08291A"/>
          <w:sz w:val="36"/>
        </w:rPr>
        <w:t>Day 1 — Foundations &amp; the Enterprise Reality Check</w:t>
      </w:r>
    </w:p>
    <w:p>
      <w:r>
        <w:rPr>
          <w:i/>
          <w:color w:val="48584D"/>
          <w:sz w:val="20"/>
        </w:rPr>
        <w:t>The first day moved from where agentic AI came from, to how far it actually reaches into production today — with two recurring warnings: most AI pilots never scale past a demo, and "Physical AI" is arriving faster than the safety testing built for it.</w:t>
      </w:r>
    </w:p>
    <w:p/>
    <w:p>
      <w:r>
        <w:rPr>
          <w:rFonts w:ascii="Avenir Next" w:hAnsi="Avenir Next"/>
          <w:b/>
          <w:color w:val="132018"/>
          <w:sz w:val="25"/>
        </w:rPr>
        <w:t>The Long Road to Agentic AI: A Pioneer's Perspective</w:t>
      </w:r>
    </w:p>
    <w:p>
      <w:pPr>
        <w:spacing w:after="40"/>
      </w:pPr>
      <w:r>
        <w:rPr>
          <w:i/>
          <w:color w:val="7C8B7F"/>
          <w:sz w:val="19"/>
        </w:rPr>
        <w:t>선구자의 관점에서 본 AI 어시스턴트에서 에이전틱 AI의 시대</w:t>
      </w:r>
    </w:p>
    <w:p>
      <w:pPr>
        <w:spacing w:after="80"/>
      </w:pPr>
      <w:r>
        <w:rPr>
          <w:i/>
          <w:color w:val="08291A"/>
          <w:sz w:val="19"/>
        </w:rPr>
        <w:t>Speaker name not captured on slide  |  Career: SRI -&gt; Nuance -&gt; Yahoo -&gt; Cortana -&gt; Google Assistant -&gt; Samsung Bixby/Viv -&gt; Georgia Tech</w:t>
      </w:r>
    </w:p>
    <w:p>
      <w:pPr>
        <w:spacing w:before="160" w:after="60"/>
      </w:pPr>
      <w:r>
        <w:rPr>
          <w:b/>
          <w:color w:val="0C5C3D"/>
          <w:sz w:val="18"/>
        </w:rPr>
        <w:t>HIGHLIGHTS</w:t>
      </w:r>
    </w:p>
    <w:p>
      <w:pPr>
        <w:pStyle w:val="ListBullet"/>
        <w:spacing w:after="120"/>
      </w:pPr>
      <w:r>
        <w:rPr>
          <w:color w:val="132018"/>
          <w:sz w:val="21"/>
        </w:rPr>
        <w:t>Traced "agentic AI" back to SRI's 1995 Office Assistant — a system that routed speech, email, and calendar requests to specialist agents, the direct ancestor of Siri.</w:t>
      </w:r>
    </w:p>
    <w:p>
      <w:pPr>
        <w:pStyle w:val="ListBullet"/>
        <w:spacing w:after="120"/>
      </w:pPr>
      <w:r>
        <w:rPr>
          <w:color w:val="132018"/>
          <w:sz w:val="21"/>
        </w:rPr>
        <w:t>Argued 2010s-era assistants (Cortana, Google Assistant, Bixby) were deliberately limited, but controllable and fixable when something went wrong.</w:t>
      </w:r>
    </w:p>
    <w:p>
      <w:pPr>
        <w:pStyle w:val="ListBullet"/>
        <w:spacing w:after="120"/>
      </w:pPr>
      <w:r>
        <w:rPr>
          <w:color w:val="132018"/>
          <w:sz w:val="21"/>
        </w:rPr>
        <w:t>Called 2022's ChatGPT moment "the wrong turn": fluent, but the older, more controllable structure was thrown out along with the friction.</w:t>
      </w:r>
    </w:p>
    <w:p>
      <w:pPr>
        <w:pStyle w:val="ListBullet"/>
        <w:spacing w:after="120"/>
      </w:pPr>
      <w:r>
        <w:rPr>
          <w:color w:val="132018"/>
          <w:sz w:val="21"/>
        </w:rPr>
        <w:t>Cited 2026 research: today's agents guess when a task is unclear (89% success with a clear task vs. 6.7% with a vague one) and get stuck repeating their own wrong assumptions in longer conversations.</w:t>
      </w:r>
    </w:p>
    <w:p>
      <w:pPr>
        <w:pStyle w:val="ListBullet"/>
        <w:spacing w:after="120"/>
      </w:pPr>
      <w:r>
        <w:rPr>
          <w:color w:val="132018"/>
          <w:sz w:val="21"/>
        </w:rPr>
        <w:t>Proposed a fix: a much smaller "sidecar" system that checks the model's actual reasoning, plus better real-time back-and-forth — "a meeting of the minds," not more autonomy.</w:t>
      </w:r>
    </w:p>
    <w:p>
      <w:pPr>
        <w:jc w:val="center"/>
      </w:pPr>
      <w:r>
        <w:drawing>
          <wp:inline xmlns:a="http://schemas.openxmlformats.org/drawingml/2006/main" xmlns:pic="http://schemas.openxmlformats.org/drawingml/2006/picture">
            <wp:extent cx="3657600" cy="4876800"/>
            <wp:docPr id="2" name="Picture 2"/>
            <wp:cNvGraphicFramePr>
              <a:graphicFrameLocks noChangeAspect="1"/>
            </wp:cNvGraphicFramePr>
            <a:graphic>
              <a:graphicData uri="http://schemas.openxmlformats.org/drawingml/2006/picture">
                <pic:pic>
                  <pic:nvPicPr>
                    <pic:cNvPr id="0" name="pioneer.jpg"/>
                    <pic:cNvPicPr/>
                  </pic:nvPicPr>
                  <pic:blipFill>
                    <a:blip r:embed="rId10"/>
                    <a:stretch>
                      <a:fillRect/>
                    </a:stretch>
                  </pic:blipFill>
                  <pic:spPr>
                    <a:xfrm>
                      <a:off x="0" y="0"/>
                      <a:ext cx="3657600" cy="4876800"/>
                    </a:xfrm>
                    <a:prstGeom prst="rect"/>
                  </pic:spPr>
                </pic:pic>
              </a:graphicData>
            </a:graphic>
          </wp:inline>
        </w:drawing>
      </w:r>
    </w:p>
    <w:p>
      <w:pPr>
        <w:spacing w:after="200"/>
        <w:jc w:val="center"/>
      </w:pPr>
      <w:r>
        <w:rPr>
          <w:i/>
          <w:color w:val="7C8B7F"/>
          <w:sz w:val="17"/>
        </w:rPr>
        <w:t>SRI's 1995 "Office Assistant" — presented as the direct ancestor of today's AI agents.</w:t>
      </w:r>
    </w:p>
    <w:p>
      <w:pPr>
        <w:shd w:val="clear" w:color="auto" w:fill="F1E8D4"/>
        <w:spacing w:before="120" w:after="120"/>
        <w:ind w:left="113"/>
      </w:pPr>
      <w:r>
        <w:rPr>
          <w:b/>
          <w:color w:val="6B5320"/>
          <w:sz w:val="17"/>
        </w:rPr>
        <w:t xml:space="preserve">VISION 2030 PILLAR(S): </w:t>
      </w:r>
      <w:r>
        <w:rPr>
          <w:color w:val="132018"/>
          <w:sz w:val="19"/>
        </w:rPr>
        <w:t>Future Ready</w:t>
      </w:r>
    </w:p>
    <w:p>
      <w:pPr>
        <w:spacing w:before="160" w:after="60"/>
      </w:pPr>
      <w:r>
        <w:rPr>
          <w:b/>
          <w:color w:val="3B5B7A"/>
          <w:sz w:val="18"/>
        </w:rPr>
        <w:t>INSIGHT</w:t>
      </w:r>
    </w:p>
    <w:p>
      <w:pPr>
        <w:spacing w:after="80"/>
      </w:pPr>
      <w:r>
        <w:rPr>
          <w:i/>
          <w:color w:val="48584D"/>
          <w:sz w:val="21"/>
        </w:rPr>
        <w:t>The pattern here suggests the industry conflated "more fluent" with "more capable." The deliberate constraints older assistants had — a defined belief state, a repair mechanism — weren't limitations to be discarded; they were the parts that made a system auditable. For a school evaluating an AI advising or chatbot tool, this means a fluent demo should never substitute for asking how the system handles an ambiguous or out-of-scope request. Losing that structure isn't progress on every dimension — for a student-facing tool, it's exactly the dimension that matters most when something goes wrong.</w:t>
      </w:r>
    </w:p>
    <w:p>
      <w:pPr>
        <w:spacing w:before="160" w:after="60"/>
      </w:pPr>
      <w:r>
        <w:rPr>
          <w:b/>
          <w:color w:val="0C5C3D"/>
          <w:sz w:val="18"/>
        </w:rPr>
        <w:t>TAKEAWAY</w:t>
      </w:r>
    </w:p>
    <w:p>
      <w:pPr>
        <w:shd w:val="clear" w:color="auto" w:fill="E6EFE4"/>
        <w:spacing w:before="40" w:after="200"/>
        <w:ind w:left="113"/>
      </w:pPr>
      <w:r>
        <w:rPr>
          <w:b/>
          <w:color w:val="08291A"/>
          <w:sz w:val="21"/>
        </w:rPr>
        <w:t>Fluency isn't the same as reliability. Before adopting any AI assistant for advising, admissions, or student services, Benilde should require vendors to show how the system escalates or refuses an out-of-scope request, not just how well it answers a scripted demo question. This is a Future Ready test: the tools worth trusting with real student interactions are the ones with a visible, checkable control layer, not simply the ones that sound the most impressive in a pitch. It is a habit worth building into procurement now, before a tool is already embedded in daily operations.</w:t>
      </w:r>
    </w:p>
    <w:p>
      <w:pPr>
        <w:spacing w:after="40"/>
      </w:pPr>
    </w:p>
    <w:p>
      <w:pPr>
        <w:pBdr>
          <w:bottom w:val="single" w:sz="6" w:space="1" w:color="DFE3DC"/>
        </w:pBdr>
      </w:pPr>
    </w:p>
    <w:p/>
    <w:p>
      <w:r>
        <w:rPr>
          <w:rFonts w:ascii="Avenir Next" w:hAnsi="Avenir Next"/>
          <w:b/>
          <w:color w:val="132018"/>
          <w:sz w:val="25"/>
        </w:rPr>
        <w:t>Agentic AI in Space: Traditional and Agentic AI Are Revolutionizing Space</w:t>
      </w:r>
    </w:p>
    <w:p>
      <w:pPr>
        <w:spacing w:after="40"/>
      </w:pPr>
      <w:r>
        <w:rPr>
          <w:i/>
          <w:color w:val="7C8B7F"/>
          <w:sz w:val="19"/>
        </w:rPr>
        <w:t>지구 밖의 자율 AI: 60개 위성이 스스로 생각하고 협력하는 법</w:t>
      </w:r>
    </w:p>
    <w:p>
      <w:pPr>
        <w:spacing w:after="80"/>
      </w:pPr>
      <w:r>
        <w:rPr>
          <w:i/>
          <w:color w:val="08291A"/>
          <w:sz w:val="19"/>
        </w:rPr>
        <w:t>Speaker name not captured on slide</w:t>
      </w:r>
    </w:p>
    <w:p>
      <w:pPr>
        <w:spacing w:before="160" w:after="60"/>
      </w:pPr>
      <w:r>
        <w:rPr>
          <w:b/>
          <w:color w:val="0C5C3D"/>
          <w:sz w:val="18"/>
        </w:rPr>
        <w:t>HIGHLIGHTS</w:t>
      </w:r>
    </w:p>
    <w:p>
      <w:pPr>
        <w:pStyle w:val="ListBullet"/>
        <w:spacing w:after="120"/>
      </w:pPr>
      <w:r>
        <w:rPr>
          <w:color w:val="132018"/>
          <w:sz w:val="21"/>
        </w:rPr>
        <w:t>Demoed a workflow that detects an event, automatically picks the right satellites to look at it, and tracks it — shown live with a simulated Mount Pinatubo eruption.</w:t>
      </w:r>
    </w:p>
    <w:p>
      <w:pPr>
        <w:pStyle w:val="ListBullet"/>
        <w:spacing w:after="120"/>
      </w:pPr>
      <w:r>
        <w:rPr>
          <w:color w:val="132018"/>
          <w:sz w:val="21"/>
        </w:rPr>
        <w:t>Framed the goal as "humans on the loop, not in the loop" — people set intent and check results; the system does the coordination.</w:t>
      </w:r>
    </w:p>
    <w:p>
      <w:pPr>
        <w:pStyle w:val="ListBullet"/>
        <w:spacing w:after="120"/>
      </w:pPr>
      <w:r>
        <w:rPr>
          <w:color w:val="132018"/>
          <w:sz w:val="21"/>
        </w:rPr>
        <w:t>Closed on AI that builds its own step-by-step plan from a goal, instead of engineers hand-building a plan for every new situation.</w:t>
      </w:r>
    </w:p>
    <w:p>
      <w:pPr>
        <w:shd w:val="clear" w:color="auto" w:fill="F1E8D4"/>
        <w:spacing w:before="120" w:after="120"/>
        <w:ind w:left="113"/>
      </w:pPr>
      <w:r>
        <w:rPr>
          <w:b/>
          <w:color w:val="6B5320"/>
          <w:sz w:val="17"/>
        </w:rPr>
        <w:t xml:space="preserve">VISION 2030 PILLAR(S): </w:t>
      </w:r>
      <w:r>
        <w:rPr>
          <w:color w:val="132018"/>
          <w:sz w:val="19"/>
        </w:rPr>
        <w:t>Future Ready</w:t>
      </w:r>
    </w:p>
    <w:p>
      <w:pPr>
        <w:spacing w:before="160" w:after="60"/>
      </w:pPr>
      <w:r>
        <w:rPr>
          <w:b/>
          <w:color w:val="3B5B7A"/>
          <w:sz w:val="18"/>
        </w:rPr>
        <w:t>INSIGHT</w:t>
      </w:r>
    </w:p>
    <w:p>
      <w:pPr>
        <w:spacing w:after="80"/>
      </w:pPr>
      <w:r>
        <w:rPr>
          <w:i/>
          <w:color w:val="48584D"/>
          <w:sz w:val="21"/>
        </w:rPr>
        <w:t>This model works because satellite tasking has cheap, reversible mistakes — a mis-pointed sensor just gets re-pointed — and a clear, measurable success condition. Those two conditions rarely hold in a school setting: a misrouted student inquiry or a wrongly flagged academic-integrity case is not something you simply re-task and try again. That is exactly the caveat the Physical AI panel raises later that evening, and it is why "humans on the loop" works beautifully for infrastructure monitoring but needs real modification before touching anything involving a student's record or wellbeing.</w:t>
      </w:r>
    </w:p>
    <w:p>
      <w:pPr>
        <w:spacing w:before="160" w:after="60"/>
      </w:pPr>
      <w:r>
        <w:rPr>
          <w:b/>
          <w:color w:val="0C5C3D"/>
          <w:sz w:val="18"/>
        </w:rPr>
        <w:t>TAKEAWAY</w:t>
      </w:r>
    </w:p>
    <w:p>
      <w:pPr>
        <w:shd w:val="clear" w:color="auto" w:fill="E6EFE4"/>
        <w:spacing w:before="40" w:after="200"/>
        <w:ind w:left="113"/>
      </w:pPr>
      <w:r>
        <w:rPr>
          <w:b/>
          <w:color w:val="08291A"/>
          <w:sz w:val="21"/>
        </w:rPr>
        <w:t>"Set the goal, check the result" is a clean, Future Ready pattern worth borrowing for coordinating multiple administrative systems at once — for example, syncing enrollment, financial aid, and registrar data through one AI-assisted workflow. Benilde should extend this pattern only to processes where a wrong output is genuinely cheap to catch and undo, not to anything touching a student's academic or financial standing.</w:t>
      </w:r>
    </w:p>
    <w:p>
      <w:pPr>
        <w:spacing w:after="40"/>
      </w:pPr>
    </w:p>
    <w:p>
      <w:pPr>
        <w:pBdr>
          <w:bottom w:val="single" w:sz="6" w:space="1" w:color="DFE3DC"/>
        </w:pBdr>
      </w:pPr>
    </w:p>
    <w:p/>
    <w:p>
      <w:r>
        <w:rPr>
          <w:rFonts w:ascii="Avenir Next" w:hAnsi="Avenir Next"/>
          <w:b/>
          <w:color w:val="132018"/>
          <w:sz w:val="25"/>
        </w:rPr>
        <w:t>Is AI Actually Helping Enterprise Productivity?</w:t>
      </w:r>
    </w:p>
    <w:p>
      <w:pPr>
        <w:spacing w:after="80"/>
      </w:pPr>
      <w:r>
        <w:rPr>
          <w:i/>
          <w:color w:val="08291A"/>
          <w:sz w:val="19"/>
        </w:rPr>
        <w:t>Featuring Prof. Kyungjong Lee — KB Kookmin Bank / KB Financial Group</w:t>
      </w:r>
    </w:p>
    <w:p>
      <w:pPr>
        <w:spacing w:before="160" w:after="60"/>
      </w:pPr>
      <w:r>
        <w:rPr>
          <w:b/>
          <w:color w:val="0C5C3D"/>
          <w:sz w:val="18"/>
        </w:rPr>
        <w:t>HIGHLIGHTS</w:t>
      </w:r>
    </w:p>
    <w:p>
      <w:pPr>
        <w:pStyle w:val="ListBullet"/>
        <w:spacing w:after="120"/>
      </w:pPr>
      <w:r>
        <w:rPr>
          <w:color w:val="132018"/>
          <w:sz w:val="21"/>
        </w:rPr>
        <w:t>Of executives running multiple AI projects, only 6% said the projects moved profit by more than 2% — 94% saw no measurable financial impact.</w:t>
      </w:r>
    </w:p>
    <w:p>
      <w:pPr>
        <w:pStyle w:val="ListBullet"/>
        <w:spacing w:after="120"/>
      </w:pPr>
      <w:r>
        <w:rPr>
          <w:color w:val="132018"/>
          <w:sz w:val="21"/>
        </w:rPr>
        <w:t>A Bank of Korea survey found 60-70% of Korean companies say they're adopting AI, but fewer than 10% report actual results.</w:t>
      </w:r>
    </w:p>
    <w:p>
      <w:pPr>
        <w:pStyle w:val="ListBullet"/>
        <w:spacing w:after="120"/>
      </w:pPr>
      <w:r>
        <w:rPr>
          <w:color w:val="132018"/>
          <w:sz w:val="21"/>
        </w:rPr>
        <w:t>Gartner data: over half of enterprise AI projects get cancelled at the pilot stage, before ever reaching real use.</w:t>
      </w:r>
    </w:p>
    <w:p>
      <w:pPr>
        <w:pStyle w:val="ListBullet"/>
        <w:spacing w:after="120"/>
      </w:pPr>
      <w:r>
        <w:rPr>
          <w:color w:val="132018"/>
          <w:sz w:val="21"/>
        </w:rPr>
        <w:t>KB Financial Group described its own path: its AI-agent platform started development in 2024, launched in April 2025, and is now scaling up.</w:t>
      </w:r>
    </w:p>
    <w:p>
      <w:pPr>
        <w:shd w:val="clear" w:color="auto" w:fill="F1E8D4"/>
        <w:spacing w:before="120" w:after="120"/>
        <w:ind w:left="113"/>
      </w:pPr>
      <w:r>
        <w:rPr>
          <w:b/>
          <w:color w:val="6B5320"/>
          <w:sz w:val="17"/>
        </w:rPr>
        <w:t xml:space="preserve">VISION 2030 PILLAR(S): </w:t>
      </w:r>
      <w:r>
        <w:rPr>
          <w:color w:val="132018"/>
          <w:sz w:val="19"/>
        </w:rPr>
        <w:t>Financial Growth | Future Ready</w:t>
      </w:r>
    </w:p>
    <w:p>
      <w:pPr>
        <w:spacing w:before="160" w:after="60"/>
      </w:pPr>
      <w:r>
        <w:rPr>
          <w:b/>
          <w:color w:val="3B5B7A"/>
          <w:sz w:val="18"/>
        </w:rPr>
        <w:t>INSIGHT</w:t>
      </w:r>
    </w:p>
    <w:p>
      <w:pPr>
        <w:spacing w:after="80"/>
      </w:pPr>
      <w:r>
        <w:rPr>
          <w:i/>
          <w:color w:val="48584D"/>
          <w:sz w:val="21"/>
        </w:rPr>
        <w:t>Three independent sources — Gartner, a national bank survey, and this speaker's own executive polling — landed on the same story: most organizations adopting AI cannot show it moved a real number. That is a useful gut-check for a school considering a large AI investment, since higher education faces the same incentive to announce adoption before proving impact. It should recalibrate how fast Benilde expects the Recruitment Chatbot or Advising Agent to show a measurable effect on enrollment, retention, or staff time — and argues for setting that expectation with the Board before launch, not after.</w:t>
      </w:r>
    </w:p>
    <w:p>
      <w:pPr>
        <w:spacing w:before="160" w:after="60"/>
      </w:pPr>
      <w:r>
        <w:rPr>
          <w:b/>
          <w:color w:val="0C5C3D"/>
          <w:sz w:val="18"/>
        </w:rPr>
        <w:t>TAKEAWAY</w:t>
      </w:r>
    </w:p>
    <w:p>
      <w:pPr>
        <w:shd w:val="clear" w:color="auto" w:fill="E6EFE4"/>
        <w:spacing w:before="40" w:after="200"/>
        <w:ind w:left="113"/>
      </w:pPr>
      <w:r>
        <w:rPr>
          <w:b/>
          <w:color w:val="08291A"/>
          <w:sz w:val="21"/>
        </w:rPr>
        <w:t>"Everyone's using AI" and "AI is actually working here" are different claims, and conflating them is how institutions over-commit budget on adoption numbers alone. Every Benilde AI pilot should report a specific operational metric — hours saved per advisor, response time per inquiry, retention lift per cohort — before it is considered for wider rollout. That is a Financial Growth and Future Ready discipline borrowed directly from this session's warning.</w:t>
      </w:r>
    </w:p>
    <w:p>
      <w:pPr>
        <w:spacing w:after="40"/>
      </w:pPr>
    </w:p>
    <w:p>
      <w:pPr>
        <w:pBdr>
          <w:bottom w:val="single" w:sz="6" w:space="1" w:color="DFE3DC"/>
        </w:pBdr>
      </w:pPr>
    </w:p>
    <w:p/>
    <w:p>
      <w:r>
        <w:rPr>
          <w:rFonts w:ascii="Avenir Next" w:hAnsi="Avenir Next"/>
          <w:b/>
          <w:color w:val="132018"/>
          <w:sz w:val="25"/>
        </w:rPr>
        <w:t>2026 Enterprise Agentic AX Technology Trends: Harness &amp; Loop Engineering</w:t>
      </w:r>
    </w:p>
    <w:p>
      <w:pPr>
        <w:spacing w:after="40"/>
      </w:pPr>
      <w:r>
        <w:rPr>
          <w:i/>
          <w:color w:val="7C8B7F"/>
          <w:sz w:val="19"/>
        </w:rPr>
        <w:t>2026 Enterprise Agentic AX 기술 트렌드 및 Harness &amp; Loop 엔지니어링 적용 사례 소개</w:t>
      </w:r>
    </w:p>
    <w:p>
      <w:pPr>
        <w:spacing w:after="80"/>
      </w:pPr>
      <w:r>
        <w:rPr>
          <w:i/>
          <w:color w:val="08291A"/>
          <w:sz w:val="19"/>
        </w:rPr>
        <w:t>Speaker name not captured on slide</w:t>
      </w:r>
    </w:p>
    <w:p>
      <w:pPr>
        <w:spacing w:before="160" w:after="60"/>
      </w:pPr>
      <w:r>
        <w:rPr>
          <w:b/>
          <w:color w:val="0C5C3D"/>
          <w:sz w:val="18"/>
        </w:rPr>
        <w:t>HIGHLIGHTS</w:t>
      </w:r>
    </w:p>
    <w:p>
      <w:pPr>
        <w:pStyle w:val="ListBullet"/>
        <w:spacing w:after="120"/>
      </w:pPr>
      <w:r>
        <w:rPr>
          <w:color w:val="132018"/>
          <w:sz w:val="21"/>
        </w:rPr>
        <w:t>Described a maturity ladder — casual chatbot use, then simple developer tools, then multi-tool platforms, then fully governed enterprise setups — the faster end of that ladder is also the hardest to control.</w:t>
      </w:r>
    </w:p>
    <w:p>
      <w:pPr>
        <w:pStyle w:val="ListBullet"/>
        <w:spacing w:after="120"/>
      </w:pPr>
      <w:r>
        <w:rPr>
          <w:color w:val="132018"/>
          <w:sz w:val="21"/>
        </w:rPr>
        <w:t>Explained "Loop Engineering": design a small loop — set a goal, let the agent try, have it check its own work, fix on failure, stop on success — with a human checking the bigger picture, not every step.</w:t>
      </w:r>
    </w:p>
    <w:p>
      <w:pPr>
        <w:pStyle w:val="ListBullet"/>
        <w:spacing w:after="120"/>
      </w:pPr>
      <w:r>
        <w:rPr>
          <w:color w:val="132018"/>
          <w:sz w:val="21"/>
        </w:rPr>
        <w:t>Covered tools that give AI agents working "memory" across conversations, which most systems still lack by default.</w:t>
      </w:r>
    </w:p>
    <w:p>
      <w:pPr>
        <w:pStyle w:val="ListBullet"/>
        <w:spacing w:after="120"/>
      </w:pPr>
      <w:r>
        <w:rPr>
          <w:color w:val="132018"/>
          <w:sz w:val="21"/>
        </w:rPr>
        <w:t>Closed on a striking fact: Anthropic, OpenAI, AWS, and Microsoft have together committed over $9 billion combined to embedding their own staff inside customers' AI rollouts.</w:t>
      </w:r>
    </w:p>
    <w:p>
      <w:pPr>
        <w:jc w:val="center"/>
      </w:pPr>
      <w:r>
        <w:drawing>
          <wp:inline xmlns:a="http://schemas.openxmlformats.org/drawingml/2006/main" xmlns:pic="http://schemas.openxmlformats.org/drawingml/2006/picture">
            <wp:extent cx="3657600" cy="4876800"/>
            <wp:docPr id="3" name="Picture 3"/>
            <wp:cNvGraphicFramePr>
              <a:graphicFrameLocks noChangeAspect="1"/>
            </wp:cNvGraphicFramePr>
            <a:graphic>
              <a:graphicData uri="http://schemas.openxmlformats.org/drawingml/2006/picture">
                <pic:pic>
                  <pic:nvPicPr>
                    <pic:cNvPr id="0" name="harness.jpg"/>
                    <pic:cNvPicPr/>
                  </pic:nvPicPr>
                  <pic:blipFill>
                    <a:blip r:embed="rId11"/>
                    <a:stretch>
                      <a:fillRect/>
                    </a:stretch>
                  </pic:blipFill>
                  <pic:spPr>
                    <a:xfrm>
                      <a:off x="0" y="0"/>
                      <a:ext cx="3657600" cy="4876800"/>
                    </a:xfrm>
                    <a:prstGeom prst="rect"/>
                  </pic:spPr>
                </pic:pic>
              </a:graphicData>
            </a:graphic>
          </wp:inline>
        </w:drawing>
      </w:r>
    </w:p>
    <w:p>
      <w:pPr>
        <w:spacing w:after="200"/>
        <w:jc w:val="center"/>
      </w:pPr>
      <w:r>
        <w:rPr>
          <w:i/>
          <w:color w:val="7C8B7F"/>
          <w:sz w:val="17"/>
        </w:rPr>
        <w:t>"Harness Engineering" — the missing layer between a weekend prototype and enterprise-grade AI.</w:t>
      </w:r>
    </w:p>
    <w:p>
      <w:pPr>
        <w:shd w:val="clear" w:color="auto" w:fill="F1E8D4"/>
        <w:spacing w:before="120" w:after="120"/>
        <w:ind w:left="113"/>
      </w:pPr>
      <w:r>
        <w:rPr>
          <w:b/>
          <w:color w:val="6B5320"/>
          <w:sz w:val="17"/>
        </w:rPr>
        <w:t xml:space="preserve">VISION 2030 PILLAR(S): </w:t>
      </w:r>
      <w:r>
        <w:rPr>
          <w:color w:val="132018"/>
          <w:sz w:val="19"/>
        </w:rPr>
        <w:t>Future Ready | Global Partnership Engagement</w:t>
      </w:r>
    </w:p>
    <w:p>
      <w:pPr>
        <w:spacing w:before="160" w:after="60"/>
      </w:pPr>
      <w:r>
        <w:rPr>
          <w:b/>
          <w:color w:val="3B5B7A"/>
          <w:sz w:val="18"/>
        </w:rPr>
        <w:t>INSIGHT</w:t>
      </w:r>
    </w:p>
    <w:p>
      <w:pPr>
        <w:spacing w:after="80"/>
      </w:pPr>
      <w:r>
        <w:rPr>
          <w:i/>
          <w:color w:val="48584D"/>
          <w:sz w:val="21"/>
        </w:rPr>
        <w:t>Four fierce competitors — Anthropic, OpenAI, AWS, and Microsoft — converging on the identical "embed our engineers with the customer" business model, at the same time, is a strong signal the model layer itself has commoditized. For a school evaluating vendors, the real differentiator in any AI contract is no longer "whose model is smartest" but "who will actually sit with our IT and CET teams to make this work." That shifts negotiating leverage: Benilde should expect deployment support bundled into any platform contract as standard, since every major vendor now positions it that way.</w:t>
      </w:r>
    </w:p>
    <w:p>
      <w:pPr>
        <w:spacing w:before="160" w:after="60"/>
      </w:pPr>
      <w:r>
        <w:rPr>
          <w:b/>
          <w:color w:val="0C5C3D"/>
          <w:sz w:val="18"/>
        </w:rPr>
        <w:t>TAKEAWAY</w:t>
      </w:r>
    </w:p>
    <w:p>
      <w:pPr>
        <w:shd w:val="clear" w:color="auto" w:fill="E6EFE4"/>
        <w:spacing w:before="40" w:after="200"/>
        <w:ind w:left="113"/>
      </w:pPr>
      <w:r>
        <w:rPr>
          <w:b/>
          <w:color w:val="08291A"/>
          <w:sz w:val="21"/>
        </w:rPr>
        <w:t>Every major AI vendor now sells hands-on deployment help, not just model access — a Global Partnership Engagement detail directly worth negotiating into Benilde's Phase 2 platform contract. It is also proof picking a model was never the hard part of an EdTech rollout; the real work is the governance, training, and integration layer around it, which is exactly what CET and the Digital Transformation Office are being asked to own.</w:t>
      </w:r>
    </w:p>
    <w:p>
      <w:pPr>
        <w:spacing w:after="40"/>
      </w:pPr>
    </w:p>
    <w:p>
      <w:pPr>
        <w:pBdr>
          <w:bottom w:val="single" w:sz="6" w:space="1" w:color="DFE3DC"/>
        </w:pBdr>
      </w:pPr>
    </w:p>
    <w:p/>
    <w:p>
      <w:r>
        <w:rPr>
          <w:rFonts w:ascii="Avenir Next" w:hAnsi="Avenir Next"/>
          <w:b/>
          <w:color w:val="132018"/>
          <w:sz w:val="25"/>
        </w:rPr>
        <w:t>The Agentic Data Stack: Speed and Simplicity for AI That Scales</w:t>
      </w:r>
    </w:p>
    <w:p>
      <w:pPr>
        <w:spacing w:after="80"/>
      </w:pPr>
      <w:r>
        <w:rPr>
          <w:i/>
          <w:color w:val="08291A"/>
          <w:sz w:val="19"/>
        </w:rPr>
        <w:t>ClickHouse</w:t>
      </w:r>
    </w:p>
    <w:p>
      <w:pPr>
        <w:spacing w:before="160" w:after="60"/>
      </w:pPr>
      <w:r>
        <w:rPr>
          <w:b/>
          <w:color w:val="0C5C3D"/>
          <w:sz w:val="18"/>
        </w:rPr>
        <w:t>HIGHLIGHTS</w:t>
      </w:r>
    </w:p>
    <w:p>
      <w:pPr>
        <w:pStyle w:val="ListBullet"/>
        <w:spacing w:after="120"/>
      </w:pPr>
      <w:r>
        <w:rPr>
          <w:color w:val="132018"/>
          <w:sz w:val="21"/>
        </w:rPr>
        <w:t>Walked through how AI queries databases changed over 2022-2025: from one predictable request per user, to an AI agent firing off many unpredictable requests at once.</w:t>
      </w:r>
    </w:p>
    <w:p>
      <w:pPr>
        <w:pStyle w:val="ListBullet"/>
        <w:spacing w:after="120"/>
      </w:pPr>
      <w:r>
        <w:rPr>
          <w:color w:val="132018"/>
          <w:sz w:val="21"/>
        </w:rPr>
        <w:t>Shared that OpenAI's daily log data is comparable to "500 Libraries of Congress a day," growing over 20% a month — and Anthropic credited this technology as instrumental in shipping Claude 4.</w:t>
      </w:r>
    </w:p>
    <w:p>
      <w:pPr>
        <w:jc w:val="center"/>
      </w:pPr>
      <w:r>
        <w:drawing>
          <wp:inline xmlns:a="http://schemas.openxmlformats.org/drawingml/2006/main" xmlns:pic="http://schemas.openxmlformats.org/drawingml/2006/picture">
            <wp:extent cx="3657600" cy="4876800"/>
            <wp:docPr id="4" name="Picture 4"/>
            <wp:cNvGraphicFramePr>
              <a:graphicFrameLocks noChangeAspect="1"/>
            </wp:cNvGraphicFramePr>
            <a:graphic>
              <a:graphicData uri="http://schemas.openxmlformats.org/drawingml/2006/picture">
                <pic:pic>
                  <pic:nvPicPr>
                    <pic:cNvPr id="0" name="clickhouse.jpg"/>
                    <pic:cNvPicPr/>
                  </pic:nvPicPr>
                  <pic:blipFill>
                    <a:blip r:embed="rId12"/>
                    <a:stretch>
                      <a:fillRect/>
                    </a:stretch>
                  </pic:blipFill>
                  <pic:spPr>
                    <a:xfrm>
                      <a:off x="0" y="0"/>
                      <a:ext cx="3657600" cy="4876800"/>
                    </a:xfrm>
                    <a:prstGeom prst="rect"/>
                  </pic:spPr>
                </pic:pic>
              </a:graphicData>
            </a:graphic>
          </wp:inline>
        </w:drawing>
      </w:r>
    </w:p>
    <w:p>
      <w:pPr>
        <w:spacing w:after="200"/>
        <w:jc w:val="center"/>
      </w:pPr>
      <w:r>
        <w:rPr>
          <w:i/>
          <w:color w:val="7C8B7F"/>
          <w:sz w:val="17"/>
        </w:rPr>
        <w:t>ClickHouse's closing slide, citing its use inside OpenAI's and Anthropic's own systems.</w:t>
      </w:r>
    </w:p>
    <w:p>
      <w:pPr>
        <w:shd w:val="clear" w:color="auto" w:fill="F1E8D4"/>
        <w:spacing w:before="120" w:after="120"/>
        <w:ind w:left="113"/>
      </w:pPr>
      <w:r>
        <w:rPr>
          <w:b/>
          <w:color w:val="6B5320"/>
          <w:sz w:val="17"/>
        </w:rPr>
        <w:t xml:space="preserve">VISION 2030 PILLAR(S): </w:t>
      </w:r>
      <w:r>
        <w:rPr>
          <w:color w:val="132018"/>
          <w:sz w:val="19"/>
        </w:rPr>
        <w:t>Future Ready</w:t>
      </w:r>
    </w:p>
    <w:p>
      <w:pPr>
        <w:spacing w:before="160" w:after="60"/>
      </w:pPr>
      <w:r>
        <w:rPr>
          <w:b/>
          <w:color w:val="3B5B7A"/>
          <w:sz w:val="18"/>
        </w:rPr>
        <w:t>INSIGHT</w:t>
      </w:r>
    </w:p>
    <w:p>
      <w:pPr>
        <w:spacing w:after="80"/>
      </w:pPr>
      <w:r>
        <w:rPr>
          <w:i/>
          <w:color w:val="48584D"/>
          <w:sz w:val="21"/>
        </w:rPr>
        <w:t>This shift — from one predictable query per user to an agent firing off many unpredictable queries at once — is a capacity-planning cost most organizations, schools included, haven't priced into their infrastructure budgets. A single Advising Agent or chatbot serving hundreds of students concurrently can generate a query load an ordinary student-information database was never designed for. That hidden cost surfaces only once a pilot scales past its demo, which is exactly the surprise Benilde's IT team should stress-test for before a college-wide rollout, not after.</w:t>
      </w:r>
    </w:p>
    <w:p>
      <w:pPr>
        <w:spacing w:before="160" w:after="60"/>
      </w:pPr>
      <w:r>
        <w:rPr>
          <w:b/>
          <w:color w:val="0C5C3D"/>
          <w:sz w:val="18"/>
        </w:rPr>
        <w:t>TAKEAWAY</w:t>
      </w:r>
    </w:p>
    <w:p>
      <w:pPr>
        <w:shd w:val="clear" w:color="auto" w:fill="E6EFE4"/>
        <w:spacing w:before="40" w:after="200"/>
        <w:ind w:left="113"/>
      </w:pPr>
      <w:r>
        <w:rPr>
          <w:b/>
          <w:color w:val="08291A"/>
          <w:sz w:val="21"/>
        </w:rPr>
        <w:t>AI agents need a database built for many unpredictable requests at once, not the steady, scheduled pattern most student information systems assume. This is a Future Ready requirement IT should validate — specifically, whether Benilde's data warehouse can handle concurrent agentic queries — before any platform decision is finalized in Phase 2.</w:t>
      </w:r>
    </w:p>
    <w:p>
      <w:pPr>
        <w:spacing w:after="40"/>
      </w:pPr>
    </w:p>
    <w:p>
      <w:pPr>
        <w:pBdr>
          <w:bottom w:val="single" w:sz="6" w:space="1" w:color="DFE3DC"/>
        </w:pBdr>
      </w:pPr>
    </w:p>
    <w:p/>
    <w:p>
      <w:r>
        <w:rPr>
          <w:rFonts w:ascii="Avenir Next" w:hAnsi="Avenir Next"/>
          <w:b/>
          <w:color w:val="132018"/>
          <w:sz w:val="25"/>
        </w:rPr>
        <w:t>From Models to Reality: What It Takes to Run AI Reliably at Scale</w:t>
      </w:r>
    </w:p>
    <w:p>
      <w:pPr>
        <w:spacing w:after="40"/>
      </w:pPr>
      <w:r>
        <w:rPr>
          <w:i/>
          <w:color w:val="7C8B7F"/>
          <w:sz w:val="19"/>
        </w:rPr>
        <w:t>모델에서 현실까지: 대규모 AI를 안정적으로 운영하기 위한 조건</w:t>
      </w:r>
    </w:p>
    <w:p>
      <w:pPr>
        <w:spacing w:after="80"/>
      </w:pPr>
      <w:r>
        <w:rPr>
          <w:i/>
          <w:color w:val="08291A"/>
          <w:sz w:val="19"/>
        </w:rPr>
        <w:t>Colin Presly — VP, Customer Engineering, Seagate Technology</w:t>
      </w:r>
    </w:p>
    <w:p>
      <w:pPr>
        <w:spacing w:before="160" w:after="60"/>
      </w:pPr>
      <w:r>
        <w:rPr>
          <w:b/>
          <w:color w:val="0C5C3D"/>
          <w:sz w:val="18"/>
        </w:rPr>
        <w:t>HIGHLIGHTS</w:t>
      </w:r>
    </w:p>
    <w:p>
      <w:pPr>
        <w:pStyle w:val="ListBullet"/>
        <w:spacing w:after="120"/>
      </w:pPr>
      <w:r>
        <w:rPr>
          <w:color w:val="132018"/>
          <w:sz w:val="21"/>
        </w:rPr>
        <w:t>Described three stages most companies pass through: can we build something useful, can we run it in production, does it create lasting value. Most are still stuck between the first two.</w:t>
      </w:r>
    </w:p>
    <w:p>
      <w:pPr>
        <w:pStyle w:val="ListBullet"/>
        <w:spacing w:after="120"/>
      </w:pPr>
      <w:r>
        <w:rPr>
          <w:color w:val="132018"/>
          <w:sz w:val="21"/>
        </w:rPr>
        <w:t>Cited data-growth estimates: under 1 zettabyte existed in 2005, 72 in 2020, and a projected 527 by 2029 — with AI training and daily use creating two different, both-growing kinds of demand.</w:t>
      </w:r>
    </w:p>
    <w:p>
      <w:pPr>
        <w:pStyle w:val="ListBullet"/>
        <w:spacing w:after="120"/>
      </w:pPr>
      <w:r>
        <w:rPr>
          <w:color w:val="132018"/>
          <w:sz w:val="21"/>
        </w:rPr>
        <w:t>Noted 85-95% of all AI data ultimately rests on ordinary hard drives, making basic storage density and cost a real lever on AI's overall cost and footprint.</w:t>
      </w:r>
    </w:p>
    <w:p>
      <w:pPr>
        <w:jc w:val="center"/>
      </w:pPr>
      <w:r>
        <w:drawing>
          <wp:inline xmlns:a="http://schemas.openxmlformats.org/drawingml/2006/main" xmlns:pic="http://schemas.openxmlformats.org/drawingml/2006/picture">
            <wp:extent cx="3657600" cy="4876800"/>
            <wp:docPr id="5" name="Picture 5"/>
            <wp:cNvGraphicFramePr>
              <a:graphicFrameLocks noChangeAspect="1"/>
            </wp:cNvGraphicFramePr>
            <a:graphic>
              <a:graphicData uri="http://schemas.openxmlformats.org/drawingml/2006/picture">
                <pic:pic>
                  <pic:nvPicPr>
                    <pic:cNvPr id="0" name="seagate.jpg"/>
                    <pic:cNvPicPr/>
                  </pic:nvPicPr>
                  <pic:blipFill>
                    <a:blip r:embed="rId13"/>
                    <a:stretch>
                      <a:fillRect/>
                    </a:stretch>
                  </pic:blipFill>
                  <pic:spPr>
                    <a:xfrm>
                      <a:off x="0" y="0"/>
                      <a:ext cx="3657600" cy="4876800"/>
                    </a:xfrm>
                    <a:prstGeom prst="rect"/>
                  </pic:spPr>
                </pic:pic>
              </a:graphicData>
            </a:graphic>
          </wp:inline>
        </w:drawing>
      </w:r>
    </w:p>
    <w:p>
      <w:pPr>
        <w:spacing w:after="200"/>
        <w:jc w:val="center"/>
      </w:pPr>
      <w:r>
        <w:rPr>
          <w:i/>
          <w:color w:val="7C8B7F"/>
          <w:sz w:val="17"/>
        </w:rPr>
        <w:t>Seagate's closing point: AI made the underlying data itself the scarce, valuable asset.</w:t>
      </w:r>
    </w:p>
    <w:p>
      <w:pPr>
        <w:shd w:val="clear" w:color="auto" w:fill="F1E8D4"/>
        <w:spacing w:before="120" w:after="120"/>
        <w:ind w:left="113"/>
      </w:pPr>
      <w:r>
        <w:rPr>
          <w:b/>
          <w:color w:val="6B5320"/>
          <w:sz w:val="17"/>
        </w:rPr>
        <w:t xml:space="preserve">VISION 2030 PILLAR(S): </w:t>
      </w:r>
      <w:r>
        <w:rPr>
          <w:color w:val="132018"/>
          <w:sz w:val="19"/>
        </w:rPr>
        <w:t>Financial Growth | Future Ready</w:t>
      </w:r>
    </w:p>
    <w:p>
      <w:pPr>
        <w:spacing w:before="160" w:after="60"/>
      </w:pPr>
      <w:r>
        <w:rPr>
          <w:b/>
          <w:color w:val="3B5B7A"/>
          <w:sz w:val="18"/>
        </w:rPr>
        <w:t>INSIGHT</w:t>
      </w:r>
    </w:p>
    <w:p>
      <w:pPr>
        <w:spacing w:after="80"/>
      </w:pPr>
      <w:r>
        <w:rPr>
          <w:i/>
          <w:color w:val="48584D"/>
          <w:sz w:val="21"/>
        </w:rPr>
        <w:t>Framing data as "the most valuable asset" is self-serving coming from a storage vendor, but the underlying number is a useful corrective for any institution. AI cost conversations in education tend to fixate on which subscription tier to buy, when the more durable cost driver is where student and institutional data actually lives and how long it is retained. For Benilde, the true long-term cost of any AI initiative includes data storage, retention policy, and archival planning, not just the software license.</w:t>
      </w:r>
    </w:p>
    <w:p>
      <w:pPr>
        <w:spacing w:before="160" w:after="60"/>
      </w:pPr>
      <w:r>
        <w:rPr>
          <w:b/>
          <w:color w:val="0C5C3D"/>
          <w:sz w:val="18"/>
        </w:rPr>
        <w:t>TAKEAWAY</w:t>
      </w:r>
    </w:p>
    <w:p>
      <w:pPr>
        <w:shd w:val="clear" w:color="auto" w:fill="E6EFE4"/>
        <w:spacing w:before="40" w:after="200"/>
        <w:ind w:left="113"/>
      </w:pPr>
      <w:r>
        <w:rPr>
          <w:b/>
          <w:color w:val="08291A"/>
          <w:sz w:val="21"/>
        </w:rPr>
        <w:t>Every AI conversation eventually becomes a data-storage-and-governance conversation. Before approving further AI budget, Finance and IT should jointly confirm where Benilde's growing volume of student interaction data will actually live, and at what cost — a Financial Growth and Future Ready question easy to overlook until the bill arrives.</w:t>
      </w:r>
    </w:p>
    <w:p>
      <w:pPr>
        <w:spacing w:after="40"/>
      </w:pPr>
    </w:p>
    <w:p>
      <w:pPr>
        <w:pBdr>
          <w:bottom w:val="single" w:sz="6" w:space="1" w:color="DFE3DC"/>
        </w:pBdr>
      </w:pPr>
    </w:p>
    <w:p/>
    <w:p>
      <w:r>
        <w:rPr>
          <w:rFonts w:ascii="Avenir Next" w:hAnsi="Avenir Next"/>
          <w:b/>
          <w:color w:val="132018"/>
          <w:sz w:val="25"/>
        </w:rPr>
        <w:t>How AI Is Redefining the Future of Work</w:t>
      </w:r>
    </w:p>
    <w:p>
      <w:pPr>
        <w:spacing w:after="40"/>
      </w:pPr>
      <w:r>
        <w:rPr>
          <w:i/>
          <w:color w:val="7C8B7F"/>
          <w:sz w:val="19"/>
        </w:rPr>
        <w:t>AI가 바꾸는 일의 미래</w:t>
      </w:r>
    </w:p>
    <w:p>
      <w:pPr>
        <w:spacing w:after="80"/>
      </w:pPr>
      <w:r>
        <w:rPr>
          <w:i/>
          <w:color w:val="08291A"/>
          <w:sz w:val="19"/>
        </w:rPr>
        <w:t>Speaker name not captured on slide</w:t>
      </w:r>
    </w:p>
    <w:p>
      <w:pPr>
        <w:spacing w:before="160" w:after="60"/>
      </w:pPr>
      <w:r>
        <w:rPr>
          <w:b/>
          <w:color w:val="0C5C3D"/>
          <w:sz w:val="18"/>
        </w:rPr>
        <w:t>HIGHLIGHTS</w:t>
      </w:r>
    </w:p>
    <w:p>
      <w:pPr>
        <w:pStyle w:val="ListBullet"/>
        <w:spacing w:after="120"/>
      </w:pPr>
      <w:r>
        <w:rPr>
          <w:color w:val="132018"/>
          <w:sz w:val="21"/>
        </w:rPr>
        <w:t>Roughly 30% of the global office workforce is now Gen Z, a group with notably higher entrepreneurial and side-project instincts than earlier generations.</w:t>
      </w:r>
    </w:p>
    <w:p>
      <w:pPr>
        <w:pStyle w:val="ListBullet"/>
        <w:spacing w:after="120"/>
      </w:pPr>
      <w:r>
        <w:rPr>
          <w:color w:val="132018"/>
          <w:sz w:val="21"/>
        </w:rPr>
        <w:t>Noted a Korea-specific detail: mandatory military service and long job-hunting periods push back the age Korean Gen Z workers start full-time roles, versus other countries.</w:t>
      </w:r>
    </w:p>
    <w:p>
      <w:pPr>
        <w:jc w:val="center"/>
      </w:pPr>
      <w:r>
        <w:drawing>
          <wp:inline xmlns:a="http://schemas.openxmlformats.org/drawingml/2006/main" xmlns:pic="http://schemas.openxmlformats.org/drawingml/2006/picture">
            <wp:extent cx="3657600" cy="4876800"/>
            <wp:docPr id="6" name="Picture 6"/>
            <wp:cNvGraphicFramePr>
              <a:graphicFrameLocks noChangeAspect="1"/>
            </wp:cNvGraphicFramePr>
            <a:graphic>
              <a:graphicData uri="http://schemas.openxmlformats.org/drawingml/2006/picture">
                <pic:pic>
                  <pic:nvPicPr>
                    <pic:cNvPr id="0" name="genz.jpg"/>
                    <pic:cNvPicPr/>
                  </pic:nvPicPr>
                  <pic:blipFill>
                    <a:blip r:embed="rId14"/>
                    <a:stretch>
                      <a:fillRect/>
                    </a:stretch>
                  </pic:blipFill>
                  <pic:spPr>
                    <a:xfrm>
                      <a:off x="0" y="0"/>
                      <a:ext cx="3657600" cy="4876800"/>
                    </a:xfrm>
                    <a:prstGeom prst="rect"/>
                  </pic:spPr>
                </pic:pic>
              </a:graphicData>
            </a:graphic>
          </wp:inline>
        </w:drawing>
      </w:r>
    </w:p>
    <w:p>
      <w:pPr>
        <w:spacing w:after="200"/>
        <w:jc w:val="center"/>
      </w:pPr>
      <w:r>
        <w:rPr>
          <w:i/>
          <w:color w:val="7C8B7F"/>
          <w:sz w:val="17"/>
        </w:rPr>
        <w:t>Workforce-composition framing for why AI-native habits are arriving from the entry level up.</w:t>
      </w:r>
    </w:p>
    <w:p>
      <w:pPr>
        <w:shd w:val="clear" w:color="auto" w:fill="F1E8D4"/>
        <w:spacing w:before="120" w:after="120"/>
        <w:ind w:left="113"/>
      </w:pPr>
      <w:r>
        <w:rPr>
          <w:b/>
          <w:color w:val="6B5320"/>
          <w:sz w:val="17"/>
        </w:rPr>
        <w:t xml:space="preserve">VISION 2030 PILLAR(S): </w:t>
      </w:r>
      <w:r>
        <w:rPr>
          <w:color w:val="132018"/>
          <w:sz w:val="19"/>
        </w:rPr>
        <w:t>Enrollment Growth | Future Ready</w:t>
      </w:r>
    </w:p>
    <w:p>
      <w:pPr>
        <w:spacing w:before="160" w:after="60"/>
      </w:pPr>
      <w:r>
        <w:rPr>
          <w:b/>
          <w:color w:val="3B5B7A"/>
          <w:sz w:val="18"/>
        </w:rPr>
        <w:t>INSIGHT</w:t>
      </w:r>
    </w:p>
    <w:p>
      <w:pPr>
        <w:spacing w:after="80"/>
      </w:pPr>
      <w:r>
        <w:rPr>
          <w:i/>
          <w:color w:val="48584D"/>
          <w:sz w:val="21"/>
        </w:rPr>
        <w:t>This is really a governance-mismatch warning dressed up as a workforce statistic: policies written by and for senior leadership may regulate the group least likely to be driving day-to-day AI usage. In a school, that group is not the newest hires; it is the students themselves, already Gen Z and already AI-native before they enroll. Any AI policy Benilde writes for faculty and staff should assume the incoming student body has already formed AI habits well before arriving on campus, and design onboarding accordingly rather than starting from zero.</w:t>
      </w:r>
    </w:p>
    <w:p>
      <w:pPr>
        <w:spacing w:before="160" w:after="60"/>
      </w:pPr>
      <w:r>
        <w:rPr>
          <w:b/>
          <w:color w:val="0C5C3D"/>
          <w:sz w:val="18"/>
        </w:rPr>
        <w:t>TAKEAWAY</w:t>
      </w:r>
    </w:p>
    <w:p>
      <w:pPr>
        <w:shd w:val="clear" w:color="auto" w:fill="E6EFE4"/>
        <w:spacing w:before="40" w:after="200"/>
        <w:ind w:left="113"/>
      </w:pPr>
      <w:r>
        <w:rPr>
          <w:b/>
          <w:color w:val="08291A"/>
          <w:sz w:val="21"/>
        </w:rPr>
        <w:t>AI habits form fastest at the newest, least senior level of any organization; for Benilde, that is simultaneously the incoming workforce and the incoming Enrollment Growth student body. Training built only around faculty and senior staff will miss where AI fluency is actually strongest on campus, a Future Ready gap worth closing with student-facing AI literacy programming, not just faculty workshops.</w:t>
      </w:r>
    </w:p>
    <w:p>
      <w:pPr>
        <w:spacing w:after="40"/>
      </w:pPr>
    </w:p>
    <w:p>
      <w:pPr>
        <w:pBdr>
          <w:bottom w:val="single" w:sz="6" w:space="1" w:color="DFE3DC"/>
        </w:pBdr>
      </w:pPr>
    </w:p>
    <w:p/>
    <w:p>
      <w:r>
        <w:rPr>
          <w:rFonts w:ascii="Avenir Next" w:hAnsi="Avenir Next"/>
          <w:b/>
          <w:color w:val="132018"/>
          <w:sz w:val="25"/>
        </w:rPr>
        <w:t>Building as a Creative Act: An Innovator's Mindset for the AI Age</w:t>
      </w:r>
    </w:p>
    <w:p>
      <w:pPr>
        <w:spacing w:after="40"/>
      </w:pPr>
      <w:r>
        <w:rPr>
          <w:i/>
          <w:color w:val="7C8B7F"/>
          <w:sz w:val="19"/>
        </w:rPr>
        <w:t>AI 시대의 혁신가의 마인드셋</w:t>
      </w:r>
    </w:p>
    <w:p>
      <w:pPr>
        <w:spacing w:after="80"/>
      </w:pPr>
      <w:r>
        <w:rPr>
          <w:i/>
          <w:color w:val="08291A"/>
          <w:sz w:val="19"/>
        </w:rPr>
        <w:t>Savannah Kunovsky — Managing Director, IDEO AI MTechLab</w:t>
      </w:r>
    </w:p>
    <w:p>
      <w:pPr>
        <w:spacing w:before="160" w:after="60"/>
      </w:pPr>
      <w:r>
        <w:rPr>
          <w:b/>
          <w:color w:val="0C5C3D"/>
          <w:sz w:val="18"/>
        </w:rPr>
        <w:t>HIGHLIGHTS</w:t>
      </w:r>
    </w:p>
    <w:p>
      <w:pPr>
        <w:pStyle w:val="ListBullet"/>
        <w:spacing w:after="120"/>
      </w:pPr>
      <w:r>
        <w:rPr>
          <w:color w:val="132018"/>
          <w:sz w:val="21"/>
        </w:rPr>
        <w:t>Opening keynote of the afternoon, framed as "the innovator's mindset in the age of AI" from IDEO's AI-focused lab.</w:t>
      </w:r>
    </w:p>
    <w:p>
      <w:pPr>
        <w:pStyle w:val="ListBullet"/>
        <w:spacing w:after="120"/>
      </w:pPr>
      <w:r>
        <w:rPr>
          <w:color w:val="132018"/>
          <w:sz w:val="21"/>
        </w:rPr>
        <w:t>Its framing of embodiment was picked up directly, by name, later that same day in the Physical AI panel.</w:t>
      </w:r>
    </w:p>
    <w:p>
      <w:pPr>
        <w:jc w:val="center"/>
      </w:pPr>
      <w:r>
        <w:drawing>
          <wp:inline xmlns:a="http://schemas.openxmlformats.org/drawingml/2006/main" xmlns:pic="http://schemas.openxmlformats.org/drawingml/2006/picture">
            <wp:extent cx="3657600" cy="4876800"/>
            <wp:docPr id="7" name="Picture 7"/>
            <wp:cNvGraphicFramePr>
              <a:graphicFrameLocks noChangeAspect="1"/>
            </wp:cNvGraphicFramePr>
            <a:graphic>
              <a:graphicData uri="http://schemas.openxmlformats.org/drawingml/2006/picture">
                <pic:pic>
                  <pic:nvPicPr>
                    <pic:cNvPr id="0" name="kunovsky.jpg"/>
                    <pic:cNvPicPr/>
                  </pic:nvPicPr>
                  <pic:blipFill>
                    <a:blip r:embed="rId15"/>
                    <a:stretch>
                      <a:fillRect/>
                    </a:stretch>
                  </pic:blipFill>
                  <pic:spPr>
                    <a:xfrm>
                      <a:off x="0" y="0"/>
                      <a:ext cx="3657600" cy="4876800"/>
                    </a:xfrm>
                    <a:prstGeom prst="rect"/>
                  </pic:spPr>
                </pic:pic>
              </a:graphicData>
            </a:graphic>
          </wp:inline>
        </w:drawing>
      </w:r>
    </w:p>
    <w:p>
      <w:pPr>
        <w:spacing w:after="200"/>
        <w:jc w:val="center"/>
      </w:pPr>
      <w:r>
        <w:rPr>
          <w:i/>
          <w:color w:val="7C8B7F"/>
          <w:sz w:val="17"/>
        </w:rPr>
        <w:t>Introduction slide for the IDEO AI MTechLab keynote.</w:t>
      </w:r>
    </w:p>
    <w:p>
      <w:pPr>
        <w:shd w:val="clear" w:color="auto" w:fill="F1E8D4"/>
        <w:spacing w:before="120" w:after="120"/>
        <w:ind w:left="113"/>
      </w:pPr>
      <w:r>
        <w:rPr>
          <w:b/>
          <w:color w:val="6B5320"/>
          <w:sz w:val="17"/>
        </w:rPr>
        <w:t xml:space="preserve">VISION 2030 PILLAR(S): </w:t>
      </w:r>
      <w:r>
        <w:rPr>
          <w:color w:val="132018"/>
          <w:sz w:val="19"/>
        </w:rPr>
        <w:t>Future Ready</w:t>
      </w:r>
    </w:p>
    <w:p>
      <w:pPr>
        <w:spacing w:before="160" w:after="60"/>
      </w:pPr>
      <w:r>
        <w:rPr>
          <w:b/>
          <w:color w:val="3B5B7A"/>
          <w:sz w:val="18"/>
        </w:rPr>
        <w:t>INSIGHT</w:t>
      </w:r>
    </w:p>
    <w:p>
      <w:pPr>
        <w:spacing w:after="80"/>
      </w:pPr>
      <w:r>
        <w:rPr>
          <w:i/>
          <w:color w:val="48584D"/>
          <w:sz w:val="21"/>
        </w:rPr>
        <w:t>Keynotes that introduce one reusable concept function as shared vocabulary for the rest of an event, and watching which framing gets picked up by unrelated later sessions is a useful signal for what a field is actually converging on. "Embodiment" turned out to be exactly that kind of concept, resurfacing directly in the Physical AI panel hours later. For a school, embodiment is a useful frame for thinking about where AI moves beyond chat-based tools into anything with a physical or high-stakes real-world consequence, such as campus access systems, labs, or design studios.</w:t>
      </w:r>
    </w:p>
    <w:p>
      <w:pPr>
        <w:spacing w:before="160" w:after="60"/>
      </w:pPr>
      <w:r>
        <w:rPr>
          <w:b/>
          <w:color w:val="0C5C3D"/>
          <w:sz w:val="18"/>
        </w:rPr>
        <w:t>TAKEAWAY</w:t>
      </w:r>
    </w:p>
    <w:p>
      <w:pPr>
        <w:shd w:val="clear" w:color="auto" w:fill="E6EFE4"/>
        <w:spacing w:before="40" w:after="200"/>
        <w:ind w:left="113"/>
      </w:pPr>
      <w:r>
        <w:rPr>
          <w:b/>
          <w:color w:val="08291A"/>
          <w:sz w:val="21"/>
        </w:rPr>
        <w:t>"Embodiment" — intelligence that has to act in, and be checked against, the physical world — became this summit's connective thread. It is a Future Ready concept Benilde should track as AI moves from classroom chat tools into anything touching physical campus operations, safety systems, or hands-on creative practice in design and multimedia programs.</w:t>
      </w:r>
    </w:p>
    <w:p>
      <w:pPr>
        <w:spacing w:after="40"/>
      </w:pPr>
    </w:p>
    <w:p>
      <w:pPr>
        <w:pBdr>
          <w:bottom w:val="single" w:sz="6" w:space="1" w:color="DFE3DC"/>
        </w:pBdr>
      </w:pPr>
    </w:p>
    <w:p/>
    <w:p>
      <w:r>
        <w:rPr>
          <w:rFonts w:ascii="Avenir Next" w:hAnsi="Avenir Next"/>
          <w:b/>
          <w:color w:val="132018"/>
          <w:sz w:val="25"/>
        </w:rPr>
        <w:t>Beyond Better Models: What Will Define the Next Era of AI?</w:t>
      </w:r>
    </w:p>
    <w:p>
      <w:pPr>
        <w:spacing w:after="40"/>
      </w:pPr>
      <w:r>
        <w:rPr>
          <w:i/>
          <w:color w:val="7C8B7F"/>
          <w:sz w:val="19"/>
        </w:rPr>
        <w:t>AI 에이전트의 미래: 더 나은 모델이 아니라 더 나은 워크플로우</w:t>
      </w:r>
    </w:p>
    <w:p>
      <w:pPr>
        <w:spacing w:after="80"/>
      </w:pPr>
      <w:r>
        <w:rPr>
          <w:i/>
          <w:color w:val="08291A"/>
          <w:sz w:val="19"/>
        </w:rPr>
        <w:t>Genspark</w:t>
      </w:r>
    </w:p>
    <w:p>
      <w:pPr>
        <w:spacing w:before="160" w:after="60"/>
      </w:pPr>
      <w:r>
        <w:rPr>
          <w:b/>
          <w:color w:val="0C5C3D"/>
          <w:sz w:val="18"/>
        </w:rPr>
        <w:t>HIGHLIGHTS</w:t>
      </w:r>
    </w:p>
    <w:p>
      <w:pPr>
        <w:pStyle w:val="ListBullet"/>
        <w:spacing w:after="120"/>
      </w:pPr>
      <w:r>
        <w:rPr>
          <w:color w:val="132018"/>
          <w:sz w:val="21"/>
        </w:rPr>
        <w:t>Shared growth numbers as evidence: $250M in yearly revenue within 12 months from zero, $645M raised at a $2.6B valuation, over 7,000 paying business customers.</w:t>
      </w:r>
    </w:p>
    <w:p>
      <w:pPr>
        <w:pStyle w:val="ListBullet"/>
        <w:spacing w:after="120"/>
      </w:pPr>
      <w:r>
        <w:rPr>
          <w:color w:val="132018"/>
          <w:sz w:val="21"/>
        </w:rPr>
        <w:t>Core message: "better models will keep shipping — the breakthrough is context." Described a "second brain" layer that follows a person across apps.</w:t>
      </w:r>
    </w:p>
    <w:p>
      <w:pPr>
        <w:jc w:val="center"/>
      </w:pPr>
      <w:r>
        <w:drawing>
          <wp:inline xmlns:a="http://schemas.openxmlformats.org/drawingml/2006/main" xmlns:pic="http://schemas.openxmlformats.org/drawingml/2006/picture">
            <wp:extent cx="3657600" cy="4876800"/>
            <wp:docPr id="8" name="Picture 8"/>
            <wp:cNvGraphicFramePr>
              <a:graphicFrameLocks noChangeAspect="1"/>
            </wp:cNvGraphicFramePr>
            <a:graphic>
              <a:graphicData uri="http://schemas.openxmlformats.org/drawingml/2006/picture">
                <pic:pic>
                  <pic:nvPicPr>
                    <pic:cNvPr id="0" name="genspark.jpg"/>
                    <pic:cNvPicPr/>
                  </pic:nvPicPr>
                  <pic:blipFill>
                    <a:blip r:embed="rId16"/>
                    <a:stretch>
                      <a:fillRect/>
                    </a:stretch>
                  </pic:blipFill>
                  <pic:spPr>
                    <a:xfrm>
                      <a:off x="0" y="0"/>
                      <a:ext cx="3657600" cy="4876800"/>
                    </a:xfrm>
                    <a:prstGeom prst="rect"/>
                  </pic:spPr>
                </pic:pic>
              </a:graphicData>
            </a:graphic>
          </wp:inline>
        </w:drawing>
      </w:r>
    </w:p>
    <w:p>
      <w:pPr>
        <w:spacing w:after="200"/>
        <w:jc w:val="center"/>
      </w:pPr>
      <w:r>
        <w:rPr>
          <w:i/>
          <w:color w:val="7C8B7F"/>
          <w:sz w:val="17"/>
        </w:rPr>
        <w:t>Genspark's growth numbers, offered as evidence for its "context, not bigger models" argument.</w:t>
      </w:r>
    </w:p>
    <w:p>
      <w:pPr>
        <w:shd w:val="clear" w:color="auto" w:fill="F1E8D4"/>
        <w:spacing w:before="120" w:after="120"/>
        <w:ind w:left="113"/>
      </w:pPr>
      <w:r>
        <w:rPr>
          <w:b/>
          <w:color w:val="6B5320"/>
          <w:sz w:val="17"/>
        </w:rPr>
        <w:t xml:space="preserve">VISION 2030 PILLAR(S): </w:t>
      </w:r>
      <w:r>
        <w:rPr>
          <w:color w:val="132018"/>
          <w:sz w:val="19"/>
        </w:rPr>
        <w:t>Future Ready</w:t>
      </w:r>
    </w:p>
    <w:p>
      <w:pPr>
        <w:spacing w:before="160" w:after="60"/>
      </w:pPr>
      <w:r>
        <w:rPr>
          <w:b/>
          <w:color w:val="3B5B7A"/>
          <w:sz w:val="18"/>
        </w:rPr>
        <w:t>INSIGHT</w:t>
      </w:r>
    </w:p>
    <w:p>
      <w:pPr>
        <w:spacing w:after="80"/>
      </w:pPr>
      <w:r>
        <w:rPr>
          <w:i/>
          <w:color w:val="48584D"/>
          <w:sz w:val="21"/>
        </w:rPr>
        <w:t>When a vendor's growth pitch and a completely unrelated speaker's opening keynote independently reach the same architectural conclusion hours apart, that is a stronger signal of real market consensus than either claim alone. Both converged on the same point: the unlock is not a bigger model, it is a persistent memory or context layer that follows a person across interactions. For a school, this argues against chasing the newest, biggest model for every feature, and instead prioritizing tools that remember a student's history across advising sessions, enrollments, or support tickets.</w:t>
      </w:r>
    </w:p>
    <w:p>
      <w:pPr>
        <w:spacing w:before="160" w:after="60"/>
      </w:pPr>
      <w:r>
        <w:rPr>
          <w:b/>
          <w:color w:val="0C5C3D"/>
          <w:sz w:val="18"/>
        </w:rPr>
        <w:t>TAKEAWAY</w:t>
      </w:r>
    </w:p>
    <w:p>
      <w:pPr>
        <w:shd w:val="clear" w:color="auto" w:fill="E6EFE4"/>
        <w:spacing w:before="40" w:after="200"/>
        <w:ind w:left="113"/>
      </w:pPr>
      <w:r>
        <w:rPr>
          <w:b/>
          <w:color w:val="08291A"/>
          <w:sz w:val="21"/>
        </w:rPr>
        <w:t>A persistent memory/context layer matters more than a bigger model — a Future Ready principle for evaluating any AI tool Benilde considers, whether it is a chatbot, an advising agent, or a faculty-facing assistant. Ask less about which model powers the tool and more about whether it retains useful context about a specific student or case over time.</w:t>
      </w:r>
    </w:p>
    <w:p>
      <w:pPr>
        <w:spacing w:after="40"/>
      </w:pPr>
    </w:p>
    <w:p>
      <w:pPr>
        <w:pBdr>
          <w:bottom w:val="single" w:sz="6" w:space="1" w:color="DFE3DC"/>
        </w:pBdr>
      </w:pPr>
    </w:p>
    <w:p/>
    <w:p>
      <w:r>
        <w:rPr>
          <w:rFonts w:ascii="Avenir Next" w:hAnsi="Avenir Next"/>
          <w:b/>
          <w:color w:val="132018"/>
          <w:sz w:val="25"/>
        </w:rPr>
        <w:t>The Era of Physical AI: The Future of Industry Transformed by Physical AI</w:t>
      </w:r>
    </w:p>
    <w:p>
      <w:pPr>
        <w:spacing w:after="80"/>
      </w:pPr>
      <w:r>
        <w:rPr>
          <w:i/>
          <w:color w:val="08291A"/>
          <w:sz w:val="19"/>
        </w:rPr>
        <w:t>Moderator: Prof. Doohee Jeong (Handong Global University / Impactive AI)  |  Panelists: Prof. Ahyoung Kim (Seoul National University), Tony Jang (CEO, FactoryLab.AI, ex-Hyundai AutoEver), CTO Seung-young Lee (LIG Defense &amp; Aerospace)</w:t>
      </w:r>
    </w:p>
    <w:p>
      <w:pPr>
        <w:spacing w:before="160" w:after="60"/>
      </w:pPr>
      <w:r>
        <w:rPr>
          <w:b/>
          <w:color w:val="0C5C3D"/>
          <w:sz w:val="18"/>
        </w:rPr>
        <w:t>HIGHLIGHTS</w:t>
      </w:r>
    </w:p>
    <w:p>
      <w:pPr>
        <w:pStyle w:val="ListBullet"/>
        <w:spacing w:after="120"/>
      </w:pPr>
      <w:r>
        <w:rPr>
          <w:color w:val="132018"/>
          <w:sz w:val="21"/>
        </w:rPr>
      </w:r>
      <w:r>
        <w:rPr>
          <w:b/>
          <w:color w:val="08291A"/>
          <w:sz w:val="21"/>
        </w:rPr>
        <w:t>Why now:</w:t>
      </w:r>
      <w:r>
        <w:rPr>
          <w:color w:val="132018"/>
          <w:sz w:val="21"/>
        </w:rPr>
        <w:t xml:space="preserve"> the turning point traced through AlphaGo, an earlier disappointing wave of AI for robotics (2014-2020), then the technology behind ChatGPT succeeding in language, then vision, then robotics.</w:t>
      </w:r>
    </w:p>
    <w:p>
      <w:pPr>
        <w:pStyle w:val="ListBullet"/>
        <w:spacing w:after="120"/>
      </w:pPr>
      <w:r>
        <w:rPr>
          <w:color w:val="132018"/>
          <w:sz w:val="21"/>
        </w:rPr>
      </w:r>
      <w:r>
        <w:rPr>
          <w:b/>
          <w:color w:val="08291A"/>
          <w:sz w:val="21"/>
        </w:rPr>
        <w:t>Demo vs. real deployment (Tony Jang):</w:t>
      </w:r>
      <w:r>
        <w:rPr>
          <w:color w:val="132018"/>
          <w:sz w:val="21"/>
        </w:rPr>
        <w:t xml:space="preserve"> does using it require changing how things already work? Does a failure fit inside normal turnaround time? Is the data needed to keep it accurate clearly someone's job? All three checking out means it's real, not just "a cool demo."</w:t>
      </w:r>
    </w:p>
    <w:p>
      <w:pPr>
        <w:pStyle w:val="ListBullet"/>
        <w:spacing w:after="120"/>
      </w:pPr>
      <w:r>
        <w:rPr>
          <w:color w:val="132018"/>
          <w:sz w:val="21"/>
        </w:rPr>
      </w:r>
      <w:r>
        <w:rPr>
          <w:b/>
          <w:color w:val="08291A"/>
          <w:sz w:val="21"/>
        </w:rPr>
        <w:t>When is a "world model" real, not marketing?</w:t>
      </w:r>
      <w:r>
        <w:rPr>
          <w:color w:val="132018"/>
          <w:sz w:val="21"/>
        </w:rPr>
        <w:t xml:space="preserve"> A simulator built on real physics is proven technology; one claiming to perfectly understand physics from scratch is "still at the packaging stage." A described Tesla Optimus incident — misidentifying a coworker as a part and pinning them to a wall — was cited as the real cost of getting this wrong.</w:t>
      </w:r>
    </w:p>
    <w:p>
      <w:pPr>
        <w:pStyle w:val="ListBullet"/>
        <w:spacing w:after="120"/>
      </w:pPr>
      <w:r>
        <w:rPr>
          <w:color w:val="132018"/>
          <w:sz w:val="21"/>
        </w:rPr>
      </w:r>
      <w:r>
        <w:rPr>
          <w:b/>
          <w:color w:val="08291A"/>
          <w:sz w:val="21"/>
        </w:rPr>
        <w:t>Where should AI's freedom to act stop? (CTO Seung-young Lee):</w:t>
      </w:r>
      <w:r>
        <w:rPr>
          <w:color w:val="132018"/>
          <w:sz w:val="21"/>
        </w:rPr>
        <w:t xml:space="preserve"> the line is whether the outcome is reversible, not how smart the AI seems. Where a decision can't be undone, AI's job is to hand humans better information faster — not to decide.</w:t>
      </w:r>
    </w:p>
    <w:p>
      <w:pPr>
        <w:pStyle w:val="ListBullet"/>
        <w:spacing w:after="120"/>
      </w:pPr>
      <w:r>
        <w:rPr>
          <w:color w:val="132018"/>
          <w:sz w:val="21"/>
        </w:rPr>
      </w:r>
      <w:r>
        <w:rPr>
          <w:b/>
          <w:color w:val="08291A"/>
          <w:sz w:val="21"/>
        </w:rPr>
        <w:t>Why lab-tested AI often fails in the real world:</w:t>
      </w:r>
      <w:r>
        <w:rPr>
          <w:color w:val="132018"/>
          <w:sz w:val="21"/>
        </w:rPr>
        <w:t xml:space="preserve"> roughly half the time it's software (lab conditions don't match reality); the other half is hardware (heat, vibration, signal loss that's hard to simulate).</w:t>
      </w:r>
    </w:p>
    <w:p>
      <w:pPr>
        <w:pStyle w:val="ListBullet"/>
        <w:spacing w:after="120"/>
      </w:pPr>
      <w:r>
        <w:rPr>
          <w:color w:val="132018"/>
          <w:sz w:val="21"/>
        </w:rPr>
      </w:r>
      <w:r>
        <w:rPr>
          <w:b/>
          <w:color w:val="08291A"/>
          <w:sz w:val="21"/>
        </w:rPr>
        <w:t>Testing under active interference:</w:t>
      </w:r>
      <w:r>
        <w:rPr>
          <w:color w:val="132018"/>
          <w:sz w:val="21"/>
        </w:rPr>
        <w:t xml:space="preserve"> in defense, the threat is deliberate jamming and deception, not accidental error. The fix: test against a wide range of realistic conditions, keep expanding that range, and treat this as needing government-level involvement.</w:t>
      </w:r>
    </w:p>
    <w:p>
      <w:pPr>
        <w:jc w:val="center"/>
      </w:pPr>
      <w:r>
        <w:drawing>
          <wp:inline xmlns:a="http://schemas.openxmlformats.org/drawingml/2006/main" xmlns:pic="http://schemas.openxmlformats.org/drawingml/2006/picture">
            <wp:extent cx="3657600" cy="4876800"/>
            <wp:docPr id="9" name="Picture 9"/>
            <wp:cNvGraphicFramePr>
              <a:graphicFrameLocks noChangeAspect="1"/>
            </wp:cNvGraphicFramePr>
            <a:graphic>
              <a:graphicData uri="http://schemas.openxmlformats.org/drawingml/2006/picture">
                <pic:pic>
                  <pic:nvPicPr>
                    <pic:cNvPr id="0" name="robots.jpg"/>
                    <pic:cNvPicPr/>
                  </pic:nvPicPr>
                  <pic:blipFill>
                    <a:blip r:embed="rId17"/>
                    <a:stretch>
                      <a:fillRect/>
                    </a:stretch>
                  </pic:blipFill>
                  <pic:spPr>
                    <a:xfrm>
                      <a:off x="0" y="0"/>
                      <a:ext cx="3657600" cy="4876800"/>
                    </a:xfrm>
                    <a:prstGeom prst="rect"/>
                  </pic:spPr>
                </pic:pic>
              </a:graphicData>
            </a:graphic>
          </wp:inline>
        </w:drawing>
      </w:r>
    </w:p>
    <w:p>
      <w:pPr>
        <w:spacing w:after="200"/>
        <w:jc w:val="center"/>
      </w:pPr>
      <w:r>
        <w:rPr>
          <w:i/>
          <w:color w:val="7C8B7F"/>
          <w:sz w:val="17"/>
        </w:rPr>
        <w:t>Humanoid and quadruped robots on the expo floor — "Physical AI" made tangible one floor down from the panel.</w:t>
      </w:r>
    </w:p>
    <w:p>
      <w:pPr>
        <w:shd w:val="clear" w:color="auto" w:fill="F1E8D4"/>
        <w:spacing w:before="120" w:after="120"/>
        <w:ind w:left="113"/>
      </w:pPr>
      <w:r>
        <w:rPr>
          <w:b/>
          <w:color w:val="6B5320"/>
          <w:sz w:val="17"/>
        </w:rPr>
        <w:t xml:space="preserve">VISION 2030 PILLAR(S): </w:t>
      </w:r>
      <w:r>
        <w:rPr>
          <w:color w:val="132018"/>
          <w:sz w:val="19"/>
        </w:rPr>
        <w:t>Future Ready</w:t>
      </w:r>
    </w:p>
    <w:p>
      <w:pPr>
        <w:spacing w:before="160" w:after="60"/>
      </w:pPr>
      <w:r>
        <w:rPr>
          <w:b/>
          <w:color w:val="3B5B7A"/>
          <w:sz w:val="18"/>
        </w:rPr>
        <w:t>INSIGHT</w:t>
      </w:r>
    </w:p>
    <w:p>
      <w:pPr>
        <w:spacing w:after="80"/>
      </w:pPr>
      <w:r>
        <w:rPr>
          <w:i/>
          <w:color w:val="48584D"/>
          <w:sz w:val="21"/>
        </w:rPr>
        <w:t>"Reversibility" is a more portable governance principle than most, because it is domain-agnostic and testable in advance, unlike vaguer guidance such as "align with our values," which is hard to apply consistently across departments. It can be applied as a literal checklist question to any proposed AI feature, physical or digital, which is why it echoed through later sessions well outside robotics and defense. For Benilde, it translates directly into a rule for the Mental Health Agent and Academic Advising Agent: AI can flag and suggest freely, but anything hard to undo — a probation recommendation, a safety escalation, a financial-aid decision — stays a human call.</w:t>
      </w:r>
    </w:p>
    <w:p>
      <w:pPr>
        <w:spacing w:before="160" w:after="60"/>
      </w:pPr>
      <w:r>
        <w:rPr>
          <w:b/>
          <w:color w:val="0C5C3D"/>
          <w:sz w:val="18"/>
        </w:rPr>
        <w:t>TAKEAWAY</w:t>
      </w:r>
    </w:p>
    <w:p>
      <w:pPr>
        <w:shd w:val="clear" w:color="auto" w:fill="E6EFE4"/>
        <w:spacing w:before="40" w:after="200"/>
        <w:ind w:left="113"/>
      </w:pPr>
      <w:r>
        <w:rPr>
          <w:b/>
          <w:color w:val="08291A"/>
          <w:sz w:val="21"/>
        </w:rPr>
        <w:t>Use reversibility, not capability, as the line for how much AI decides. This is a Future Ready principle directly usable for Benilde's Mental Health and Academic Advising agents: build the rule into each pilot's operating charter now, while both tools are still early in development, rather than discovering the boundary only after an incident forces the question.</w:t>
      </w:r>
    </w:p>
    <w:p>
      <w:pPr>
        <w:spacing w:after="40"/>
      </w:pPr>
    </w:p>
    <w:p>
      <w:pPr>
        <w:pBdr>
          <w:bottom w:val="single" w:sz="6" w:space="1" w:color="DFE3DC"/>
        </w:pBdr>
      </w:pPr>
    </w:p>
    <w:p/>
    <w:p>
      <w:r>
        <w:rPr>
          <w:rFonts w:ascii="Avenir Next" w:hAnsi="Avenir Next"/>
          <w:b/>
          <w:color w:val="132018"/>
          <w:sz w:val="25"/>
        </w:rPr>
        <w:t>The Rise of AI-Native Work</w:t>
      </w:r>
    </w:p>
    <w:p>
      <w:pPr>
        <w:spacing w:after="40"/>
      </w:pPr>
      <w:r>
        <w:rPr>
          <w:i/>
          <w:color w:val="7C8B7F"/>
          <w:sz w:val="19"/>
        </w:rPr>
        <w:t>AI 네이티브 워크플로우 혁명</w:t>
      </w:r>
    </w:p>
    <w:p>
      <w:pPr>
        <w:spacing w:after="80"/>
      </w:pPr>
      <w:r>
        <w:rPr>
          <w:i/>
          <w:color w:val="08291A"/>
          <w:sz w:val="19"/>
        </w:rPr>
        <w:t>Laurent Thevenet — Head of Creative Technology, APAC &amp; MEA, Publicis Groupe</w:t>
      </w:r>
    </w:p>
    <w:p>
      <w:pPr>
        <w:spacing w:before="160" w:after="60"/>
      </w:pPr>
      <w:r>
        <w:rPr>
          <w:b/>
          <w:color w:val="0C5C3D"/>
          <w:sz w:val="18"/>
        </w:rPr>
        <w:t>HIGHLIGHTS</w:t>
      </w:r>
    </w:p>
    <w:p>
      <w:pPr>
        <w:pStyle w:val="ListBullet"/>
        <w:spacing w:after="120"/>
      </w:pPr>
      <w:r>
        <w:rPr>
          <w:color w:val="132018"/>
          <w:sz w:val="21"/>
        </w:rPr>
        <w:t>"Instant capability isn't expertise": AI gives fast output, but a person still needs to judge whether it's good and what could go wrong — "the gap is slop."</w:t>
      </w:r>
    </w:p>
    <w:p>
      <w:pPr>
        <w:pStyle w:val="ListBullet"/>
        <w:spacing w:after="120"/>
      </w:pPr>
      <w:r>
        <w:rPr>
          <w:color w:val="132018"/>
          <w:sz w:val="21"/>
        </w:rPr>
        <w:t>Warned against treating "which model for which task" as a strategy on its own — it's plumbing, not transformation.</w:t>
      </w:r>
    </w:p>
    <w:p>
      <w:pPr>
        <w:pStyle w:val="ListBullet"/>
        <w:spacing w:after="120"/>
      </w:pPr>
      <w:r>
        <w:rPr>
          <w:color w:val="132018"/>
          <w:sz w:val="21"/>
        </w:rPr>
        <w:t>Argued the fix for ungoverned tool sprawl is giving people a shared, well-supported set of tools and data, not restricting them.</w:t>
      </w:r>
    </w:p>
    <w:p>
      <w:pPr>
        <w:pStyle w:val="ListBullet"/>
        <w:spacing w:after="120"/>
      </w:pPr>
      <w:r>
        <w:rPr>
          <w:color w:val="132018"/>
          <w:sz w:val="21"/>
        </w:rPr>
        <w:t>Proposed a rule for when a tool needs formal ownership: 5 users, the builder still owns it; 50 users, it needs a named owner; 500 users, it needs a full team.</w:t>
      </w:r>
    </w:p>
    <w:p>
      <w:pPr>
        <w:jc w:val="center"/>
      </w:pPr>
      <w:r>
        <w:drawing>
          <wp:inline xmlns:a="http://schemas.openxmlformats.org/drawingml/2006/main" xmlns:pic="http://schemas.openxmlformats.org/drawingml/2006/picture">
            <wp:extent cx="3657600" cy="4876800"/>
            <wp:docPr id="10" name="Picture 10"/>
            <wp:cNvGraphicFramePr>
              <a:graphicFrameLocks noChangeAspect="1"/>
            </wp:cNvGraphicFramePr>
            <a:graphic>
              <a:graphicData uri="http://schemas.openxmlformats.org/drawingml/2006/picture">
                <pic:pic>
                  <pic:nvPicPr>
                    <pic:cNvPr id="0" name="publicis.jpg"/>
                    <pic:cNvPicPr/>
                  </pic:nvPicPr>
                  <pic:blipFill>
                    <a:blip r:embed="rId18"/>
                    <a:stretch>
                      <a:fillRect/>
                    </a:stretch>
                  </pic:blipFill>
                  <pic:spPr>
                    <a:xfrm>
                      <a:off x="0" y="0"/>
                      <a:ext cx="3657600" cy="4876800"/>
                    </a:xfrm>
                    <a:prstGeom prst="rect"/>
                  </pic:spPr>
                </pic:pic>
              </a:graphicData>
            </a:graphic>
          </wp:inline>
        </w:drawing>
      </w:r>
    </w:p>
    <w:p>
      <w:pPr>
        <w:spacing w:after="200"/>
        <w:jc w:val="center"/>
      </w:pPr>
      <w:r>
        <w:rPr>
          <w:i/>
          <w:color w:val="7C8B7F"/>
          <w:sz w:val="17"/>
        </w:rPr>
        <w:t>Routing tasks to the "best" model is plumbing, not a strategy on its own.</w:t>
      </w:r>
    </w:p>
    <w:p>
      <w:pPr>
        <w:shd w:val="clear" w:color="auto" w:fill="F1E8D4"/>
        <w:spacing w:before="120" w:after="120"/>
        <w:ind w:left="113"/>
      </w:pPr>
      <w:r>
        <w:rPr>
          <w:b/>
          <w:color w:val="6B5320"/>
          <w:sz w:val="17"/>
        </w:rPr>
        <w:t xml:space="preserve">VISION 2030 PILLAR(S): </w:t>
      </w:r>
      <w:r>
        <w:rPr>
          <w:color w:val="132018"/>
          <w:sz w:val="19"/>
        </w:rPr>
        <w:t>Future Ready | Financial Growth</w:t>
      </w:r>
    </w:p>
    <w:p>
      <w:pPr>
        <w:spacing w:before="160" w:after="60"/>
      </w:pPr>
      <w:r>
        <w:rPr>
          <w:b/>
          <w:color w:val="3B5B7A"/>
          <w:sz w:val="18"/>
        </w:rPr>
        <w:t>INSIGHT</w:t>
      </w:r>
    </w:p>
    <w:p>
      <w:pPr>
        <w:spacing w:after="80"/>
      </w:pPr>
      <w:r>
        <w:rPr>
          <w:i/>
          <w:color w:val="48584D"/>
          <w:sz w:val="21"/>
        </w:rPr>
        <w:t>The 5/50/500 rule is really a proxy for blast radius, not raw usage: a tool with 5 users making low-stakes suggestions is a very different risk than 5 users making high-stakes calls, so it works best paired with the Physical AI panel's reversibility test. In a school, a faculty member's personal use of an AI grading assistant is low-risk; the moment that same tool is adopted department-wide for decisions affecting a student's standing, it needs a named owner and a documented process. This is exactly the quiet scope-creep that turns a helpful individual habit into an ungoverned institutional risk.</w:t>
      </w:r>
    </w:p>
    <w:p>
      <w:pPr>
        <w:spacing w:before="160" w:after="60"/>
      </w:pPr>
      <w:r>
        <w:rPr>
          <w:b/>
          <w:color w:val="0C5C3D"/>
          <w:sz w:val="18"/>
        </w:rPr>
        <w:t>TAKEAWAY</w:t>
      </w:r>
    </w:p>
    <w:p>
      <w:pPr>
        <w:shd w:val="clear" w:color="auto" w:fill="E6EFE4"/>
        <w:spacing w:before="40" w:after="200"/>
        <w:ind w:left="113"/>
      </w:pPr>
      <w:r>
        <w:rPr>
          <w:b/>
          <w:color w:val="08291A"/>
          <w:sz w:val="21"/>
        </w:rPr>
        <w:t>5 users, the builder still owns it; 50, it needs a named owner; 500, it needs a full team — a Future Ready and Financial Growth check Benilde should apply proactively at each threshold, rather than waiting for a pilot to become unmanageable before assigning it real ownership.</w:t>
      </w:r>
    </w:p>
    <w:p>
      <w:pPr>
        <w:spacing w:after="40"/>
      </w:pPr>
    </w:p>
    <w:p>
      <w:pPr>
        <w:pBdr>
          <w:bottom w:val="single" w:sz="6" w:space="1" w:color="DFE3DC"/>
        </w:pBdr>
      </w:pPr>
    </w:p>
    <w:p/>
    <w:p>
      <w:r>
        <w:br w:type="page"/>
      </w:r>
    </w:p>
    <w:p>
      <w:pPr>
        <w:pStyle w:val="Heading1"/>
      </w:pPr>
      <w:r>
        <w:rPr>
          <w:rFonts w:ascii="Avenir Next" w:hAnsi="Avenir Next"/>
          <w:color w:val="08291A"/>
          <w:sz w:val="36"/>
        </w:rPr>
        <w:t>Day 2 — Industry Deployment &amp; Governance</w:t>
      </w:r>
    </w:p>
    <w:p>
      <w:r>
        <w:rPr>
          <w:i/>
          <w:color w:val="48584D"/>
          <w:sz w:val="20"/>
        </w:rPr>
        <w:t>The second day shifted from "what is agentic AI" to "why doesn't it work yet at our scale" — messy data, change management, and the uncomfortable question of who's actually willing to approve scaling something up.</w:t>
      </w:r>
    </w:p>
    <w:p/>
    <w:p>
      <w:r>
        <w:rPr>
          <w:rFonts w:ascii="Avenir Next" w:hAnsi="Avenir Next"/>
          <w:b/>
          <w:color w:val="132018"/>
          <w:sz w:val="25"/>
        </w:rPr>
        <w:t>The Conditions for AX Success and a Truly AI-Native Enterprise</w:t>
      </w:r>
    </w:p>
    <w:p>
      <w:pPr>
        <w:spacing w:after="80"/>
      </w:pPr>
      <w:r>
        <w:rPr>
          <w:i/>
          <w:color w:val="08291A"/>
          <w:sz w:val="19"/>
        </w:rPr>
        <w:t>Speaker name not captured on slide</w:t>
      </w:r>
    </w:p>
    <w:p>
      <w:pPr>
        <w:spacing w:before="160" w:after="60"/>
      </w:pPr>
      <w:r>
        <w:rPr>
          <w:b/>
          <w:color w:val="0C5C3D"/>
          <w:sz w:val="18"/>
        </w:rPr>
        <w:t>HIGHLIGHTS</w:t>
      </w:r>
    </w:p>
    <w:p>
      <w:pPr>
        <w:pStyle w:val="ListBullet"/>
        <w:spacing w:after="120"/>
      </w:pPr>
      <w:r>
        <w:rPr>
          <w:color w:val="132018"/>
          <w:sz w:val="21"/>
        </w:rPr>
        <w:t>Presented a 4-level scorecard for AI maturity — from occasional tool use to genuine, everyday agentic work.</w:t>
      </w:r>
    </w:p>
    <w:p>
      <w:pPr>
        <w:shd w:val="clear" w:color="auto" w:fill="F1E8D4"/>
        <w:spacing w:before="120" w:after="120"/>
        <w:ind w:left="113"/>
      </w:pPr>
      <w:r>
        <w:rPr>
          <w:b/>
          <w:color w:val="6B5320"/>
          <w:sz w:val="17"/>
        </w:rPr>
        <w:t xml:space="preserve">VISION 2030 PILLAR(S): </w:t>
      </w:r>
      <w:r>
        <w:rPr>
          <w:color w:val="132018"/>
          <w:sz w:val="19"/>
        </w:rPr>
        <w:t>Future Ready</w:t>
      </w:r>
    </w:p>
    <w:p>
      <w:pPr>
        <w:spacing w:before="160" w:after="60"/>
      </w:pPr>
      <w:r>
        <w:rPr>
          <w:b/>
          <w:color w:val="3B5B7A"/>
          <w:sz w:val="18"/>
        </w:rPr>
        <w:t>INSIGHT</w:t>
      </w:r>
    </w:p>
    <w:p>
      <w:pPr>
        <w:spacing w:after="80"/>
      </w:pPr>
      <w:r>
        <w:rPr>
          <w:i/>
          <w:color w:val="48584D"/>
          <w:sz w:val="21"/>
        </w:rPr>
        <w:t>That a maturity-model talk earned its own dedicated session suggests the market conversation has matured past "should we adopt AI" into "how good are we at it yet" — a harder, more honest question. For Benilde, adopting a similar scorecard internally would let CET and the Digital Transformation Office track progress across departments in comparable terms, rather than each unit assessing its own readiness informally. It also gives Leadership a shared vocabulary for Board reporting that goes beyond "we have a chatbot now."</w:t>
      </w:r>
    </w:p>
    <w:p>
      <w:r>
        <w:rPr>
          <w:i/>
          <w:color w:val="7C8B7F"/>
          <w:sz w:val="18"/>
        </w:rPr>
        <w:t>Captured only in slide/photo form; caption detail for this talk wasn't fully recovered from the source images.</w:t>
      </w:r>
    </w:p>
    <w:p>
      <w:pPr>
        <w:spacing w:after="40"/>
      </w:pPr>
    </w:p>
    <w:p>
      <w:pPr>
        <w:pBdr>
          <w:bottom w:val="single" w:sz="6" w:space="1" w:color="DFE3DC"/>
        </w:pBdr>
      </w:pPr>
    </w:p>
    <w:p/>
    <w:p>
      <w:r>
        <w:rPr>
          <w:rFonts w:ascii="Avenir Next" w:hAnsi="Avenir Next"/>
          <w:b/>
          <w:color w:val="132018"/>
          <w:sz w:val="25"/>
        </w:rPr>
        <w:t>Accelerating Breakthroughs with AI: Unlocking Opportunities in Traditional Industries</w:t>
      </w:r>
    </w:p>
    <w:p>
      <w:pPr>
        <w:spacing w:after="80"/>
      </w:pPr>
      <w:r>
        <w:rPr>
          <w:i/>
          <w:color w:val="08291A"/>
          <w:sz w:val="19"/>
        </w:rPr>
        <w:t>Ramine Tinati — Head of APAC, Google DeepMind  |  Moderator: Seri Kim</w:t>
      </w:r>
    </w:p>
    <w:p>
      <w:pPr>
        <w:spacing w:before="160" w:after="60"/>
      </w:pPr>
      <w:r>
        <w:rPr>
          <w:b/>
          <w:color w:val="0C5C3D"/>
          <w:sz w:val="18"/>
        </w:rPr>
        <w:t>HIGHLIGHTS</w:t>
      </w:r>
    </w:p>
    <w:p>
      <w:pPr>
        <w:pStyle w:val="ListBullet"/>
        <w:spacing w:after="120"/>
      </w:pPr>
      <w:r>
        <w:rPr>
          <w:color w:val="132018"/>
          <w:sz w:val="21"/>
        </w:rPr>
        <w:t>Opened with DeepMind's science-first roots (the AlphaGo match, played in Seoul a decade ago), then its non-chatbot track record: AlphaFold (200M+ protein structures, now free even commercially), a materials-science model with 2.2M predicted crystal structures, and weather-forecasting tools.</w:t>
      </w:r>
    </w:p>
    <w:p>
      <w:pPr>
        <w:pStyle w:val="ListBullet"/>
        <w:spacing w:after="120"/>
      </w:pPr>
      <w:r>
        <w:rPr>
          <w:color w:val="132018"/>
          <w:sz w:val="21"/>
        </w:rPr>
        <w:t>Repeated the central statistic: roughly 80% of AI projects never reach full production — a systems problem, not a "model isn't smart enough" problem.</w:t>
      </w:r>
    </w:p>
    <w:p>
      <w:pPr>
        <w:pStyle w:val="ListBullet"/>
        <w:spacing w:after="120"/>
      </w:pPr>
      <w:r>
        <w:rPr>
          <w:color w:val="132018"/>
          <w:sz w:val="21"/>
        </w:rPr>
      </w:r>
      <w:r>
        <w:rPr>
          <w:b/>
          <w:color w:val="08291A"/>
          <w:sz w:val="21"/>
        </w:rPr>
        <w:t>Why pilots stall:</w:t>
      </w:r>
      <w:r>
        <w:rPr>
          <w:color w:val="132018"/>
          <w:sz w:val="21"/>
        </w:rPr>
        <w:t xml:space="preserve"> scattered/unusable data, AI added on top of a workflow instead of built into it, and cultural resistance (no one senior owning it).</w:t>
      </w:r>
    </w:p>
    <w:p>
      <w:pPr>
        <w:pStyle w:val="ListBullet"/>
        <w:spacing w:after="120"/>
      </w:pPr>
      <w:r>
        <w:rPr>
          <w:color w:val="132018"/>
          <w:sz w:val="21"/>
        </w:rPr>
      </w:r>
      <w:r>
        <w:rPr>
          <w:b/>
          <w:color w:val="08291A"/>
          <w:sz w:val="21"/>
        </w:rPr>
        <w:t>Four fixes:</w:t>
      </w:r>
      <w:r>
        <w:rPr>
          <w:color w:val="132018"/>
          <w:sz w:val="21"/>
        </w:rPr>
        <w:t xml:space="preserve"> get the data solid and verified first; keep re-checking AI against how the industry actually talks; build AI into daily tasks, not just chat; put real safety/oversight checks in place.</w:t>
      </w:r>
    </w:p>
    <w:p>
      <w:pPr>
        <w:pStyle w:val="ListBullet"/>
        <w:spacing w:after="120"/>
      </w:pPr>
      <w:r>
        <w:rPr>
          <w:color w:val="132018"/>
          <w:sz w:val="21"/>
        </w:rPr>
        <w:t>Named three industries with the most room to benefit: healthcare/life sciences, manufacturing/supply chain, and telecom/infrastructure.</w:t>
      </w:r>
    </w:p>
    <w:p>
      <w:pPr>
        <w:jc w:val="center"/>
      </w:pPr>
      <w:r>
        <w:drawing>
          <wp:inline xmlns:a="http://schemas.openxmlformats.org/drawingml/2006/main" xmlns:pic="http://schemas.openxmlformats.org/drawingml/2006/picture">
            <wp:extent cx="3657600" cy="2743200"/>
            <wp:docPr id="11" name="Picture 11"/>
            <wp:cNvGraphicFramePr>
              <a:graphicFrameLocks noChangeAspect="1"/>
            </wp:cNvGraphicFramePr>
            <a:graphic>
              <a:graphicData uri="http://schemas.openxmlformats.org/drawingml/2006/picture">
                <pic:pic>
                  <pic:nvPicPr>
                    <pic:cNvPr id="0" name="deepmind.jpg"/>
                    <pic:cNvPicPr/>
                  </pic:nvPicPr>
                  <pic:blipFill>
                    <a:blip r:embed="rId19"/>
                    <a:stretch>
                      <a:fillRect/>
                    </a:stretch>
                  </pic:blipFill>
                  <pic:spPr>
                    <a:xfrm>
                      <a:off x="0" y="0"/>
                      <a:ext cx="3657600" cy="2743200"/>
                    </a:xfrm>
                    <a:prstGeom prst="rect"/>
                  </pic:spPr>
                </pic:pic>
              </a:graphicData>
            </a:graphic>
          </wp:inline>
        </w:drawing>
      </w:r>
    </w:p>
    <w:p>
      <w:pPr>
        <w:spacing w:after="200"/>
        <w:jc w:val="center"/>
      </w:pPr>
      <w:r>
        <w:rPr>
          <w:i/>
          <w:color w:val="7C8B7F"/>
          <w:sz w:val="17"/>
        </w:rPr>
        <w:t>DeepMind's framing: AI transformation succeeds or fails as a systems-level exercise.</w:t>
      </w:r>
    </w:p>
    <w:p>
      <w:pPr>
        <w:shd w:val="clear" w:color="auto" w:fill="F1E8D4"/>
        <w:spacing w:before="120" w:after="120"/>
        <w:ind w:left="113"/>
      </w:pPr>
      <w:r>
        <w:rPr>
          <w:b/>
          <w:color w:val="6B5320"/>
          <w:sz w:val="17"/>
        </w:rPr>
        <w:t xml:space="preserve">VISION 2030 PILLAR(S): </w:t>
      </w:r>
      <w:r>
        <w:rPr>
          <w:color w:val="132018"/>
          <w:sz w:val="19"/>
        </w:rPr>
        <w:t>Future Ready | Global Partnership Engagement</w:t>
      </w:r>
    </w:p>
    <w:p>
      <w:pPr>
        <w:spacing w:before="160" w:after="60"/>
      </w:pPr>
      <w:r>
        <w:rPr>
          <w:b/>
          <w:color w:val="3B5B7A"/>
          <w:sz w:val="18"/>
        </w:rPr>
        <w:t>INSIGHT</w:t>
      </w:r>
    </w:p>
    <w:p>
      <w:pPr>
        <w:spacing w:after="80"/>
      </w:pPr>
      <w:r>
        <w:rPr>
          <w:i/>
          <w:color w:val="48584D"/>
          <w:sz w:val="21"/>
        </w:rPr>
        <w:t>Opening with the slowest-to-monetize, most credible work — protein folding, not a flashy chatbot demo — is itself a rhetorical strategy: positioning rigor as the differentiator in a market saturated with unverified demos. For a school evaluating any AI vendor's claims, ask what its most rigorously validated, least glamorous work looks like, not just its flashiest showcase feature. DeepMind's free academic-tier access to tools like AlphaFold is also a concrete example of the kind of low-cost research partnership Benilde's science and health-adjacent programs could explore directly.</w:t>
      </w:r>
    </w:p>
    <w:p>
      <w:pPr>
        <w:spacing w:before="160" w:after="60"/>
      </w:pPr>
      <w:r>
        <w:rPr>
          <w:b/>
          <w:color w:val="0C5C3D"/>
          <w:sz w:val="18"/>
        </w:rPr>
        <w:t>TAKEAWAY</w:t>
      </w:r>
    </w:p>
    <w:p>
      <w:pPr>
        <w:shd w:val="clear" w:color="auto" w:fill="E6EFE4"/>
        <w:spacing w:before="40" w:after="200"/>
        <w:ind w:left="113"/>
      </w:pPr>
      <w:r>
        <w:rPr>
          <w:b/>
          <w:color w:val="08291A"/>
          <w:sz w:val="21"/>
        </w:rPr>
        <w:t>The summit's most-repeated number — 80% of AI projects don't reach production — traces to data readiness, a Future Ready lesson directly applicable to Benilde's Phase 2 pilots. It is also a Global Partnership Engagement opening: DeepMind's free-tier academic tools are a concrete, low-cost starting point for any program wanting hands-on exposure to applied AI research rather than just consumer-facing chat tools.</w:t>
      </w:r>
    </w:p>
    <w:p>
      <w:pPr>
        <w:spacing w:after="40"/>
      </w:pPr>
    </w:p>
    <w:p>
      <w:pPr>
        <w:pBdr>
          <w:bottom w:val="single" w:sz="6" w:space="1" w:color="DFE3DC"/>
        </w:pBdr>
      </w:pPr>
    </w:p>
    <w:p/>
    <w:p>
      <w:r>
        <w:rPr>
          <w:rFonts w:ascii="Avenir Next" w:hAnsi="Avenir Next"/>
          <w:b/>
          <w:color w:val="132018"/>
          <w:sz w:val="25"/>
        </w:rPr>
        <w:t>The Present and Future of Payment in the Age of AI</w:t>
      </w:r>
    </w:p>
    <w:p>
      <w:pPr>
        <w:spacing w:after="40"/>
      </w:pPr>
      <w:r>
        <w:rPr>
          <w:i/>
          <w:color w:val="7C8B7F"/>
          <w:sz w:val="19"/>
        </w:rPr>
        <w:t>AI 기술과 만난 결제(Payment)의 현재와 미래</w:t>
      </w:r>
    </w:p>
    <w:p>
      <w:pPr>
        <w:spacing w:after="80"/>
      </w:pPr>
      <w:r>
        <w:rPr>
          <w:i/>
          <w:color w:val="08291A"/>
          <w:sz w:val="19"/>
        </w:rPr>
        <w:t>Sunghee An — Executive Director, Shinhan Card AX Research Institute</w:t>
      </w:r>
    </w:p>
    <w:p>
      <w:pPr>
        <w:spacing w:before="160" w:after="60"/>
      </w:pPr>
      <w:r>
        <w:rPr>
          <w:b/>
          <w:color w:val="0C5C3D"/>
          <w:sz w:val="18"/>
        </w:rPr>
        <w:t>HIGHLIGHTS</w:t>
      </w:r>
    </w:p>
    <w:p>
      <w:pPr>
        <w:pStyle w:val="ListBullet"/>
        <w:spacing w:after="120"/>
      </w:pPr>
      <w:r>
        <w:rPr>
          <w:color w:val="132018"/>
          <w:sz w:val="21"/>
        </w:rPr>
        <w:t>Mapped the competition across four player types: AI companies partnering into payments (OpenAI + Stripe, Google), existing wallets (KakaoPay, NaverPay, Samsung Pay), online retailers (Amazon, Walmart), and card networks (Mastercard, Visa).</w:t>
      </w:r>
    </w:p>
    <w:p>
      <w:pPr>
        <w:pStyle w:val="ListBullet"/>
        <w:spacing w:after="120"/>
      </w:pPr>
      <w:r>
        <w:rPr>
          <w:color w:val="132018"/>
          <w:sz w:val="21"/>
        </w:rPr>
        <w:t>Introduced Shinhan's own "Agent Pay" pilot — AI agents managing payments on a customer's behalf.</w:t>
      </w:r>
    </w:p>
    <w:p>
      <w:pPr>
        <w:jc w:val="center"/>
      </w:pPr>
      <w:r>
        <w:drawing>
          <wp:inline xmlns:a="http://schemas.openxmlformats.org/drawingml/2006/main" xmlns:pic="http://schemas.openxmlformats.org/drawingml/2006/picture">
            <wp:extent cx="3657600" cy="4876800"/>
            <wp:docPr id="12" name="Picture 12"/>
            <wp:cNvGraphicFramePr>
              <a:graphicFrameLocks noChangeAspect="1"/>
            </wp:cNvGraphicFramePr>
            <a:graphic>
              <a:graphicData uri="http://schemas.openxmlformats.org/drawingml/2006/picture">
                <pic:pic>
                  <pic:nvPicPr>
                    <pic:cNvPr id="0" name="shinhan.jpg"/>
                    <pic:cNvPicPr/>
                  </pic:nvPicPr>
                  <pic:blipFill>
                    <a:blip r:embed="rId20"/>
                    <a:stretch>
                      <a:fillRect/>
                    </a:stretch>
                  </pic:blipFill>
                  <pic:spPr>
                    <a:xfrm>
                      <a:off x="0" y="0"/>
                      <a:ext cx="3657600" cy="4876800"/>
                    </a:xfrm>
                    <a:prstGeom prst="rect"/>
                  </pic:spPr>
                </pic:pic>
              </a:graphicData>
            </a:graphic>
          </wp:inline>
        </w:drawing>
      </w:r>
    </w:p>
    <w:p>
      <w:pPr>
        <w:spacing w:after="200"/>
        <w:jc w:val="center"/>
      </w:pPr>
      <w:r>
        <w:rPr>
          <w:i/>
          <w:color w:val="7C8B7F"/>
          <w:sz w:val="17"/>
        </w:rPr>
        <w:t>Shinhan Card's map of AI entering payments from four directions at once.</w:t>
      </w:r>
    </w:p>
    <w:p>
      <w:pPr>
        <w:shd w:val="clear" w:color="auto" w:fill="F1E8D4"/>
        <w:spacing w:before="120" w:after="120"/>
        <w:ind w:left="113"/>
      </w:pPr>
      <w:r>
        <w:rPr>
          <w:b/>
          <w:color w:val="6B5320"/>
          <w:sz w:val="17"/>
        </w:rPr>
        <w:t xml:space="preserve">VISION 2030 PILLAR(S): </w:t>
      </w:r>
      <w:r>
        <w:rPr>
          <w:color w:val="132018"/>
          <w:sz w:val="19"/>
        </w:rPr>
        <w:t>Financial Growth | Global Partnership Engagement</w:t>
      </w:r>
    </w:p>
    <w:p>
      <w:pPr>
        <w:spacing w:before="160" w:after="60"/>
      </w:pPr>
      <w:r>
        <w:rPr>
          <w:b/>
          <w:color w:val="3B5B7A"/>
          <w:sz w:val="18"/>
        </w:rPr>
        <w:t>INSIGHT</w:t>
      </w:r>
    </w:p>
    <w:p>
      <w:pPr>
        <w:spacing w:after="80"/>
      </w:pPr>
      <w:r>
        <w:rPr>
          <w:i/>
          <w:color w:val="48584D"/>
          <w:sz w:val="21"/>
        </w:rPr>
        <w:t>When four structurally different competitor types move into the same space at once, the opportunity is real but the eventual standard is genuinely unsettled. For a school's finance and student-accounts operations, this is a preview rather than an urgent call to action: tuition payment and financial-aid disbursement will eventually be touched by similar AI-agent-driven tools, but the vendor landscape is too unsettled to commit early. It is worth Benilde's Finance office tracking this over the next one to two years rather than evaluating vendors today.</w:t>
      </w:r>
    </w:p>
    <w:p>
      <w:pPr>
        <w:spacing w:before="160" w:after="60"/>
      </w:pPr>
      <w:r>
        <w:rPr>
          <w:b/>
          <w:color w:val="0C5C3D"/>
          <w:sz w:val="18"/>
        </w:rPr>
        <w:t>TAKEAWAY</w:t>
      </w:r>
    </w:p>
    <w:p>
      <w:pPr>
        <w:shd w:val="clear" w:color="auto" w:fill="E6EFE4"/>
        <w:spacing w:before="40" w:after="200"/>
        <w:ind w:left="113"/>
      </w:pPr>
      <w:r>
        <w:rPr>
          <w:b/>
          <w:color w:val="08291A"/>
          <w:sz w:val="21"/>
        </w:rPr>
        <w:t>Payments previews what's coming to every trust-sensitive process — a Financial Growth and Global Partnership Engagement signal worth Benilde's Finance and IT offices monitoring, particularly as it may eventually touch how tuition and financial aid are processed.</w:t>
      </w:r>
    </w:p>
    <w:p>
      <w:pPr>
        <w:spacing w:after="40"/>
      </w:pPr>
    </w:p>
    <w:p>
      <w:pPr>
        <w:pBdr>
          <w:bottom w:val="single" w:sz="6" w:space="1" w:color="DFE3DC"/>
        </w:pBdr>
      </w:pPr>
    </w:p>
    <w:p/>
    <w:p>
      <w:r>
        <w:rPr>
          <w:rFonts w:ascii="Avenir Next" w:hAnsi="Avenir Next"/>
          <w:b/>
          <w:color w:val="132018"/>
          <w:sz w:val="25"/>
        </w:rPr>
        <w:t>Decisions vs. Tasks: What Agentic AI Actually Means in Operations</w:t>
      </w:r>
    </w:p>
    <w:p>
      <w:pPr>
        <w:spacing w:after="80"/>
      </w:pPr>
      <w:r>
        <w:rPr>
          <w:i/>
          <w:color w:val="08291A"/>
          <w:sz w:val="19"/>
        </w:rPr>
        <w:t>Prent Mishra</w:t>
      </w:r>
    </w:p>
    <w:p>
      <w:pPr>
        <w:spacing w:before="160" w:after="60"/>
      </w:pPr>
      <w:r>
        <w:rPr>
          <w:b/>
          <w:color w:val="0C5C3D"/>
          <w:sz w:val="18"/>
        </w:rPr>
        <w:t>HIGHLIGHTS</w:t>
      </w:r>
    </w:p>
    <w:p>
      <w:pPr>
        <w:pStyle w:val="ListBullet"/>
        <w:spacing w:after="120"/>
      </w:pPr>
      <w:r>
        <w:rPr>
          <w:color w:val="132018"/>
          <w:sz w:val="21"/>
        </w:rPr>
        <w:t>Captured via stage/slide photos only; the full argument wasn't recovered from the source images.</w:t>
      </w:r>
    </w:p>
    <w:p>
      <w:pPr>
        <w:shd w:val="clear" w:color="auto" w:fill="F1E8D4"/>
        <w:spacing w:before="120" w:after="120"/>
        <w:ind w:left="113"/>
      </w:pPr>
      <w:r>
        <w:rPr>
          <w:b/>
          <w:color w:val="6B5320"/>
          <w:sz w:val="17"/>
        </w:rPr>
        <w:t xml:space="preserve">VISION 2030 PILLAR(S): </w:t>
      </w:r>
      <w:r>
        <w:rPr>
          <w:color w:val="132018"/>
          <w:sz w:val="19"/>
        </w:rPr>
        <w:t>Future Ready</w:t>
      </w:r>
    </w:p>
    <w:p>
      <w:pPr>
        <w:spacing w:before="160" w:after="60"/>
      </w:pPr>
      <w:r>
        <w:rPr>
          <w:b/>
          <w:color w:val="3B5B7A"/>
          <w:sz w:val="18"/>
        </w:rPr>
        <w:t>INSIGHT</w:t>
      </w:r>
    </w:p>
    <w:p>
      <w:pPr>
        <w:spacing w:after="80"/>
      </w:pPr>
      <w:r>
        <w:rPr>
          <w:i/>
          <w:color w:val="48584D"/>
          <w:sz w:val="21"/>
        </w:rPr>
        <w:t>Even from a thin record, the framing itself matters: distinguishing "automating a task" from "delegating an actual decision" is the exact vocabulary the Physical AI panel's reversibility principle needs in order to be applied inside a real workflow. For Benilde, this distinction is directly useful when scoping any new AI pilot: automating the task of drafting a first-pass email reply is very different from delegating the decision of whether a student's appeal should be approved, even if both look like "AI helping with student services" from the outside. Every pilot proposal should state which category it falls into before it is approved.</w:t>
      </w:r>
    </w:p>
    <w:p>
      <w:r>
        <w:rPr>
          <w:i/>
          <w:color w:val="7C8B7F"/>
          <w:sz w:val="18"/>
        </w:rPr>
        <w:t>Worth following up on if a fuller recording turns up.</w:t>
      </w:r>
    </w:p>
    <w:p>
      <w:pPr>
        <w:spacing w:after="40"/>
      </w:pPr>
    </w:p>
    <w:p>
      <w:pPr>
        <w:pBdr>
          <w:bottom w:val="single" w:sz="6" w:space="1" w:color="DFE3DC"/>
        </w:pBdr>
      </w:pPr>
    </w:p>
    <w:p/>
    <w:p>
      <w:r>
        <w:rPr>
          <w:rFonts w:ascii="Avenir Next" w:hAnsi="Avenir Next"/>
          <w:b/>
          <w:color w:val="132018"/>
          <w:sz w:val="25"/>
        </w:rPr>
        <w:t>Panel: Hidden Bottlenecks in Enterprise AI — Data Quality, Governance, and Reality</w:t>
      </w:r>
    </w:p>
    <w:p>
      <w:pPr>
        <w:spacing w:after="80"/>
      </w:pPr>
      <w:r>
        <w:rPr>
          <w:i/>
          <w:color w:val="08291A"/>
          <w:sz w:val="19"/>
        </w:rPr>
        <w:t>Moderator: name unconfirmed ("Seunghyun"/"Seunghwan" Lee), VP, Samil PwC  |  Yongmin Choi, Head of AI Strategy Center, Woori Financial Group  |  Yoonhee Hwang, Senior VP, Data Intelligence, LG Electronics</w:t>
      </w:r>
    </w:p>
    <w:p>
      <w:pPr>
        <w:spacing w:before="160" w:after="60"/>
      </w:pPr>
      <w:r>
        <w:rPr>
          <w:b/>
          <w:color w:val="0C5C3D"/>
          <w:sz w:val="18"/>
        </w:rPr>
        <w:t>HIGHLIGHTS</w:t>
      </w:r>
    </w:p>
    <w:p>
      <w:pPr>
        <w:pStyle w:val="ListBullet"/>
        <w:spacing w:after="120"/>
      </w:pPr>
      <w:r>
        <w:rPr>
          <w:color w:val="132018"/>
          <w:sz w:val="21"/>
        </w:rPr>
        <w:t>Named the real bottleneck of the last 2-3 years as that exact moment — someone senior has to approve scaling a pilot that already works.</w:t>
      </w:r>
    </w:p>
    <w:p>
      <w:pPr>
        <w:pStyle w:val="ListBullet"/>
        <w:spacing w:after="120"/>
      </w:pPr>
      <w:r>
        <w:rPr>
          <w:color w:val="132018"/>
          <w:sz w:val="21"/>
        </w:rPr>
        <w:t>Used a gold-rush comparison: in past tech waves, the money went to companies selling infrastructure, not most people trying to use it.</w:t>
      </w:r>
    </w:p>
    <w:p>
      <w:pPr>
        <w:pStyle w:val="ListBullet"/>
        <w:spacing w:after="120"/>
      </w:pPr>
      <w:r>
        <w:rPr>
          <w:color w:val="132018"/>
          <w:sz w:val="21"/>
        </w:rPr>
        <w:t>Debated whether AI agents should be managed like software accounts or like digital employees with defined roles — an open question.</w:t>
      </w:r>
    </w:p>
    <w:p>
      <w:pPr>
        <w:pStyle w:val="ListBullet"/>
        <w:spacing w:after="120"/>
      </w:pPr>
      <w:r>
        <w:rPr>
          <w:color w:val="132018"/>
          <w:sz w:val="21"/>
        </w:rPr>
        <w:t>LG Electronics described a common trap: a "plain-English database search" tool that worked great in testing broke down once scaled to thousands of real tables.</w:t>
      </w:r>
    </w:p>
    <w:p>
      <w:pPr>
        <w:pStyle w:val="ListBullet"/>
        <w:spacing w:after="120"/>
      </w:pPr>
      <w:r>
        <w:rPr>
          <w:color w:val="132018"/>
          <w:sz w:val="21"/>
        </w:rPr>
        <w:t>Closing advice: pair every AI rollout with an actual redesign of the process and people's roles — don't just bolt AI onto how things already work.</w:t>
      </w:r>
    </w:p>
    <w:p>
      <w:pPr>
        <w:shd w:val="clear" w:color="auto" w:fill="F1E8D4"/>
        <w:spacing w:before="120" w:after="120"/>
        <w:ind w:left="113"/>
      </w:pPr>
      <w:r>
        <w:rPr>
          <w:b/>
          <w:color w:val="6B5320"/>
          <w:sz w:val="17"/>
        </w:rPr>
        <w:t xml:space="preserve">VISION 2030 PILLAR(S): </w:t>
      </w:r>
      <w:r>
        <w:rPr>
          <w:color w:val="132018"/>
          <w:sz w:val="19"/>
        </w:rPr>
        <w:t>Future Ready | Financial Growth</w:t>
      </w:r>
    </w:p>
    <w:p>
      <w:pPr>
        <w:spacing w:before="160" w:after="60"/>
      </w:pPr>
      <w:r>
        <w:rPr>
          <w:b/>
          <w:color w:val="3B5B7A"/>
          <w:sz w:val="18"/>
        </w:rPr>
        <w:t>INSIGHT</w:t>
      </w:r>
    </w:p>
    <w:p>
      <w:pPr>
        <w:spacing w:after="80"/>
      </w:pPr>
      <w:r>
        <w:rPr>
          <w:i/>
          <w:color w:val="48584D"/>
          <w:sz w:val="21"/>
        </w:rPr>
        <w:t>The "who presses the button" problem and LG's technical failure likely compound each other: a shaky pilot makes leadership less willing to approve scaling, and that hesitation delays the data-engineering fix that would have stabilized it. Schools are just as susceptible to this cycle, since most institutions run on a patchwork of legacy student-information and finance systems never designed with AI-agent access in mind. Breaking the cycle starts with treating the technical fix and the leadership sign-off as two parallel workstreams, not sequential ones.</w:t>
      </w:r>
    </w:p>
    <w:p>
      <w:pPr>
        <w:spacing w:before="160" w:after="60"/>
      </w:pPr>
      <w:r>
        <w:rPr>
          <w:b/>
          <w:color w:val="0C5C3D"/>
          <w:sz w:val="18"/>
        </w:rPr>
        <w:t>TAKEAWAY</w:t>
      </w:r>
    </w:p>
    <w:p>
      <w:pPr>
        <w:shd w:val="clear" w:color="auto" w:fill="E6EFE4"/>
        <w:spacing w:before="40" w:after="200"/>
        <w:ind w:left="113"/>
      </w:pPr>
      <w:r>
        <w:rPr>
          <w:b/>
          <w:color w:val="08291A"/>
          <w:sz w:val="21"/>
        </w:rPr>
        <w:t>Executive hesitation — not data or model quality — was the biggest bottleneck named here. It is a Future Ready and Financial Growth governance problem the Digital Transformation Office should own explicitly by naming a decision-maker for every pilot before it is built, not after it is ready to scale (see the Roles and Responsibilities section).</w:t>
      </w:r>
    </w:p>
    <w:p>
      <w:pPr>
        <w:spacing w:after="40"/>
      </w:pPr>
    </w:p>
    <w:p>
      <w:pPr>
        <w:pBdr>
          <w:bottom w:val="single" w:sz="6" w:space="1" w:color="DFE3DC"/>
        </w:pBdr>
      </w:pPr>
    </w:p>
    <w:p/>
    <w:p>
      <w:r>
        <w:rPr>
          <w:rFonts w:ascii="Avenir Next" w:hAnsi="Avenir Next"/>
          <w:b/>
          <w:color w:val="132018"/>
          <w:sz w:val="25"/>
        </w:rPr>
        <w:t>Panel: AI Governance in Manufacturing</w:t>
      </w:r>
    </w:p>
    <w:p>
      <w:pPr>
        <w:spacing w:after="80"/>
      </w:pPr>
      <w:r>
        <w:rPr>
          <w:i/>
          <w:color w:val="08291A"/>
          <w:sz w:val="19"/>
        </w:rPr>
        <w:t>Three panelists, names not captured in the recovered transcript</w:t>
      </w:r>
    </w:p>
    <w:p>
      <w:pPr>
        <w:spacing w:before="160" w:after="60"/>
      </w:pPr>
      <w:r>
        <w:rPr>
          <w:b/>
          <w:color w:val="0C5C3D"/>
          <w:sz w:val="18"/>
        </w:rPr>
        <w:t>HIGHLIGHTS</w:t>
      </w:r>
    </w:p>
    <w:p>
      <w:pPr>
        <w:pStyle w:val="ListBullet"/>
        <w:spacing w:after="120"/>
      </w:pPr>
      <w:r>
        <w:rPr>
          <w:color w:val="132018"/>
          <w:sz w:val="21"/>
        </w:rPr>
        <w:t>Named the core difficulty as turning knowledge that lives only in experienced staff's heads into shared, written data.</w:t>
      </w:r>
    </w:p>
    <w:p>
      <w:pPr>
        <w:pStyle w:val="ListBullet"/>
        <w:spacing w:after="120"/>
      </w:pPr>
      <w:r>
        <w:rPr>
          <w:color w:val="132018"/>
          <w:sz w:val="21"/>
        </w:rPr>
        <w:t>Raised real cost pressure from cheaper competitors and the difficulty of hiring skilled on-site staff internationally as reasons manufacturers are turning to AI.</w:t>
      </w:r>
    </w:p>
    <w:p>
      <w:pPr>
        <w:pStyle w:val="ListBullet"/>
        <w:spacing w:after="120"/>
      </w:pPr>
      <w:r>
        <w:rPr>
          <w:color w:val="132018"/>
          <w:sz w:val="21"/>
        </w:rPr>
        <w:t>Closed with a candid point: when agents absorb roughly half a team's old workload, the goal isn't to cut the team — it's to move them to work the tools still can't do.</w:t>
      </w:r>
    </w:p>
    <w:p>
      <w:pPr>
        <w:shd w:val="clear" w:color="auto" w:fill="F1E8D4"/>
        <w:spacing w:before="120" w:after="120"/>
        <w:ind w:left="113"/>
      </w:pPr>
      <w:r>
        <w:rPr>
          <w:b/>
          <w:color w:val="6B5320"/>
          <w:sz w:val="17"/>
        </w:rPr>
        <w:t xml:space="preserve">VISION 2030 PILLAR(S): </w:t>
      </w:r>
      <w:r>
        <w:rPr>
          <w:color w:val="132018"/>
          <w:sz w:val="19"/>
        </w:rPr>
        <w:t>Future Ready</w:t>
      </w:r>
    </w:p>
    <w:p>
      <w:pPr>
        <w:spacing w:before="160" w:after="60"/>
      </w:pPr>
      <w:r>
        <w:rPr>
          <w:b/>
          <w:color w:val="3B5B7A"/>
          <w:sz w:val="18"/>
        </w:rPr>
        <w:t>INSIGHT</w:t>
      </w:r>
    </w:p>
    <w:p>
      <w:pPr>
        <w:spacing w:after="80"/>
      </w:pPr>
      <w:r>
        <w:rPr>
          <w:i/>
          <w:color w:val="48584D"/>
          <w:sz w:val="21"/>
        </w:rPr>
        <w:t>"Turning tacit knowledge into data" is functionally the same problem manufacturers have always had with retiring experienced staff; AI did not create it, it just raised the cost of not solving it. Schools face a close parallel: a veteran registrar or advisor's judgment about edge cases often lives entirely in that person's head, undocumented, until they retire or move on. Any AI tool meant to assist with these judgment calls will only be as good as the documentation effort that precedes it, which means the real first project is often a knowledge-capture exercise, not a software purchase.</w:t>
      </w:r>
    </w:p>
    <w:p>
      <w:pPr>
        <w:spacing w:before="160" w:after="60"/>
      </w:pPr>
      <w:r>
        <w:rPr>
          <w:b/>
          <w:color w:val="0C5C3D"/>
          <w:sz w:val="18"/>
        </w:rPr>
        <w:t>TAKEAWAY</w:t>
      </w:r>
    </w:p>
    <w:p>
      <w:pPr>
        <w:shd w:val="clear" w:color="auto" w:fill="E6EFE4"/>
        <w:spacing w:before="40" w:after="200"/>
        <w:ind w:left="113"/>
      </w:pPr>
      <w:r>
        <w:rPr>
          <w:b/>
          <w:color w:val="08291A"/>
          <w:sz w:val="21"/>
        </w:rPr>
        <w:t>Writing down tacit, expert-only knowledge is the unglamorous but unavoidable first step before any AI tool can be trusted with it — a Future Ready lesson for Benilde's registrar, advising, and financial-aid offices specifically, where institutional judgment calls are often concentrated in a small number of long-tenured staff.</w:t>
      </w:r>
    </w:p>
    <w:p>
      <w:pPr>
        <w:spacing w:after="40"/>
      </w:pPr>
    </w:p>
    <w:p>
      <w:pPr>
        <w:pBdr>
          <w:bottom w:val="single" w:sz="6" w:space="1" w:color="DFE3DC"/>
        </w:pBdr>
      </w:pPr>
    </w:p>
    <w:p/>
    <w:p>
      <w:r>
        <w:rPr>
          <w:rFonts w:ascii="Avenir Next" w:hAnsi="Avenir Next"/>
          <w:b/>
          <w:color w:val="132018"/>
          <w:sz w:val="25"/>
        </w:rPr>
        <w:t>Agentic AI Strategies for Building Digital Resilience</w:t>
      </w:r>
    </w:p>
    <w:p>
      <w:pPr>
        <w:spacing w:after="40"/>
      </w:pPr>
      <w:r>
        <w:rPr>
          <w:i/>
          <w:color w:val="7C8B7F"/>
          <w:sz w:val="19"/>
        </w:rPr>
        <w:t>디지털 레질리언스 구축을 위한 에이전틱 AI 전략</w:t>
      </w:r>
    </w:p>
    <w:p>
      <w:pPr>
        <w:spacing w:after="80"/>
      </w:pPr>
      <w:r>
        <w:rPr>
          <w:i/>
          <w:color w:val="08291A"/>
          <w:sz w:val="19"/>
        </w:rPr>
        <w:t>Cisco</w:t>
      </w:r>
    </w:p>
    <w:p>
      <w:pPr>
        <w:spacing w:before="160" w:after="60"/>
      </w:pPr>
      <w:r>
        <w:rPr>
          <w:b/>
          <w:color w:val="0C5C3D"/>
          <w:sz w:val="18"/>
        </w:rPr>
        <w:t>HIGHLIGHTS</w:t>
      </w:r>
    </w:p>
    <w:p>
      <w:pPr>
        <w:pStyle w:val="ListBullet"/>
        <w:spacing w:after="120"/>
      </w:pPr>
      <w:r>
        <w:rPr>
          <w:color w:val="132018"/>
          <w:sz w:val="21"/>
        </w:rPr>
        <w:t>Presented a shared data pipeline routing machine/system data into one low-cost store, then feeding AI training, compliance, security monitoring, incident response, and everyday AI agents from that single source.</w:t>
      </w:r>
    </w:p>
    <w:p>
      <w:pPr>
        <w:pStyle w:val="ListBullet"/>
        <w:spacing w:after="120"/>
      </w:pPr>
      <w:r>
        <w:rPr>
          <w:color w:val="132018"/>
          <w:sz w:val="21"/>
        </w:rPr>
        <w:t>Made the same point as the DeepMind talk from a different angle: one well-governed data foundation is the prerequisite for AI and security to work well together.</w:t>
      </w:r>
    </w:p>
    <w:p>
      <w:pPr>
        <w:jc w:val="center"/>
      </w:pPr>
      <w:r>
        <w:drawing>
          <wp:inline xmlns:a="http://schemas.openxmlformats.org/drawingml/2006/main" xmlns:pic="http://schemas.openxmlformats.org/drawingml/2006/picture">
            <wp:extent cx="3657600" cy="2743200"/>
            <wp:docPr id="13" name="Picture 13"/>
            <wp:cNvGraphicFramePr>
              <a:graphicFrameLocks noChangeAspect="1"/>
            </wp:cNvGraphicFramePr>
            <a:graphic>
              <a:graphicData uri="http://schemas.openxmlformats.org/drawingml/2006/picture">
                <pic:pic>
                  <pic:nvPicPr>
                    <pic:cNvPr id="0" name="cisco.jpg"/>
                    <pic:cNvPicPr/>
                  </pic:nvPicPr>
                  <pic:blipFill>
                    <a:blip r:embed="rId21"/>
                    <a:stretch>
                      <a:fillRect/>
                    </a:stretch>
                  </pic:blipFill>
                  <pic:spPr>
                    <a:xfrm>
                      <a:off x="0" y="0"/>
                      <a:ext cx="3657600" cy="2743200"/>
                    </a:xfrm>
                    <a:prstGeom prst="rect"/>
                  </pic:spPr>
                </pic:pic>
              </a:graphicData>
            </a:graphic>
          </wp:inline>
        </w:drawing>
      </w:r>
    </w:p>
    <w:p>
      <w:pPr>
        <w:spacing w:after="200"/>
        <w:jc w:val="center"/>
      </w:pPr>
      <w:r>
        <w:rPr>
          <w:i/>
          <w:color w:val="7C8B7F"/>
          <w:sz w:val="17"/>
        </w:rPr>
        <w:t>One shared data foundation feeding security, compliance, and AI agents alike.</w:t>
      </w:r>
    </w:p>
    <w:p>
      <w:pPr>
        <w:shd w:val="clear" w:color="auto" w:fill="F1E8D4"/>
        <w:spacing w:before="120" w:after="120"/>
        <w:ind w:left="113"/>
      </w:pPr>
      <w:r>
        <w:rPr>
          <w:b/>
          <w:color w:val="6B5320"/>
          <w:sz w:val="17"/>
        </w:rPr>
        <w:t xml:space="preserve">VISION 2030 PILLAR(S): </w:t>
      </w:r>
      <w:r>
        <w:rPr>
          <w:color w:val="132018"/>
          <w:sz w:val="19"/>
        </w:rPr>
        <w:t>Future Ready | Enhanced Reputation and Branding</w:t>
      </w:r>
    </w:p>
    <w:p>
      <w:pPr>
        <w:spacing w:before="160" w:after="60"/>
      </w:pPr>
      <w:r>
        <w:rPr>
          <w:b/>
          <w:color w:val="3B5B7A"/>
          <w:sz w:val="18"/>
        </w:rPr>
        <w:t>INSIGHT</w:t>
      </w:r>
    </w:p>
    <w:p>
      <w:pPr>
        <w:spacing w:after="80"/>
      </w:pPr>
      <w:r>
        <w:rPr>
          <w:i/>
          <w:color w:val="48584D"/>
          <w:sz w:val="21"/>
        </w:rPr>
        <w:t>Routing security and AI through the same pipeline is efficient, but it also means a security incident and an AI-agent failure will increasingly surface in the same monitoring system. For a school with limited IT staffing, this efficiency argument is compelling: one well-governed data foundation can support cybersecurity monitoring, compliance reporting, and AI-agent operations at once, instead of three separate systems each requiring its own maintenance. The tradeoff is that IT and the Digital Transformation Office need a clear, pre-agreed answer for who responds when an incident could plausibly be either a breach or an AI malfunction.</w:t>
      </w:r>
    </w:p>
    <w:p>
      <w:pPr>
        <w:spacing w:before="160" w:after="60"/>
      </w:pPr>
      <w:r>
        <w:rPr>
          <w:b/>
          <w:color w:val="0C5C3D"/>
          <w:sz w:val="18"/>
        </w:rPr>
        <w:t>TAKEAWAY</w:t>
      </w:r>
    </w:p>
    <w:p>
      <w:pPr>
        <w:shd w:val="clear" w:color="auto" w:fill="E6EFE4"/>
        <w:spacing w:before="40" w:after="200"/>
        <w:ind w:left="113"/>
      </w:pPr>
      <w:r>
        <w:rPr>
          <w:b/>
          <w:color w:val="08291A"/>
          <w:sz w:val="21"/>
        </w:rPr>
        <w:t>Cybersecurity and AI-agent readiness are converging on the same requirement — a Future Ready foundation that also protects Benilde's Enhanced Reputation and Branding position as a trustworthy institution, since one well-governed pipeline is both cheaper to maintain and less likely to produce the kind of visible failure that damages public trust.</w:t>
      </w:r>
    </w:p>
    <w:p>
      <w:pPr>
        <w:spacing w:after="40"/>
      </w:pPr>
    </w:p>
    <w:p>
      <w:pPr>
        <w:pBdr>
          <w:bottom w:val="single" w:sz="6" w:space="1" w:color="DFE3DC"/>
        </w:pBdr>
      </w:pPr>
    </w:p>
    <w:p/>
    <w:p>
      <w:r>
        <w:rPr>
          <w:rFonts w:ascii="Avenir Next" w:hAnsi="Avenir Next"/>
          <w:b/>
          <w:color w:val="132018"/>
          <w:sz w:val="25"/>
        </w:rPr>
        <w:t>From Intuition to Intelligence: How AI Has Redefined Revenue Growth</w:t>
      </w:r>
    </w:p>
    <w:p>
      <w:pPr>
        <w:spacing w:after="40"/>
      </w:pPr>
      <w:r>
        <w:rPr>
          <w:i/>
          <w:color w:val="7C8B7F"/>
          <w:sz w:val="19"/>
        </w:rPr>
        <w:t>세일즈 과학의 혁명: AI는 영업을 어떻게 바꼈는가</w:t>
      </w:r>
    </w:p>
    <w:p>
      <w:pPr>
        <w:spacing w:after="80"/>
      </w:pPr>
      <w:r>
        <w:rPr>
          <w:i/>
          <w:color w:val="08291A"/>
          <w:sz w:val="19"/>
        </w:rPr>
        <w:t>Barra O Briain — Head of APEC Sales, Gong</w:t>
      </w:r>
    </w:p>
    <w:p>
      <w:pPr>
        <w:spacing w:before="160" w:after="60"/>
      </w:pPr>
      <w:r>
        <w:rPr>
          <w:b/>
          <w:color w:val="0C5C3D"/>
          <w:sz w:val="18"/>
        </w:rPr>
        <w:t>HIGHLIGHTS</w:t>
      </w:r>
    </w:p>
    <w:p>
      <w:pPr>
        <w:pStyle w:val="ListBullet"/>
        <w:spacing w:after="120"/>
      </w:pPr>
      <w:r>
        <w:rPr>
          <w:color w:val="132018"/>
          <w:sz w:val="21"/>
        </w:rPr>
        <w:t>Cited a PwC study: 74% of AI's business value goes to just 20% of companies — because they redesigned how they work around it and invested in more oversight, not less.</w:t>
      </w:r>
    </w:p>
    <w:p>
      <w:pPr>
        <w:pStyle w:val="ListBullet"/>
        <w:spacing w:after="120"/>
      </w:pPr>
      <w:r>
        <w:rPr>
          <w:color w:val="132018"/>
          <w:sz w:val="21"/>
        </w:rPr>
        <w:t>Contrasted an 88% AI-adoption figure with a separate finding that 60% of AI projects are on track to miss their goals — "everyone has the tool, almost no one has the value."</w:t>
      </w:r>
    </w:p>
    <w:p>
      <w:pPr>
        <w:pStyle w:val="ListBullet"/>
        <w:spacing w:after="120"/>
      </w:pPr>
      <w:r>
        <w:rPr>
          <w:color w:val="132018"/>
          <w:sz w:val="21"/>
        </w:rPr>
        <w:t>Proposed a formula for a real AI win: time saved times how much better the actual outcome is. Most companies stop at the "time saved" half.</w:t>
      </w:r>
    </w:p>
    <w:p>
      <w:pPr>
        <w:pStyle w:val="ListBullet"/>
        <w:spacing w:after="120"/>
      </w:pPr>
      <w:r>
        <w:rPr>
          <w:color w:val="132018"/>
          <w:sz w:val="21"/>
        </w:rPr>
        <w:t>From analyzing millions of real sales calls: top-performing reps talk about 46% of the time versus 68% for average reps, and wait until later in the call to discuss price.</w:t>
      </w:r>
    </w:p>
    <w:p>
      <w:pPr>
        <w:pStyle w:val="ListBullet"/>
        <w:spacing w:after="120"/>
      </w:pPr>
      <w:r>
        <w:rPr>
          <w:color w:val="132018"/>
          <w:sz w:val="21"/>
        </w:rPr>
        <w:t>Cited customer results: roughly 10 hours a week given back per rep, 46-50% less time to ramp up new hires, and a self-reported 64% jump in productivity — with Anthropic named as one customer.</w:t>
      </w:r>
    </w:p>
    <w:p>
      <w:pPr>
        <w:jc w:val="center"/>
      </w:pPr>
      <w:r>
        <w:drawing>
          <wp:inline xmlns:a="http://schemas.openxmlformats.org/drawingml/2006/main" xmlns:pic="http://schemas.openxmlformats.org/drawingml/2006/picture">
            <wp:extent cx="3657600" cy="4876800"/>
            <wp:docPr id="14" name="Picture 14"/>
            <wp:cNvGraphicFramePr>
              <a:graphicFrameLocks noChangeAspect="1"/>
            </wp:cNvGraphicFramePr>
            <a:graphic>
              <a:graphicData uri="http://schemas.openxmlformats.org/drawingml/2006/picture">
                <pic:pic>
                  <pic:nvPicPr>
                    <pic:cNvPr id="0" name="gong.jpg"/>
                    <pic:cNvPicPr/>
                  </pic:nvPicPr>
                  <pic:blipFill>
                    <a:blip r:embed="rId22"/>
                    <a:stretch>
                      <a:fillRect/>
                    </a:stretch>
                  </pic:blipFill>
                  <pic:spPr>
                    <a:xfrm>
                      <a:off x="0" y="0"/>
                      <a:ext cx="3657600" cy="4876800"/>
                    </a:xfrm>
                    <a:prstGeom prst="rect"/>
                  </pic:spPr>
                </pic:pic>
              </a:graphicData>
            </a:graphic>
          </wp:inline>
        </w:drawing>
      </w:r>
    </w:p>
    <w:p>
      <w:pPr>
        <w:spacing w:after="200"/>
        <w:jc w:val="center"/>
      </w:pPr>
      <w:r>
        <w:rPr>
          <w:i/>
          <w:color w:val="7C8B7F"/>
          <w:sz w:val="17"/>
        </w:rPr>
        <w:t>Gong's closing credibility slide — company stats and industry-analyst rankings.</w:t>
      </w:r>
    </w:p>
    <w:p>
      <w:pPr>
        <w:shd w:val="clear" w:color="auto" w:fill="F1E8D4"/>
        <w:spacing w:before="120" w:after="120"/>
        <w:ind w:left="113"/>
      </w:pPr>
      <w:r>
        <w:rPr>
          <w:b/>
          <w:color w:val="6B5320"/>
          <w:sz w:val="17"/>
        </w:rPr>
        <w:t xml:space="preserve">VISION 2030 PILLAR(S): </w:t>
      </w:r>
      <w:r>
        <w:rPr>
          <w:color w:val="132018"/>
          <w:sz w:val="19"/>
        </w:rPr>
        <w:t>Enrollment Growth | Financial Growth</w:t>
      </w:r>
    </w:p>
    <w:p>
      <w:pPr>
        <w:spacing w:before="160" w:after="60"/>
      </w:pPr>
      <w:r>
        <w:rPr>
          <w:b/>
          <w:color w:val="3B5B7A"/>
          <w:sz w:val="18"/>
        </w:rPr>
        <w:t>INSIGHT</w:t>
      </w:r>
    </w:p>
    <w:p>
      <w:pPr>
        <w:spacing w:after="80"/>
      </w:pPr>
      <w:r>
        <w:rPr>
          <w:i/>
          <w:color w:val="48584D"/>
          <w:sz w:val="21"/>
        </w:rPr>
        <w:t>The formula is easy to state and hard to measure: "effectiveness" requires agreeing on what outcome you are optimizing for, and most organizations, schools included, have not had that conversation before adopting the tool — which is exactly how an institution ends up only measuring the efficiency half. For Benilde's Recruitment Chatbot and Advising Agent, efficiency is easy to track (response time, hours saved), but effectiveness requires agreeing in advance on the outcome that matters — conversion to enrollment, or improved retention — and building that measurement in from day one, not retrofitting it later.</w:t>
      </w:r>
    </w:p>
    <w:p>
      <w:pPr>
        <w:spacing w:before="160" w:after="60"/>
      </w:pPr>
      <w:r>
        <w:rPr>
          <w:b/>
          <w:color w:val="0C5C3D"/>
          <w:sz w:val="18"/>
        </w:rPr>
        <w:t>TAKEAWAY</w:t>
      </w:r>
    </w:p>
    <w:p>
      <w:pPr>
        <w:shd w:val="clear" w:color="auto" w:fill="E6EFE4"/>
        <w:spacing w:before="40" w:after="200"/>
        <w:ind w:left="113"/>
      </w:pPr>
      <w:r>
        <w:rPr>
          <w:b/>
          <w:color w:val="08291A"/>
          <w:sz w:val="21"/>
        </w:rPr>
        <w:t>"Time saved times outcome improved" applies directly to Benilde's Enrollment Growth funnel — the Recruitment Chatbot and Advising Agent both need this two-part measurement built in from the start. It is also a Financial Growth discipline for reporting any AI tool's real value to the Board in terms the Board can act on, not just adoption statistics.</w:t>
      </w:r>
    </w:p>
    <w:p>
      <w:pPr>
        <w:spacing w:after="40"/>
      </w:pPr>
    </w:p>
    <w:p>
      <w:pPr>
        <w:pBdr>
          <w:bottom w:val="single" w:sz="6" w:space="1" w:color="DFE3DC"/>
        </w:pBdr>
      </w:pPr>
    </w:p>
    <w:p/>
    <w:p>
      <w:r>
        <w:rPr>
          <w:rFonts w:ascii="Avenir Next" w:hAnsi="Avenir Next"/>
          <w:b/>
          <w:color w:val="132018"/>
          <w:sz w:val="25"/>
        </w:rPr>
        <w:t>Expo Highlights</w:t>
      </w:r>
    </w:p>
    <w:p>
      <w:pPr>
        <w:spacing w:after="80"/>
      </w:pPr>
      <w:r>
        <w:rPr>
          <w:i/>
          <w:color w:val="08291A"/>
          <w:sz w:val="19"/>
        </w:rPr>
        <w:t>Throughout both days - Expo Floor</w:t>
      </w:r>
    </w:p>
    <w:p>
      <w:pPr>
        <w:spacing w:before="160" w:after="60"/>
      </w:pPr>
      <w:r>
        <w:rPr>
          <w:b/>
          <w:color w:val="0C5C3D"/>
          <w:sz w:val="18"/>
        </w:rPr>
        <w:t>HIGHLIGHTS</w:t>
      </w:r>
    </w:p>
    <w:p>
      <w:pPr>
        <w:pStyle w:val="ListBullet"/>
        <w:spacing w:after="120"/>
      </w:pPr>
      <w:r>
        <w:rPr>
          <w:color w:val="132018"/>
          <w:sz w:val="21"/>
        </w:rPr>
      </w:r>
      <w:r>
        <w:rPr>
          <w:b/>
          <w:color w:val="08291A"/>
          <w:sz w:val="21"/>
        </w:rPr>
        <w:t>FAIN Robotics x AGIBOT</w:t>
      </w:r>
      <w:r>
        <w:rPr>
          <w:color w:val="132018"/>
          <w:sz w:val="21"/>
        </w:rPr>
        <w:t xml:space="preserve"> — humanoid and quadruped robots on live demo, the most direct physical illustration of "Physical AI" on the show floor.</w:t>
      </w:r>
    </w:p>
    <w:p>
      <w:pPr>
        <w:pStyle w:val="ListBullet"/>
        <w:spacing w:after="120"/>
      </w:pPr>
      <w:r>
        <w:rPr>
          <w:color w:val="132018"/>
          <w:sz w:val="21"/>
        </w:rPr>
      </w:r>
      <w:r>
        <w:rPr>
          <w:b/>
          <w:color w:val="08291A"/>
          <w:sz w:val="21"/>
        </w:rPr>
        <w:t>Golden Gate University</w:t>
      </w:r>
      <w:r>
        <w:rPr>
          <w:color w:val="132018"/>
          <w:sz w:val="21"/>
        </w:rPr>
        <w:t xml:space="preserve"> — a fully online doctorate in Applied &amp; Agentic AI for working AI practitioners.</w:t>
      </w:r>
    </w:p>
    <w:p>
      <w:pPr>
        <w:pStyle w:val="ListBullet"/>
        <w:spacing w:after="120"/>
      </w:pPr>
      <w:r>
        <w:rPr>
          <w:color w:val="132018"/>
          <w:sz w:val="21"/>
        </w:rPr>
      </w:r>
      <w:r>
        <w:rPr>
          <w:b/>
          <w:color w:val="08291A"/>
          <w:sz w:val="21"/>
        </w:rPr>
        <w:t>Foretell My Health</w:t>
      </w:r>
      <w:r>
        <w:rPr>
          <w:color w:val="132018"/>
          <w:sz w:val="21"/>
        </w:rPr>
        <w:t xml:space="preserve"> — a blood-based AI cancer-screening startup, starting with ovarian cancer risk.</w:t>
      </w:r>
    </w:p>
    <w:p>
      <w:pPr>
        <w:jc w:val="center"/>
      </w:pPr>
      <w:r>
        <w:drawing>
          <wp:inline xmlns:a="http://schemas.openxmlformats.org/drawingml/2006/main" xmlns:pic="http://schemas.openxmlformats.org/drawingml/2006/picture">
            <wp:extent cx="3657600" cy="4876800"/>
            <wp:docPr id="15" name="Picture 15"/>
            <wp:cNvGraphicFramePr>
              <a:graphicFrameLocks noChangeAspect="1"/>
            </wp:cNvGraphicFramePr>
            <a:graphic>
              <a:graphicData uri="http://schemas.openxmlformats.org/drawingml/2006/picture">
                <pic:pic>
                  <pic:nvPicPr>
                    <pic:cNvPr id="0" name="robots.jpg"/>
                    <pic:cNvPicPr/>
                  </pic:nvPicPr>
                  <pic:blipFill>
                    <a:blip r:embed="rId17"/>
                    <a:stretch>
                      <a:fillRect/>
                    </a:stretch>
                  </pic:blipFill>
                  <pic:spPr>
                    <a:xfrm>
                      <a:off x="0" y="0"/>
                      <a:ext cx="3657600" cy="4876800"/>
                    </a:xfrm>
                    <a:prstGeom prst="rect"/>
                  </pic:spPr>
                </pic:pic>
              </a:graphicData>
            </a:graphic>
          </wp:inline>
        </w:drawing>
      </w:r>
    </w:p>
    <w:p>
      <w:pPr>
        <w:spacing w:after="200"/>
        <w:jc w:val="center"/>
      </w:pPr>
      <w:r>
        <w:rPr>
          <w:i/>
          <w:color w:val="7C8B7F"/>
          <w:sz w:val="17"/>
        </w:rPr>
        <w:t>Humanoid and quadruped robots on display at the expo floor.</w:t>
      </w:r>
    </w:p>
    <w:p>
      <w:pPr>
        <w:shd w:val="clear" w:color="auto" w:fill="F1E8D4"/>
        <w:spacing w:before="120" w:after="120"/>
        <w:ind w:left="113"/>
      </w:pPr>
      <w:r>
        <w:rPr>
          <w:b/>
          <w:color w:val="6B5320"/>
          <w:sz w:val="17"/>
        </w:rPr>
        <w:t xml:space="preserve">VISION 2030 PILLAR(S): </w:t>
      </w:r>
      <w:r>
        <w:rPr>
          <w:color w:val="132018"/>
          <w:sz w:val="19"/>
        </w:rPr>
        <w:t>Enhanced Reputation and Branding | Global Partnership Engagement</w:t>
      </w:r>
    </w:p>
    <w:p/>
    <w:p>
      <w:pPr>
        <w:pBdr>
          <w:bottom w:val="single" w:sz="6" w:space="1" w:color="DFE3DC"/>
        </w:pBdr>
      </w:pPr>
    </w:p>
    <w:p/>
    <w:p>
      <w:r>
        <w:rPr>
          <w:sz w:val="20"/>
        </w:rPr>
        <w:t xml:space="preserve">Closing line from the live feed: </w:t>
      </w:r>
      <w:r>
        <w:rPr>
          <w:i/>
          <w:sz w:val="20"/>
        </w:rPr>
        <w:t>"Thank you once again for your insightful presentation. This concludes all the sessions of AI Summit Seoul 2026."</w:t>
      </w:r>
    </w:p>
    <w:p>
      <w:r>
        <w:br w:type="page"/>
      </w:r>
    </w:p>
    <w:p>
      <w:pPr>
        <w:pStyle w:val="Heading1"/>
      </w:pPr>
      <w:r>
        <w:rPr>
          <w:rFonts w:ascii="Avenir Next" w:hAnsi="Avenir Next"/>
          <w:color w:val="08291A"/>
          <w:sz w:val="36"/>
        </w:rPr>
        <w:t>Four Ideas That Kept Coming Back</w:t>
      </w:r>
    </w:p>
    <w:p>
      <w:r>
        <w:rPr>
          <w:i/>
          <w:color w:val="48584D"/>
          <w:sz w:val="20"/>
        </w:rPr>
        <w:t>Across all 21 sessions, regardless of industry or track, these four points kept resurfacing.</w:t>
      </w:r>
    </w:p>
    <w:p/>
    <w:p>
      <w:pPr>
        <w:spacing w:after="80"/>
      </w:pPr>
      <w:r>
        <w:rPr>
          <w:b/>
          <w:color w:val="08291A"/>
          <w:sz w:val="24"/>
        </w:rPr>
        <w:t>1.  Most AI pilots die before real use — and it's rarely the AI's fault</w:t>
      </w:r>
    </w:p>
    <w:p>
      <w:pPr>
        <w:spacing w:after="280"/>
      </w:pPr>
      <w:r>
        <w:rPr>
          <w:sz w:val="21"/>
        </w:rPr>
        <w:t>From the morning talk (94% saw no profit impact) to DeepMind's "80% never reach production" to the "who presses the button" problem: messy data, tools bolted onto old workflows, and hesitant leadership were named as the real blockers across five separate sessions on three different tracks.</w:t>
      </w:r>
    </w:p>
    <w:p>
      <w:pPr>
        <w:spacing w:after="80"/>
      </w:pPr>
      <w:r>
        <w:rPr>
          <w:b/>
          <w:color w:val="08291A"/>
          <w:sz w:val="24"/>
        </w:rPr>
        <w:t>2.  The hard part moved from "which model" to "how do we actually run this"</w:t>
      </w:r>
    </w:p>
    <w:p>
      <w:pPr>
        <w:spacing w:after="280"/>
      </w:pPr>
      <w:r>
        <w:rPr>
          <w:sz w:val="21"/>
        </w:rPr>
        <w:t>The maturity ladder for AI tools, the $9B+ race among major vendors to embed engineers in customer rollouts, and the "routing tasks to the right model isn't a strategy" warning all point the same way: picking a model is the easy part now.</w:t>
      </w:r>
    </w:p>
    <w:p>
      <w:pPr>
        <w:spacing w:after="80"/>
      </w:pPr>
      <w:r>
        <w:rPr>
          <w:b/>
          <w:color w:val="08291A"/>
          <w:sz w:val="24"/>
        </w:rPr>
        <w:t>3.  Physical AI needs a stricter safety bar than software AI</w:t>
      </w:r>
    </w:p>
    <w:p>
      <w:pPr>
        <w:spacing w:after="280"/>
      </w:pPr>
      <w:r>
        <w:rPr>
          <w:sz w:val="21"/>
        </w:rPr>
        <w:t>The Physical AI panel's "can it be undone?" rule, and its "test a wide range of conditions, not a fixed checklist" answer, echoed in the manufacturing panel's caution and in Seagate's storage-reliability framing. Once AI acts in the physical world, a mistake stops being "a wrong answer" and becomes "an accident."</w:t>
      </w:r>
    </w:p>
    <w:p>
      <w:pPr>
        <w:spacing w:after="80"/>
      </w:pPr>
      <w:r>
        <w:rPr>
          <w:b/>
          <w:color w:val="08291A"/>
          <w:sz w:val="24"/>
        </w:rPr>
        <w:t>4.  Good data is the prerequisite everyone agreed on, independently</w:t>
      </w:r>
    </w:p>
    <w:p>
      <w:pPr>
        <w:spacing w:after="280"/>
      </w:pPr>
      <w:r>
        <w:rPr>
          <w:sz w:val="21"/>
        </w:rPr>
        <w:t>ClickHouse, Seagate, DeepMind, Cisco, and the manufacturing panel all named the same prerequisite in different words: get the data organized and governed first, or nothing built on top works reliably.</w:t>
      </w:r>
    </w:p>
    <w:p>
      <w:r>
        <w:br w:type="page"/>
      </w:r>
    </w:p>
    <w:p>
      <w:pPr>
        <w:pStyle w:val="Heading1"/>
      </w:pPr>
      <w:r>
        <w:rPr>
          <w:rFonts w:ascii="Avenir Next" w:hAnsi="Avenir Next"/>
          <w:color w:val="08291A"/>
          <w:sz w:val="36"/>
        </w:rPr>
        <w:t>Vision 2030 Alignment: Who Makes This Real</w:t>
      </w:r>
    </w:p>
    <w:p>
      <w:r>
        <w:rPr>
          <w:color w:val="48584D"/>
          <w:sz w:val="21"/>
        </w:rPr>
        <w:t>The ideas above are only useful if someone owns turning them into action. This section maps the summit's themes onto the five strategic pillars from the Vision 2030 roadmap discussion — with a specific office or role named against each recommendation, because the summit's own most-repeated failure mode was exactly this: no one senior owning the decision to act. Treat the office names below as a starting proposal, not an already-approved assignment.</w:t>
      </w:r>
    </w:p>
    <w:p/>
    <w:p>
      <w:pPr>
        <w:spacing w:after="80"/>
      </w:pPr>
      <w:r>
        <w:rPr>
          <w:b/>
          <w:color w:val="08291A"/>
          <w:sz w:val="25"/>
        </w:rPr>
        <w:t>1.  Enrollment Growth</w:t>
      </w:r>
    </w:p>
    <w:p>
      <w:pPr>
        <w:spacing w:after="80"/>
      </w:pPr>
      <w:r>
        <w:rPr>
          <w:color w:val="132018"/>
          <w:sz w:val="21"/>
        </w:rPr>
        <w:t>Give the Recruitment Chatbot persistent context across a prospect's full journey (inquiry -&gt; application -&gt; enrollment). Apply the reversibility test to the Academic Advising Agent now, while it's still in development: advising nudges are AI-assisted; anything hard to undo (probation, drop recommendations) stays human-decided.</w:t>
      </w:r>
    </w:p>
    <w:p>
      <w:pPr>
        <w:shd w:val="clear" w:color="auto" w:fill="F1E8D4"/>
        <w:spacing w:after="280"/>
        <w:ind w:left="113"/>
      </w:pPr>
      <w:r>
        <w:rPr>
          <w:b/>
          <w:color w:val="8A6C2C"/>
          <w:sz w:val="18"/>
        </w:rPr>
        <w:t xml:space="preserve">RESPONSIBLE: </w:t>
      </w:r>
      <w:r>
        <w:rPr>
          <w:color w:val="132018"/>
          <w:sz w:val="20"/>
        </w:rPr>
        <w:t>Center of Educational Technology (CET), with Admissions for the chatbot; Academic Council for advising-agent guardrails.</w:t>
      </w:r>
    </w:p>
    <w:p>
      <w:pPr>
        <w:spacing w:after="80"/>
      </w:pPr>
      <w:r>
        <w:rPr>
          <w:b/>
          <w:color w:val="08291A"/>
          <w:sz w:val="25"/>
        </w:rPr>
        <w:t>2.  Enhanced Reputation and Branding</w:t>
      </w:r>
    </w:p>
    <w:p>
      <w:pPr>
        <w:spacing w:after="80"/>
      </w:pPr>
      <w:r>
        <w:rPr>
          <w:color w:val="132018"/>
          <w:sz w:val="21"/>
        </w:rPr>
        <w:t>Publish a first AI case study once Phase 2 pilot results land, honest results included. Brand Benilde's public AI position around governance discipline specifically, not raw capability.</w:t>
      </w:r>
    </w:p>
    <w:p>
      <w:pPr>
        <w:shd w:val="clear" w:color="auto" w:fill="F1E8D4"/>
        <w:spacing w:after="280"/>
        <w:ind w:left="113"/>
      </w:pPr>
      <w:r>
        <w:rPr>
          <w:b/>
          <w:color w:val="8A6C2C"/>
          <w:sz w:val="18"/>
        </w:rPr>
        <w:t xml:space="preserve">RESPONSIBLE: </w:t>
      </w:r>
      <w:r>
        <w:rPr>
          <w:color w:val="132018"/>
          <w:sz w:val="20"/>
        </w:rPr>
        <w:t>Marketing &amp; Communications, with CET for content; Office of the Chancellor for public positioning.</w:t>
      </w:r>
    </w:p>
    <w:p>
      <w:pPr>
        <w:spacing w:after="80"/>
      </w:pPr>
      <w:r>
        <w:rPr>
          <w:b/>
          <w:color w:val="08291A"/>
          <w:sz w:val="25"/>
        </w:rPr>
        <w:t>3.  Future Ready</w:t>
      </w:r>
    </w:p>
    <w:p>
      <w:pPr>
        <w:spacing w:after="80"/>
      </w:pPr>
      <w:r>
        <w:rPr>
          <w:color w:val="132018"/>
          <w:sz w:val="21"/>
        </w:rPr>
        <w:t>Add the three-question go/no-go gate (system change needed? failure fits cycle time? retraining data clearly owned?) to every Phase 2 pilot before it's proposed for Phase 3 scale-up. Confirm the data warehouse can handle agentic query load before the college-wide platform is selected.</w:t>
      </w:r>
    </w:p>
    <w:p>
      <w:pPr>
        <w:shd w:val="clear" w:color="auto" w:fill="F1E8D4"/>
        <w:spacing w:after="280"/>
        <w:ind w:left="113"/>
      </w:pPr>
      <w:r>
        <w:rPr>
          <w:b/>
          <w:color w:val="8A6C2C"/>
          <w:sz w:val="18"/>
        </w:rPr>
        <w:t xml:space="preserve">RESPONSIBLE: </w:t>
      </w:r>
      <w:r>
        <w:rPr>
          <w:color w:val="132018"/>
          <w:sz w:val="20"/>
        </w:rPr>
        <w:t>CET and Academic Council for the go/no-go gate; CET / IT infrastructure for the data warehouse review.</w:t>
      </w:r>
    </w:p>
    <w:p>
      <w:pPr>
        <w:spacing w:after="80"/>
      </w:pPr>
      <w:r>
        <w:rPr>
          <w:b/>
          <w:color w:val="08291A"/>
          <w:sz w:val="25"/>
        </w:rPr>
        <w:t>4.  Global Partnership Engagement</w:t>
      </w:r>
    </w:p>
    <w:p>
      <w:pPr>
        <w:spacing w:after="80"/>
      </w:pPr>
      <w:r>
        <w:rPr>
          <w:color w:val="132018"/>
          <w:sz w:val="21"/>
        </w:rPr>
        <w:t>Require every shortlisted Phase 2 platform vendor to disclose what deployment support is bundled into their contract. Scope one applied-research partnership with a lab offering free academic-tier tools.</w:t>
      </w:r>
    </w:p>
    <w:p>
      <w:pPr>
        <w:shd w:val="clear" w:color="auto" w:fill="F1E8D4"/>
        <w:spacing w:after="280"/>
        <w:ind w:left="113"/>
      </w:pPr>
      <w:r>
        <w:rPr>
          <w:b/>
          <w:color w:val="8A6C2C"/>
          <w:sz w:val="18"/>
        </w:rPr>
        <w:t xml:space="preserve">RESPONSIBLE: </w:t>
      </w:r>
      <w:r>
        <w:rPr>
          <w:color w:val="132018"/>
          <w:sz w:val="20"/>
        </w:rPr>
        <w:t>CET and Procurement for vendor terms; Office of the Chancellor and academic deans for research partnerships.</w:t>
      </w:r>
    </w:p>
    <w:p>
      <w:pPr>
        <w:spacing w:after="80"/>
      </w:pPr>
      <w:r>
        <w:rPr>
          <w:b/>
          <w:color w:val="08291A"/>
          <w:sz w:val="25"/>
        </w:rPr>
        <w:t>5.  Financial Growth</w:t>
      </w:r>
    </w:p>
    <w:p>
      <w:pPr>
        <w:spacing w:after="80"/>
      </w:pPr>
      <w:r>
        <w:rPr>
          <w:color w:val="132018"/>
          <w:sz w:val="21"/>
        </w:rPr>
        <w:t>Report Phase 2 pilot results to the Board on both efficiency and effectiveness, not adoption numbers alone. Release Phase 3 scale-up budget in gated tranches tied to Phase 2 evidence, not as one lump commitment.</w:t>
      </w:r>
    </w:p>
    <w:p>
      <w:pPr>
        <w:shd w:val="clear" w:color="auto" w:fill="F1E8D4"/>
        <w:spacing w:after="280"/>
        <w:ind w:left="113"/>
      </w:pPr>
      <w:r>
        <w:rPr>
          <w:b/>
          <w:color w:val="8A6C2C"/>
          <w:sz w:val="18"/>
        </w:rPr>
        <w:t xml:space="preserve">RESPONSIBLE: </w:t>
      </w:r>
      <w:r>
        <w:rPr>
          <w:color w:val="132018"/>
          <w:sz w:val="20"/>
        </w:rPr>
        <w:t>CET and Finance for reporting format; the Board / Leadership Team for gated budget release.</w:t>
      </w:r>
    </w:p>
    <w:p>
      <w:pPr>
        <w:spacing w:before="160" w:after="60"/>
      </w:pPr>
      <w:r>
        <w:rPr>
          <w:b/>
          <w:color w:val="3B5B7A"/>
          <w:sz w:val="18"/>
        </w:rPr>
        <w:t>WHO LEADS THIS, OVERALL</w:t>
      </w:r>
    </w:p>
    <w:p>
      <w:r>
        <w:rPr>
          <w:color w:val="132018"/>
          <w:sz w:val="21"/>
        </w:rPr>
        <w:t xml:space="preserve">A single accountable office, not a rotating committee, is what turns the five rows above from a wish list into a plan. </w:t>
      </w:r>
      <w:r>
        <w:rPr>
          <w:b/>
          <w:color w:val="08291A"/>
          <w:sz w:val="21"/>
        </w:rPr>
        <w:t>Proposed lead role:</w:t>
      </w:r>
      <w:r>
        <w:rPr>
          <w:color w:val="132018"/>
          <w:sz w:val="21"/>
        </w:rPr>
        <w:t xml:space="preserve"> a Director, Office of AI-Enabled Transformation (new or an elevated existing role), reporting to the Office of the Chancellor, with the Center of Educational Technology as its operating arm. </w:t>
      </w:r>
      <w:r>
        <w:rPr>
          <w:b/>
          <w:color w:val="08291A"/>
          <w:sz w:val="21"/>
        </w:rPr>
        <w:t>Decision authority:</w:t>
      </w:r>
      <w:r>
        <w:rPr>
          <w:color w:val="132018"/>
          <w:sz w:val="21"/>
        </w:rPr>
        <w:t xml:space="preserve"> that Director applies the go/no-go gate above and recommends scale-up; the Chancellor's Office holds final sign-off on anything budget-significant or reputationally sensitive. Naming this now, in writing, before the first pilot is ready to scale, is what prevents the summit's single most common failure: a good pilot that never finds anyone willing to press the button.</w:t>
      </w:r>
    </w:p>
    <w:p/>
    <w:p>
      <w:pPr>
        <w:spacing w:before="160" w:after="60"/>
      </w:pPr>
      <w:r>
        <w:rPr>
          <w:b/>
          <w:color w:val="3B5B7A"/>
          <w:sz w:val="18"/>
        </w:rPr>
        <w:t>POSSIBLE BUDGET SOURCES</w:t>
      </w:r>
    </w:p>
    <w:p>
      <w:pPr>
        <w:pStyle w:val="ListBullet"/>
        <w:spacing w:after="120"/>
      </w:pPr>
      <w:r>
        <w:rPr>
          <w:color w:val="132018"/>
          <w:sz w:val="21"/>
        </w:rPr>
        <w:t>An institutional strategic/innovation fund or a Board-approved capital line, released in gated tranches tied to pilot results.</w:t>
      </w:r>
    </w:p>
    <w:p>
      <w:pPr>
        <w:pStyle w:val="ListBullet"/>
        <w:spacing w:after="120"/>
      </w:pPr>
      <w:r>
        <w:rPr>
          <w:color w:val="132018"/>
          <w:sz w:val="21"/>
        </w:rPr>
        <w:t>Reallocation within the existing IT/EdTech operating budget as lower-value tools are retired.</w:t>
      </w:r>
    </w:p>
    <w:p>
      <w:pPr>
        <w:pStyle w:val="ListBullet"/>
        <w:spacing w:after="120"/>
      </w:pPr>
      <w:r>
        <w:rPr>
          <w:color w:val="132018"/>
          <w:sz w:val="21"/>
        </w:rPr>
        <w:t>Vendor/partner co-investment — several AI vendors now bundle deployment support into platform contracts at no extra cost.</w:t>
      </w:r>
    </w:p>
    <w:p>
      <w:pPr>
        <w:pStyle w:val="ListBullet"/>
        <w:spacing w:after="120"/>
      </w:pPr>
      <w:r>
        <w:rPr>
          <w:color w:val="132018"/>
          <w:sz w:val="21"/>
        </w:rPr>
        <w:t>External grants or partnership funding, including through existing research-partner relationships.</w:t>
      </w:r>
    </w:p>
    <w:p>
      <w:pPr>
        <w:pStyle w:val="ListBullet"/>
        <w:spacing w:after="120"/>
      </w:pPr>
      <w:r>
        <w:rPr>
          <w:color w:val="132018"/>
          <w:sz w:val="21"/>
        </w:rPr>
        <w:t>Philanthropic or alumni giving earmarked for innovation, worth a joint feasibility check with Advancement.</w:t>
      </w:r>
    </w:p>
    <w:p>
      <w:r>
        <w:br w:type="page"/>
      </w:r>
    </w:p>
    <w:p>
      <w:pPr>
        <w:pStyle w:val="Heading1"/>
      </w:pPr>
      <w:r>
        <w:rPr>
          <w:rFonts w:ascii="Avenir Next" w:hAnsi="Avenir Next"/>
          <w:color w:val="08291A"/>
          <w:sz w:val="36"/>
        </w:rPr>
        <w:t>AI Implementation: Roles &amp; Responsibilities</w:t>
      </w:r>
    </w:p>
    <w:p>
      <w:r>
        <w:rPr>
          <w:color w:val="48584D"/>
          <w:sz w:val="21"/>
        </w:rPr>
        <w:t>The summit's clearest lesson was that roles without a decision path just recreate the "ad hoc committee" problem the Vision 2030 roadmap already flags. Below is a proposed model for who does what, and who ultimately decides.</w:t>
      </w:r>
    </w:p>
    <w:p/>
    <w:p>
      <w:pPr>
        <w:spacing w:after="40"/>
      </w:pPr>
      <w:r>
        <w:rPr>
          <w:b/>
          <w:color w:val="08291A"/>
          <w:sz w:val="26"/>
        </w:rPr>
        <w:t>1. Digital Transformation Office (Program Lead)</w:t>
      </w:r>
    </w:p>
    <w:p>
      <w:pPr>
        <w:spacing w:after="120"/>
      </w:pPr>
      <w:r>
        <w:rPr>
          <w:i/>
          <w:color w:val="3B5B7A"/>
          <w:sz w:val="20"/>
        </w:rPr>
        <w:t>The orchestrator, not the builder of everything.</w:t>
      </w:r>
    </w:p>
    <w:p>
      <w:pPr>
        <w:pStyle w:val="ListBullet"/>
        <w:spacing w:after="100"/>
      </w:pPr>
      <w:r>
        <w:rPr>
          <w:color w:val="132018"/>
          <w:sz w:val="20"/>
        </w:rPr>
        <w:t>Owns the roadmap's cadence and the master pilot list — the one place that can see across IT, CET, and Academic Affairs at once.</w:t>
      </w:r>
    </w:p>
    <w:p>
      <w:pPr>
        <w:pStyle w:val="ListBullet"/>
        <w:spacing w:after="100"/>
      </w:pPr>
      <w:r>
        <w:rPr>
          <w:color w:val="132018"/>
          <w:sz w:val="20"/>
        </w:rPr>
        <w:t>Runs the three-question go/no-go gate on every pilot before it's proposed for scale-up.</w:t>
      </w:r>
    </w:p>
    <w:p>
      <w:pPr>
        <w:pStyle w:val="ListBullet"/>
        <w:spacing w:after="100"/>
      </w:pPr>
      <w:r>
        <w:rPr>
          <w:color w:val="132018"/>
          <w:sz w:val="20"/>
        </w:rPr>
        <w:t>Prepares Board/BLT reporting on both efficiency and effectiveness, not adoption numbers alone.</w:t>
      </w:r>
    </w:p>
    <w:p>
      <w:pPr>
        <w:pStyle w:val="ListBullet"/>
        <w:spacing w:after="100"/>
      </w:pPr>
      <w:r>
        <w:rPr>
          <w:color w:val="132018"/>
          <w:sz w:val="20"/>
        </w:rPr>
        <w:t>Escalates anything hitting the reversibility line to Leadership — does not decide it alone.</w:t>
      </w:r>
    </w:p>
    <w:p>
      <w:pPr>
        <w:spacing w:after="80"/>
      </w:pPr>
    </w:p>
    <w:p>
      <w:pPr>
        <w:spacing w:after="40"/>
      </w:pPr>
      <w:r>
        <w:rPr>
          <w:b/>
          <w:color w:val="08291A"/>
          <w:sz w:val="26"/>
        </w:rPr>
        <w:t>2. IT Team</w:t>
      </w:r>
    </w:p>
    <w:p>
      <w:pPr>
        <w:spacing w:after="120"/>
      </w:pPr>
      <w:r>
        <w:rPr>
          <w:i/>
          <w:color w:val="3B5B7A"/>
          <w:sz w:val="20"/>
        </w:rPr>
        <w:t>The infrastructure and safety net.</w:t>
      </w:r>
    </w:p>
    <w:p>
      <w:pPr>
        <w:pStyle w:val="ListBullet"/>
        <w:spacing w:after="100"/>
      </w:pPr>
      <w:r>
        <w:rPr>
          <w:color w:val="132018"/>
          <w:sz w:val="20"/>
        </w:rPr>
        <w:t>Owns the data-warehouse / agentic-query-capacity question before any platform is selected college-wide.</w:t>
      </w:r>
    </w:p>
    <w:p>
      <w:pPr>
        <w:pStyle w:val="ListBullet"/>
        <w:spacing w:after="100"/>
      </w:pPr>
      <w:r>
        <w:rPr>
          <w:color w:val="132018"/>
          <w:sz w:val="20"/>
        </w:rPr>
        <w:t>Runs security review on every AI vendor: data residency, access scope, breach exposure.</w:t>
      </w:r>
    </w:p>
    <w:p>
      <w:pPr>
        <w:pStyle w:val="ListBullet"/>
        <w:spacing w:after="100"/>
      </w:pPr>
      <w:r>
        <w:rPr>
          <w:color w:val="132018"/>
          <w:sz w:val="20"/>
        </w:rPr>
        <w:t>Owns uptime and support once a pilot graduates from CET's hands into daily operations.</w:t>
      </w:r>
    </w:p>
    <w:p>
      <w:pPr>
        <w:spacing w:after="80"/>
      </w:pPr>
    </w:p>
    <w:p>
      <w:pPr>
        <w:spacing w:after="40"/>
      </w:pPr>
      <w:r>
        <w:rPr>
          <w:b/>
          <w:color w:val="08291A"/>
          <w:sz w:val="26"/>
        </w:rPr>
        <w:t>3. Innovation &amp; EdTech (Center of Educational Technology)</w:t>
      </w:r>
    </w:p>
    <w:p>
      <w:pPr>
        <w:spacing w:after="120"/>
      </w:pPr>
      <w:r>
        <w:rPr>
          <w:i/>
          <w:color w:val="3B5B7A"/>
          <w:sz w:val="20"/>
        </w:rPr>
        <w:t>The pedagogical and use-case owner.</w:t>
      </w:r>
    </w:p>
    <w:p>
      <w:pPr>
        <w:pStyle w:val="ListBullet"/>
        <w:spacing w:after="100"/>
      </w:pPr>
      <w:r>
        <w:rPr>
          <w:color w:val="132018"/>
          <w:sz w:val="20"/>
        </w:rPr>
        <w:t>Vets tools against the EdTech AI Tools Guide rubric before anything reaches a classroom or advisor.</w:t>
      </w:r>
    </w:p>
    <w:p>
      <w:pPr>
        <w:pStyle w:val="ListBullet"/>
        <w:spacing w:after="100"/>
      </w:pPr>
      <w:r>
        <w:rPr>
          <w:color w:val="132018"/>
          <w:sz w:val="20"/>
        </w:rPr>
        <w:t>Runs the actual pilots (syllabus AI, Academic Advising Agent, Mental Health Agent) and reports results.</w:t>
      </w:r>
    </w:p>
    <w:p>
      <w:pPr>
        <w:pStyle w:val="ListBullet"/>
        <w:spacing w:after="100"/>
      </w:pPr>
      <w:r>
        <w:rPr>
          <w:color w:val="132018"/>
          <w:sz w:val="20"/>
        </w:rPr>
        <w:t>Owns faculty and student training under the AI Literacy Framework.</w:t>
      </w:r>
    </w:p>
    <w:p>
      <w:pPr>
        <w:spacing w:after="80"/>
      </w:pPr>
    </w:p>
    <w:p>
      <w:pPr>
        <w:spacing w:after="40"/>
      </w:pPr>
      <w:r>
        <w:rPr>
          <w:b/>
          <w:color w:val="08291A"/>
          <w:sz w:val="26"/>
        </w:rPr>
        <w:t>4. Leadership (VP for Admin &amp; Innovation, Office of the Chancellor, BLT)</w:t>
      </w:r>
    </w:p>
    <w:p>
      <w:pPr>
        <w:spacing w:after="120"/>
      </w:pPr>
      <w:r>
        <w:rPr>
          <w:i/>
          <w:color w:val="3B5B7A"/>
          <w:sz w:val="20"/>
        </w:rPr>
        <w:t>The risk owner and budget releaser — the "who presses the button" role the summit's most-repeated failure mode says usually goes unfilled.</w:t>
      </w:r>
    </w:p>
    <w:p>
      <w:pPr>
        <w:pStyle w:val="ListBullet"/>
        <w:spacing w:after="100"/>
      </w:pPr>
      <w:r>
        <w:rPr>
          <w:color w:val="132018"/>
          <w:sz w:val="20"/>
        </w:rPr>
        <w:t>Signs off on anything budget-significant or reputationally sensitive.</w:t>
      </w:r>
    </w:p>
    <w:p>
      <w:pPr>
        <w:pStyle w:val="ListBullet"/>
        <w:spacing w:after="100"/>
      </w:pPr>
      <w:r>
        <w:rPr>
          <w:color w:val="132018"/>
          <w:sz w:val="20"/>
        </w:rPr>
        <w:t>Releases Phase 3 scale-up funding in gated tranches tied to Phase 2 evidence, not as one lump commitment.</w:t>
      </w:r>
    </w:p>
    <w:p>
      <w:pPr>
        <w:pStyle w:val="ListBullet"/>
        <w:spacing w:after="100"/>
      </w:pPr>
      <w:r>
        <w:rPr>
          <w:color w:val="132018"/>
          <w:sz w:val="20"/>
        </w:rPr>
        <w:t>Sets the non-negotiable boundary: which decisions, per the reversibility test, never become AI's call no matter how well a pilot performs.</w:t>
      </w:r>
    </w:p>
    <w:p>
      <w:pPr>
        <w:spacing w:after="80"/>
      </w:pPr>
    </w:p>
    <w:p>
      <w:pPr>
        <w:spacing w:after="40"/>
      </w:pPr>
      <w:r>
        <w:rPr>
          <w:b/>
          <w:color w:val="08291A"/>
          <w:sz w:val="26"/>
        </w:rPr>
        <w:t>5. Other School Leaders (Academic Council, Deans/Program Chairs, Finance, Marketing &amp; Comms, Student Affairs)</w:t>
      </w:r>
    </w:p>
    <w:p>
      <w:pPr>
        <w:spacing w:after="120"/>
      </w:pPr>
      <w:r>
        <w:rPr>
          <w:i/>
          <w:color w:val="3B5B7A"/>
          <w:sz w:val="20"/>
        </w:rPr>
        <w:t>The domain implementers — a pilot that works in CET's hands still needs a Dean or Program Chair to make it standard practice.</w:t>
      </w:r>
    </w:p>
    <w:p>
      <w:pPr>
        <w:pStyle w:val="ListBullet"/>
        <w:spacing w:after="100"/>
      </w:pPr>
      <w:r>
        <w:rPr>
          <w:color w:val="132018"/>
          <w:sz w:val="20"/>
        </w:rPr>
        <w:t>Academic Council: policy guardrails for anything touching grading, advising, or academic integrity.</w:t>
      </w:r>
    </w:p>
    <w:p>
      <w:pPr>
        <w:pStyle w:val="ListBullet"/>
        <w:spacing w:after="100"/>
      </w:pPr>
      <w:r>
        <w:rPr>
          <w:color w:val="132018"/>
          <w:sz w:val="20"/>
        </w:rPr>
        <w:t>Finance: the efficiency-times-effectiveness reporting format, and sign-off on budget tranches.</w:t>
      </w:r>
    </w:p>
    <w:p>
      <w:pPr>
        <w:pStyle w:val="ListBullet"/>
        <w:spacing w:after="100"/>
      </w:pPr>
      <w:r>
        <w:rPr>
          <w:color w:val="132018"/>
          <w:sz w:val="20"/>
        </w:rPr>
        <w:t>Marketing &amp; Communications: the public "governance discipline" narrative.</w:t>
      </w:r>
    </w:p>
    <w:p>
      <w:pPr>
        <w:pStyle w:val="ListBullet"/>
        <w:spacing w:after="100"/>
      </w:pPr>
      <w:r>
        <w:rPr>
          <w:color w:val="132018"/>
          <w:sz w:val="20"/>
        </w:rPr>
        <w:t>Student Affairs: co-owns the Mental Health Agent given its stakes.</w:t>
      </w:r>
    </w:p>
    <w:p>
      <w:pPr>
        <w:spacing w:after="80"/>
      </w:pPr>
    </w:p>
    <w:p>
      <w:pPr>
        <w:spacing w:before="160" w:after="60"/>
      </w:pPr>
      <w:r>
        <w:rPr>
          <w:b/>
          <w:color w:val="6B5320"/>
          <w:sz w:val="18"/>
        </w:rPr>
        <w:t>THE DECISION PATH</w:t>
      </w:r>
    </w:p>
    <w:p>
      <w:pPr>
        <w:shd w:val="clear" w:color="auto" w:fill="F1E8D4"/>
        <w:spacing w:after="200"/>
        <w:ind w:left="113"/>
      </w:pPr>
      <w:r>
        <w:rPr>
          <w:b/>
          <w:color w:val="132018"/>
          <w:sz w:val="21"/>
        </w:rPr>
        <w:t>CET pilots  -&gt;  Digital Transformation Office runs the go/no-go gate  -&gt;  IT signs off on infrastructure/security  -&gt;  Leadership approves scale + budget  -&gt;  the domain leader owns rollout in their unit. Any step that hits the reversibility line routes to Leadership regardless of how well the pilot tested.</w:t>
      </w:r>
    </w:p>
    <w:p>
      <w:r>
        <w:br w:type="page"/>
      </w:r>
    </w:p>
    <w:p>
      <w:pPr>
        <w:pStyle w:val="Heading1"/>
      </w:pPr>
      <w:r>
        <w:rPr>
          <w:rFonts w:ascii="Avenir Next" w:hAnsi="Avenir Next"/>
          <w:color w:val="08291A"/>
          <w:sz w:val="36"/>
        </w:rPr>
        <w:t>Peer Benchmarks: What Other Schools Are Already Doing</w:t>
      </w:r>
    </w:p>
    <w:p>
      <w:r>
        <w:rPr>
          <w:color w:val="48584D"/>
          <w:sz w:val="21"/>
        </w:rPr>
        <w:t>These are named, sourced examples, not summit talk, but documented institutional moves already underway at other universities. Each is linked so it can be independently verified before it is cited externally.</w:t>
      </w:r>
    </w:p>
    <w:p/>
    <w:p>
      <w:pPr>
        <w:spacing w:after="40"/>
      </w:pPr>
      <w:r>
        <w:rPr>
          <w:b/>
          <w:color w:val="08291A"/>
          <w:sz w:val="26"/>
        </w:rPr>
        <w:t>Arizona State University x OpenAI</w:t>
      </w:r>
    </w:p>
    <w:p>
      <w:pPr>
        <w:spacing w:after="120"/>
      </w:pPr>
      <w:r>
        <w:rPr>
          <w:b/>
          <w:color w:val="3B5B7A"/>
          <w:sz w:val="18"/>
        </w:rPr>
        <w:t>GLOBAL PARTNERSHIP ENGAGEMENT</w:t>
      </w:r>
    </w:p>
    <w:p>
      <w:pPr>
        <w:spacing w:after="100"/>
      </w:pPr>
      <w:r>
        <w:rPr>
          <w:color w:val="132018"/>
          <w:sz w:val="20"/>
        </w:rPr>
        <w:t>ASU became the first university with an institutional-level OpenAI partnership in January 2024, and has since expanded it to give every student, faculty, and staff member free access to ChatGPT Edu with GPT-5. Nearly 700 projects have come out of its internal "AI Innovation Challenge," with more than 175 proposals submitted in the first two weeks alone. This is the most direct precedent for what a bundled, vendor-supported campus-wide rollout can look like at scale.</w:t>
      </w:r>
    </w:p>
    <w:p>
      <w:pPr>
        <w:spacing w:after="280"/>
      </w:pPr>
      <w:r>
        <w:rPr>
          <w:b/>
          <w:color w:val="7C8B7F"/>
          <w:sz w:val="19"/>
        </w:rPr>
        <w:t xml:space="preserve">Source: </w:t>
      </w:r>
      <w:hyperlink r:id="rId23">
        <w:r>
          <w:rPr>
            <w:color w:val="0C5C3D"/>
            <w:u w:val="single"/>
            <w:sz w:val="19"/>
          </w:rPr>
          <w:t>ASU Enterprise Technology, "ASU and OpenAI expand collaboration"</w:t>
        </w:r>
      </w:hyperlink>
    </w:p>
    <w:p>
      <w:pPr>
        <w:spacing w:after="40"/>
      </w:pPr>
      <w:r>
        <w:rPr>
          <w:b/>
          <w:color w:val="08291A"/>
          <w:sz w:val="26"/>
        </w:rPr>
        <w:t>National University of Singapore x OpenAI</w:t>
      </w:r>
    </w:p>
    <w:p>
      <w:pPr>
        <w:spacing w:after="120"/>
      </w:pPr>
      <w:r>
        <w:rPr>
          <w:b/>
          <w:color w:val="3B5B7A"/>
          <w:sz w:val="18"/>
        </w:rPr>
        <w:t>GLOBAL PARTNERSHIP ENGAGEMENT</w:t>
      </w:r>
    </w:p>
    <w:p>
      <w:pPr>
        <w:spacing w:after="100"/>
      </w:pPr>
      <w:r>
        <w:rPr>
          <w:color w:val="132018"/>
          <w:sz w:val="20"/>
        </w:rPr>
        <w:t>NUS announced a strategic OpenAI collaboration rolling out ChatGPT Edu to all students, faculty, and staff starting August 31, 2026, alongside new curriculum requirements and research platforms. As the closest Asia-Pacific peer example to what Benilde is weighing for its Phase 2 platform decision, it is a useful reference point for contract terms and rollout sequencing.</w:t>
      </w:r>
    </w:p>
    <w:p>
      <w:pPr>
        <w:spacing w:after="280"/>
      </w:pPr>
      <w:r>
        <w:rPr>
          <w:b/>
          <w:color w:val="7C8B7F"/>
          <w:sz w:val="19"/>
        </w:rPr>
        <w:t xml:space="preserve">Source: </w:t>
      </w:r>
      <w:hyperlink r:id="rId24">
        <w:r>
          <w:rPr>
            <w:color w:val="0C5C3D"/>
            <w:u w:val="single"/>
            <w:sz w:val="19"/>
          </w:rPr>
          <w:t>NUS News, "NUS powers education, research and administration... through a strategic collaboration with OpenAI"</w:t>
        </w:r>
      </w:hyperlink>
    </w:p>
    <w:p>
      <w:pPr>
        <w:spacing w:after="40"/>
      </w:pPr>
      <w:r>
        <w:rPr>
          <w:b/>
          <w:color w:val="08291A"/>
          <w:sz w:val="26"/>
        </w:rPr>
        <w:t>Georgia Institute of Technology -- "Jill Watson"</w:t>
      </w:r>
    </w:p>
    <w:p>
      <w:pPr>
        <w:spacing w:after="120"/>
      </w:pPr>
      <w:r>
        <w:rPr>
          <w:b/>
          <w:color w:val="3B5B7A"/>
          <w:sz w:val="18"/>
        </w:rPr>
        <w:t>FUTURE READY</w:t>
      </w:r>
    </w:p>
    <w:p>
      <w:pPr>
        <w:spacing w:after="100"/>
      </w:pPr>
      <w:r>
        <w:rPr>
          <w:color w:val="132018"/>
          <w:sz w:val="20"/>
        </w:rPr>
        <w:t>Georgia Tech's long-running AI teaching-assistant project, running since 2016 and now rebuilt on ChatGPT, is recognized as the first documented chatbot to enhance teaching presence in online learning; IDC has separately named Georgia Tech a national leader in higher-ed AI deployment. Worth noting: Georgia Tech's AVA Lab is also where the "sidecar controller" research referenced in this summit's opening keynote (Day 1, Session 1) comes from -- the same lab, two different angles on the same problem.</w:t>
      </w:r>
    </w:p>
    <w:p>
      <w:pPr>
        <w:spacing w:after="280"/>
      </w:pPr>
      <w:r>
        <w:rPr>
          <w:b/>
          <w:color w:val="7C8B7F"/>
          <w:sz w:val="19"/>
        </w:rPr>
        <w:t xml:space="preserve">Source: </w:t>
      </w:r>
      <w:hyperlink r:id="rId25">
        <w:r>
          <w:rPr>
            <w:color w:val="0C5C3D"/>
            <w:u w:val="single"/>
            <w:sz w:val="19"/>
          </w:rPr>
          <w:t>Georgia Tech AI, news &amp; recognition</w:t>
        </w:r>
      </w:hyperlink>
    </w:p>
    <w:p>
      <w:pPr>
        <w:spacing w:after="40"/>
      </w:pPr>
      <w:r>
        <w:rPr>
          <w:b/>
          <w:color w:val="08291A"/>
          <w:sz w:val="26"/>
        </w:rPr>
        <w:t>Saudi Electronic University -- academic advising chatbot</w:t>
      </w:r>
    </w:p>
    <w:p>
      <w:pPr>
        <w:spacing w:after="120"/>
      </w:pPr>
      <w:r>
        <w:rPr>
          <w:b/>
          <w:color w:val="3B5B7A"/>
          <w:sz w:val="18"/>
        </w:rPr>
        <w:t>ENROLLMENT GROWTH</w:t>
      </w:r>
    </w:p>
    <w:p>
      <w:pPr>
        <w:spacing w:after="100"/>
      </w:pPr>
      <w:r>
        <w:rPr>
          <w:color w:val="132018"/>
          <w:sz w:val="20"/>
        </w:rPr>
        <w:t>A peer-reviewed, published deployment of an AI academic-advising chatbot, evaluated against student satisfaction, advisor workload reduction, and chatbot accuracy -- a directly comparable, evidence-based precedent for Benilde's own Academic Advising Agent pilot, including the kind of measurement framework worth adapting.</w:t>
      </w:r>
    </w:p>
    <w:p>
      <w:pPr>
        <w:spacing w:after="280"/>
      </w:pPr>
      <w:r>
        <w:rPr>
          <w:b/>
          <w:color w:val="7C8B7F"/>
          <w:sz w:val="19"/>
        </w:rPr>
        <w:t xml:space="preserve">Source: </w:t>
      </w:r>
      <w:hyperlink r:id="rId26">
        <w:r>
          <w:rPr>
            <w:color w:val="0C5C3D"/>
            <w:u w:val="single"/>
            <w:sz w:val="19"/>
          </w:rPr>
          <w:t>Journal of Computer Science, "Chatbot for Academic Advising: Case Study at Saudi Electronic University"</w:t>
        </w:r>
      </w:hyperlink>
    </w:p>
    <w:p>
      <w:pPr>
        <w:spacing w:after="40"/>
      </w:pPr>
      <w:r>
        <w:rPr>
          <w:b/>
          <w:color w:val="08291A"/>
          <w:sz w:val="26"/>
        </w:rPr>
        <w:t>Philippine higher-ed AI governance landscape -- Benilde already stands out</w:t>
      </w:r>
    </w:p>
    <w:p>
      <w:pPr>
        <w:spacing w:after="120"/>
      </w:pPr>
      <w:r>
        <w:rPr>
          <w:b/>
          <w:color w:val="3B5B7A"/>
          <w:sz w:val="18"/>
        </w:rPr>
        <w:t>ENHANCED REPUTATION AND BRANDING</w:t>
      </w:r>
    </w:p>
    <w:p>
      <w:pPr>
        <w:spacing w:after="100"/>
      </w:pPr>
      <w:r>
        <w:rPr>
          <w:color w:val="132018"/>
          <w:sz w:val="20"/>
        </w:rPr>
        <w:t>Peer-reviewed comparative research found at least eight Philippine universities have issued formal AI governance guidelines. Most of them -- UP, UPOU, Ateneo de Manila, DLSU, and FEU -- use a "soft," principle-based approach. Benilde is specifically identified in the literature as the outlier with a "hybrid" model, combining policy-driven requirements with maintained flexibility. This is not a summit claim or an internal assessment; it is an externally published finding, which makes it a genuinely strong, citable line for Benilde's public AI narrative rather than something the institution is only saying about itself.</w:t>
      </w:r>
    </w:p>
    <w:p>
      <w:pPr>
        <w:spacing w:after="280"/>
      </w:pPr>
      <w:r>
        <w:rPr>
          <w:b/>
          <w:color w:val="7C8B7F"/>
          <w:sz w:val="19"/>
        </w:rPr>
        <w:t xml:space="preserve">Source: </w:t>
      </w:r>
      <w:hyperlink r:id="rId27">
        <w:r>
          <w:rPr>
            <w:color w:val="0C5C3D"/>
            <w:u w:val="single"/>
            <w:sz w:val="19"/>
          </w:rPr>
          <w:t>Toquero, "Trends, Trajectories and Tomorrows of AI Regulations in Philippine Higher Educational Institutions," Higher Education Quarterly (2026)</w:t>
        </w:r>
      </w:hyperlink>
    </w:p>
    <w:p>
      <w:r>
        <w:br w:type="page"/>
      </w:r>
    </w:p>
    <w:p>
      <w:pPr>
        <w:pStyle w:val="Heading2"/>
      </w:pPr>
      <w:r>
        <w:rPr>
          <w:rFonts w:ascii="Avenir Next" w:hAnsi="Avenir Next"/>
          <w:color w:val="0C5C3D"/>
          <w:sz w:val="28"/>
        </w:rPr>
        <w:t>Record of Preparation</w:t>
      </w:r>
    </w:p>
    <w:p>
      <w:r>
        <w:rPr>
          <w:color w:val="7C8B7F"/>
          <w:sz w:val="19"/>
        </w:rPr>
        <w:t>Reconstructed from on-site photos and Flitto live-translation captures of AI Summit Seoul (AIS26), Aug 19-21, 2026 (talks/panels Aug 19-20; exhibit floor through Aug 21). Speaker names, exact figures, and quotes should be checked against an official recording or transcript before external use. See "How This Report Was Built" for full sourcing caveats.</w:t>
      </w:r>
    </w:p>
    <w:p/>
    <w:p/>
    <w:p>
      <w:pPr>
        <w:pBdr>
          <w:bottom w:val="single" w:sz="6" w:space="1" w:color="DFE3DC"/>
        </w:pBdr>
      </w:pPr>
    </w:p>
    <w:p>
      <w:pPr>
        <w:spacing w:before="360"/>
      </w:pPr>
      <w:r>
        <w:rPr>
          <w:color w:val="7C8B7F"/>
          <w:sz w:val="20"/>
        </w:rPr>
        <w:t>Recorded by:</w:t>
      </w:r>
    </w:p>
    <w:p>
      <w:r>
        <w:rPr>
          <w:b/>
          <w:color w:val="08291A"/>
          <w:sz w:val="26"/>
        </w:rPr>
        <w:t>Lea S. Abarentos</w:t>
      </w:r>
    </w:p>
    <w:p>
      <w:r>
        <w:rPr>
          <w:color w:val="48584D"/>
          <w:sz w:val="22"/>
        </w:rPr>
        <w:t>Program Lead - Digital Transformation Office</w:t>
      </w:r>
    </w:p>
    <w:p>
      <w:r>
        <w:rPr>
          <w:color w:val="7C8B7F"/>
          <w:sz w:val="19"/>
        </w:rPr>
        <w:t>Date: August 23,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w:hAnsi="Avenir Next"/>
      <w:color w:val="1320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hyperlink" Target="https://tech.asu.edu/features/asu-and-openai-expand-collaboration-scaling-ai" TargetMode="External"/><Relationship Id="rId24" Type="http://schemas.openxmlformats.org/officeDocument/2006/relationships/hyperlink" Target="https://news.nus.edu.sg/nus-powers-education-research-and-administration-to-new-heights-with-ai-through-a-strategic-collaboration-with-openai/" TargetMode="External"/><Relationship Id="rId25" Type="http://schemas.openxmlformats.org/officeDocument/2006/relationships/hyperlink" Target="https://www.ai.gatech.edu/news" TargetMode="External"/><Relationship Id="rId26" Type="http://schemas.openxmlformats.org/officeDocument/2006/relationships/hyperlink" Target="https://thescipub.com/abstract/jcssp.2026.840.859" TargetMode="External"/><Relationship Id="rId27" Type="http://schemas.openxmlformats.org/officeDocument/2006/relationships/hyperlink" Target="https://onlinelibrary.wiley.com/doi/abs/10.1111/hequ.700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