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316992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2377440" cy="316992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Larry Heck -- Professor, Georgia Institute of Technology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Steve Chien -- JPL Fellow &amp; Senior Research Scientist, NASA Jet Propulsion Laboratory</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40"/>
      </w:pPr>
      <w:r>
        <w:rPr>
          <w:i/>
          <w:color w:val="7C8B7F"/>
          <w:sz w:val="19"/>
        </w:rPr>
        <w:t>LLM &amp; Productivity</w:t>
      </w:r>
    </w:p>
    <w:p>
      <w:pPr>
        <w:spacing w:after="80"/>
      </w:pPr>
      <w:r>
        <w:rPr>
          <w:i/>
          <w:color w:val="08291A"/>
          <w:sz w:val="19"/>
        </w:rPr>
        <w:t>Prof. Jun-gi Lee, Yonsei University  |  Young-ok Kim, CAIO, HD Hyundai  |  Jong-hwan Kim, Executive Director, Lotte Shopping  |  Kyung-jong Lee, Executive Director, KB Kookmin Bank</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Hun-dong Kim -- Architect Manager, Microsoft</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Ki-hoon Lee -- Solutions Architect, 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Ryan Kang -- CEO, HP Korea</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publicis.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&amp; EmTech Lab  |  09:00-09:20, Opening Keynote</w:t>
      </w:r>
    </w:p>
    <w:p>
      <w:pPr>
        <w:spacing w:before="160" w:after="60"/>
      </w:pPr>
      <w:r>
        <w:rPr>
          <w:b/>
          <w:color w:val="0C5C3D"/>
          <w:sz w:val="18"/>
        </w:rPr>
        <w:t>HIGHLIGHTS</w:t>
      </w:r>
    </w:p>
    <w:p>
      <w:pPr>
        <w:pStyle w:val="ListBullet"/>
        <w:spacing w:after="120"/>
      </w:pPr>
      <w:r>
        <w:rPr>
          <w:color w:val="132018"/>
          <w:sz w:val="21"/>
        </w:rPr>
        <w:t>Opening keynote of Day 2, framed as "the innovator's mindset in the age of AI" from IDEO's AI-focused lab.</w:t>
      </w:r>
    </w:p>
    <w:p>
      <w:pPr>
        <w:pStyle w:val="ListBullet"/>
        <w:spacing w:after="120"/>
      </w:pPr>
      <w:r>
        <w:rPr>
          <w:color w:val="132018"/>
          <w:sz w:val="21"/>
        </w:rPr>
        <w:t>Its framing of embodiment was picked up directly, by name, later that same morning in the Physical AI panel.</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kunovsky.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&amp; EmTech 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morning,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  |  10:40-11:10, Keynote Panel</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Kay Zhu — Co-founder &amp; CTO, Genspark  |  11:10-11:35, Main Stage</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genspark.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Conditions for AX Success and a Truly AI-Native Enterprise</w:t>
      </w:r>
    </w:p>
    <w:p>
      <w:pPr>
        <w:spacing w:after="40"/>
      </w:pPr>
      <w:r>
        <w:rPr>
          <w:i/>
          <w:color w:val="7C8B7F"/>
          <w:sz w:val="19"/>
        </w:rPr>
        <w:t>AX 성공과 AI Native Enterprise의 성공 조건</w:t>
      </w:r>
    </w:p>
    <w:p>
      <w:pPr>
        <w:spacing w:after="80"/>
      </w:pPr>
      <w:r>
        <w:rPr>
          <w:i/>
          <w:color w:val="08291A"/>
          <w:sz w:val="19"/>
        </w:rPr>
        <w:t>Jun-hee Jeon — CTO, Musinsa  |  Jae-sun Hwang — CIO, SK Bioscience  |  A-yeon Seo — Executive Director, GS E&amp;C  |  11:35-12:05, Main Stage Panel</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  |  13:30-14:00, Track A</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  |  14:00-14:30, Track A</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Prerit Mishra — Domain Director, Data Tools, DHL  |  14:30-15:00, Track 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40"/>
      </w:pPr>
      <w:r>
        <w:rPr>
          <w:i/>
          <w:color w:val="7C8B7F"/>
          <w:sz w:val="19"/>
        </w:rPr>
        <w:t>엔터프라이즈 AI의 숨겨진 병목: 데이터 품질, 거버넌스, 그리고 현실</w:t>
      </w:r>
    </w:p>
    <w:p>
      <w:pPr>
        <w:spacing w:after="80"/>
      </w:pPr>
      <w:r>
        <w:rPr>
          <w:i/>
          <w:color w:val="08291A"/>
          <w:sz w:val="19"/>
        </w:rPr>
        <w:t>Moderator: Yong-hwan Lee, Deputy CEO, Samil PwC  |  Yong-won Choi, Head of AI Strategy Center, Woori Financial Group  |  Yoon-hee Hwang, Executive Director, LG Electronics  |  16:10-16:40, Track D</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continued: AI Governance in Manufacturing</w:t>
      </w:r>
    </w:p>
    <w:p>
      <w:pPr>
        <w:spacing w:after="80"/>
      </w:pPr>
      <w:r>
        <w:rPr>
          <w:i/>
          <w:color w:val="08291A"/>
          <w:sz w:val="19"/>
        </w:rPr>
        <w:t>Same Track D panel as above — manufacturing-specific portion led by Yoon-hee Hwang, LG Electronics</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Hun-jun Kim — Executive Director, Splunk (a Cisco company)  |  15:00-15:20, Track A</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&amp; Workshop Showcase — Open All Three Days</w:t>
      </w:r>
    </w:p>
    <w:p>
      <w:pPr>
        <w:spacing w:after="80"/>
      </w:pPr>
      <w:r>
        <w:rPr>
          <w:i/>
          <w:color w:val="08291A"/>
          <w:sz w:val="19"/>
        </w:rPr>
        <w:t>Running the full length of the summit, Day 1 through Day 3 (Aug 19-21), Exhibition Hall B</w:t>
      </w:r>
    </w:p>
    <w:p>
      <w:r>
        <w:rPr>
          <w:i/>
          <w:color w:val="48584D"/>
          <w:sz w:val="20"/>
        </w:rPr>
        <w:t>While the keynotes and panels were packed into Day 1 (Aug 19) and Day 2 (Aug 20), the expo and hands-on workshop floor in Exhibition Hall B stayed open through Day 3 (Aug 21) as well. That third day gave attendees, and vendors, extra room for booth demos and workshop sessions that the two-day talk schedule couldn't fit. Worth remembering when we plan our own events: the "show floor" doesn't have to run on the same clock as the main stage.</w:t>
      </w:r>
    </w:p>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tbl>
      <w:tblPr>
        <w:tblW w:type="auto" w:w="0"/>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468880" cy="4391289"/>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2468880" cy="4391289"/>
                          </a:xfrm>
                          <a:prstGeom prst="rect"/>
                        </pic:spPr>
                      </pic:pic>
                    </a:graphicData>
                  </a:graphic>
                </wp:inline>
              </w:drawing>
            </w:r>
          </w:p>
          <w:p>
            <w:pPr>
              <w:jc w:val="center"/>
            </w:pPr>
            <w:r>
              <w:rPr>
                <w:i/>
                <w:color w:val="7C8B7F"/>
                <w:sz w:val="15"/>
              </w:rPr>
              <w:t>FAIN Robotics quadruped mid-stride on the demo floor.</w:t>
            </w:r>
          </w:p>
        </w:tc>
        <w:tc>
          <w:tcPr>
            <w:tcW w:type="dxa" w:w="4680"/>
          </w:tcPr>
          <w:p>
            <w:pPr>
              <w:jc w:val="center"/>
            </w:pPr>
            <w:r>
              <w:drawing>
                <wp:inline xmlns:a="http://schemas.openxmlformats.org/drawingml/2006/main" xmlns:pic="http://schemas.openxmlformats.org/drawingml/2006/picture">
                  <wp:extent cx="2468880" cy="329184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2468880" cy="3291840"/>
                          </a:xfrm>
                          <a:prstGeom prst="rect"/>
                        </pic:spPr>
                      </pic:pic>
                    </a:graphicData>
                  </a:graphic>
                </wp:inline>
              </w:drawing>
            </w:r>
          </w:p>
          <w:p>
            <w:pPr>
              <w:jc w:val="center"/>
            </w:pPr>
            <w:r>
              <w:rPr>
                <w:i/>
                <w:color w:val="7C8B7F"/>
                <w:sz w:val="15"/>
              </w:rPr>
              <w:t>NOVA's AI sign-language avatar booth.</w:t>
            </w:r>
          </w:p>
        </w:tc>
      </w:tr>
      <w:tr>
        <w:tc>
          <w:tcPr>
            <w:tcW w:type="dxa" w:w="4680"/>
          </w:tcPr>
          <w:p>
            <w:pPr>
              <w:jc w:val="center"/>
            </w:pPr>
            <w:r>
              <w:drawing>
                <wp:inline xmlns:a="http://schemas.openxmlformats.org/drawingml/2006/main" xmlns:pic="http://schemas.openxmlformats.org/drawingml/2006/picture">
                  <wp:extent cx="2468880" cy="329184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2468880" cy="3291840"/>
                          </a:xfrm>
                          <a:prstGeom prst="rect"/>
                        </pic:spPr>
                      </pic:pic>
                    </a:graphicData>
                  </a:graphic>
                </wp:inline>
              </w:drawing>
            </w:r>
          </w:p>
          <w:p>
            <w:pPr>
              <w:jc w:val="center"/>
            </w:pPr>
            <w:r>
              <w:rPr>
                <w:i/>
                <w:color w:val="7C8B7F"/>
                <w:sz w:val="15"/>
              </w:rPr>
              <w:t>Golden Planet x Google Cloud: Gemini Enterprise.</w:t>
            </w:r>
          </w:p>
        </w:tc>
        <w:tc>
          <w:tcPr>
            <w:tcW w:type="dxa" w:w="4680"/>
          </w:tcPr>
          <w:p>
            <w:pPr>
              <w:jc w:val="center"/>
            </w:pPr>
            <w:r>
              <w:drawing>
                <wp:inline xmlns:a="http://schemas.openxmlformats.org/drawingml/2006/main" xmlns:pic="http://schemas.openxmlformats.org/drawingml/2006/picture">
                  <wp:extent cx="2468880" cy="329184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2468880" cy="3291840"/>
                          </a:xfrm>
                          <a:prstGeom prst="rect"/>
                        </pic:spPr>
                      </pic:pic>
                    </a:graphicData>
                  </a:graphic>
                </wp:inline>
              </w:drawing>
            </w:r>
          </w:p>
          <w:p>
            <w:pPr>
              <w:jc w:val="center"/>
            </w:pPr>
            <w:r>
              <w:rPr>
                <w:i/>
                <w:color w:val="7C8B7F"/>
                <w:sz w:val="15"/>
              </w:rPr>
              <w:t>Dify + AX Foundry: build with one, govern with the other.</w:t>
            </w:r>
          </w:p>
        </w:tc>
      </w:tr>
      <w:tr>
        <w:tc>
          <w:tcPr>
            <w:tcW w:type="dxa" w:w="4680"/>
          </w:tcPr>
          <w:p>
            <w:pPr>
              <w:jc w:val="center"/>
            </w:pPr>
            <w:r>
              <w:drawing>
                <wp:inline xmlns:a="http://schemas.openxmlformats.org/drawingml/2006/main" xmlns:pic="http://schemas.openxmlformats.org/drawingml/2006/picture">
                  <wp:extent cx="2468880" cy="329184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2468880" cy="3291840"/>
                          </a:xfrm>
                          <a:prstGeom prst="rect"/>
                        </pic:spPr>
                      </pic:pic>
                    </a:graphicData>
                  </a:graphic>
                </wp:inline>
              </w:drawing>
            </w:r>
          </w:p>
          <w:p>
            <w:pPr>
              <w:jc w:val="center"/>
            </w:pPr>
            <w:r>
              <w:rPr>
                <w:i/>
                <w:color w:val="7C8B7F"/>
                <w:sz w:val="15"/>
              </w:rPr>
              <w:t>Seagate's own booth on the expo floor.</w:t>
            </w:r>
          </w:p>
        </w:tc>
        <w:tc>
          <w:tcPr>
            <w:tcW w:type="dxa" w:w="4680"/>
          </w:tcPr>
          <w:p>
            <w:pPr>
              <w:jc w:val="center"/>
            </w:pPr>
            <w:r>
              <w:drawing>
                <wp:inline xmlns:a="http://schemas.openxmlformats.org/drawingml/2006/main" xmlns:pic="http://schemas.openxmlformats.org/drawingml/2006/picture">
                  <wp:extent cx="2468880" cy="329184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2468880" cy="3291840"/>
                          </a:xfrm>
                          <a:prstGeom prst="rect"/>
                        </pic:spPr>
                      </pic:pic>
                    </a:graphicData>
                  </a:graphic>
                </wp:inline>
              </w:drawing>
            </w:r>
          </w:p>
          <w:p>
            <w:pPr>
              <w:jc w:val="center"/>
            </w:pPr>
            <w:r>
              <w:rPr>
                <w:i/>
                <w:color w:val="7C8B7F"/>
                <w:sz w:val="15"/>
              </w:rPr>
              <w:t>AIM Future's on-device edge AI chip line.</w:t>
            </w:r>
          </w:p>
        </w:tc>
      </w:tr>
      <w:tr>
        <w:tc>
          <w:tcPr>
            <w:tcW w:type="dxa" w:w="4680"/>
          </w:tcPr>
          <w:p>
            <w:pPr>
              <w:jc w:val="center"/>
            </w:pPr>
            <w:r>
              <w:drawing>
                <wp:inline xmlns:a="http://schemas.openxmlformats.org/drawingml/2006/main" xmlns:pic="http://schemas.openxmlformats.org/drawingml/2006/picture">
                  <wp:extent cx="2468880" cy="329184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2468880" cy="3291840"/>
                          </a:xfrm>
                          <a:prstGeom prst="rect"/>
                        </pic:spPr>
                      </pic:pic>
                    </a:graphicData>
                  </a:graphic>
                </wp:inline>
              </w:drawing>
            </w:r>
          </w:p>
          <w:p>
            <w:pPr>
              <w:jc w:val="center"/>
            </w:pPr>
            <w:r>
              <w:rPr>
                <w:i/>
                <w:color w:val="7C8B7F"/>
                <w:sz w:val="15"/>
              </w:rPr>
              <w:t>Splunk (a Cisco company): Agentic SOC and Observability for AI.</w:t>
            </w:r>
          </w:p>
        </w:tc>
        <w:tc>
          <w:tcPr>
            <w:tcW w:type="dxa" w:w="4680"/>
          </w:tcPr>
          <w:p>
            <w:pPr>
              <w:jc w:val="center"/>
            </w:pPr>
            <w:r>
              <w:drawing>
                <wp:inline xmlns:a="http://schemas.openxmlformats.org/drawingml/2006/main" xmlns:pic="http://schemas.openxmlformats.org/drawingml/2006/picture">
                  <wp:extent cx="2468880" cy="329184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2468880" cy="3291840"/>
                          </a:xfrm>
                          <a:prstGeom prst="rect"/>
                        </pic:spPr>
                      </pic:pic>
                    </a:graphicData>
                  </a:graphic>
                </wp:inline>
              </w:drawing>
            </w:r>
          </w:p>
          <w:p>
            <w:pPr>
              <w:jc w:val="center"/>
            </w:pPr>
            <w:r>
              <w:rPr>
                <w:i/>
                <w:color w:val="7C8B7F"/>
                <w:sz w:val="15"/>
              </w:rPr>
              <w:t>Jamf's booth: "Govern AI on Mac with confidence."</w:t>
            </w:r>
          </w:p>
        </w:tc>
      </w:tr>
    </w:tbl>
    <w:p>
      <w:pPr>
        <w:spacing w:after="40"/>
      </w:pP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CET and Academic Council for the go/no-go gate; CET / IT infrastructure for the data warehouse review.</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CET and Procurement for vendor terms;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CET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Beyond the Two Flagship Tools: More AI Opportunities for Benilde</w:t>
      </w:r>
    </w:p>
    <w:p>
      <w:r>
        <w:rPr>
          <w:color w:val="48584D"/>
          <w:sz w:val="21"/>
        </w:rPr>
        <w:t>The Recruitment Chatbot and Academic Advising Agent are the two initiatives already in motion. Below are twelve more candidates -- none of them approved or funded yet -- pulled from the same "automate the unglamorous, keep a human on anything hard to undo" logic that ran through the summit, and mapped to which office would actually run them and which Vision 2030 pillar they serve.</w:t>
      </w:r>
    </w:p>
    <w:p/>
    <w:p>
      <w:pPr>
        <w:spacing w:before="160" w:after="60"/>
      </w:pPr>
      <w:r>
        <w:rPr>
          <w:b/>
          <w:color w:val="0C5C3D"/>
          <w:sz w:val="18"/>
        </w:rPr>
        <w:t>QUICK WINS -- off-the-shelf tools, one office, a few months</w:t>
      </w:r>
    </w:p>
    <w:p>
      <w:pPr>
        <w:shd w:val="clear" w:color="auto" w:fill="E3F0E7"/>
        <w:spacing w:after="200"/>
        <w:ind w:left="113"/>
      </w:pPr>
      <w:r>
        <w:rPr>
          <w:b/>
          <w:color w:val="08291A"/>
          <w:sz w:val="22"/>
        </w:rPr>
        <w:t>IT helpdesk ticket triage &amp; routing</w:t>
        <w:br/>
      </w:r>
      <w:r>
        <w:rPr>
          <w:i/>
          <w:color w:val="3B5B7A"/>
          <w:sz w:val="18"/>
        </w:rPr>
        <w:t>Owner: IT Team</w:t>
        <w:br/>
      </w:r>
      <w:r>
        <w:rPr>
          <w:color w:val="132018"/>
          <w:sz w:val="20"/>
        </w:rPr>
        <w:t>AI reads an incoming ticket, categorizes it (network / hardware / software / access), routes it to the right queue, and suggests a matching knowledge-base article before a human ever picks it up.</w:t>
        <w:br/>
      </w:r>
      <w:r>
        <w:rPr>
          <w:b/>
          <w:color w:val="8A6C2C"/>
          <w:sz w:val="17"/>
        </w:rPr>
        <w:t>Pillars: Future Ready</w:t>
      </w:r>
    </w:p>
    <w:p>
      <w:pPr>
        <w:shd w:val="clear" w:color="auto" w:fill="E3F0E7"/>
        <w:spacing w:after="200"/>
        <w:ind w:left="113"/>
      </w:pPr>
      <w:r>
        <w:rPr>
          <w:b/>
          <w:color w:val="08291A"/>
          <w:sz w:val="22"/>
        </w:rPr>
        <w:t>HR resume screening assist</w:t>
        <w:br/>
      </w:r>
      <w:r>
        <w:rPr>
          <w:i/>
          <w:color w:val="3B5B7A"/>
          <w:sz w:val="18"/>
        </w:rPr>
        <w:t>Owner: HR</w:t>
        <w:br/>
      </w:r>
      <w:r>
        <w:rPr>
          <w:color w:val="132018"/>
          <w:sz w:val="20"/>
        </w:rPr>
        <w:t>AI pre-screens and ranks applications against a job posting's stated requirements so HR spends interview time on a shortlist, not a stack. The hiring decision stays fully human.</w:t>
        <w:br/>
      </w:r>
      <w:r>
        <w:rPr>
          <w:b/>
          <w:color w:val="8A6C2C"/>
          <w:sz w:val="17"/>
        </w:rPr>
        <w:t>Pillars: Future Ready, Financial Growth</w:t>
      </w:r>
    </w:p>
    <w:p>
      <w:pPr>
        <w:shd w:val="clear" w:color="auto" w:fill="E3F0E7"/>
        <w:spacing w:after="200"/>
        <w:ind w:left="113"/>
      </w:pPr>
      <w:r>
        <w:rPr>
          <w:b/>
          <w:color w:val="08291A"/>
          <w:sz w:val="22"/>
        </w:rPr>
        <w:t>Bursar invoice &amp; receipt reconciliation</w:t>
        <w:br/>
      </w:r>
      <w:r>
        <w:rPr>
          <w:i/>
          <w:color w:val="3B5B7A"/>
          <w:sz w:val="18"/>
        </w:rPr>
        <w:t>Owner: Finance</w:t>
        <w:br/>
      </w:r>
      <w:r>
        <w:rPr>
          <w:color w:val="132018"/>
          <w:sz w:val="20"/>
        </w:rPr>
        <w:t>AI reads scanned invoices and receipts, auto-matches them to purchase orders and budget lines, and flags mismatches for a person to review instead of manual line-by-line checking.</w:t>
        <w:br/>
      </w:r>
      <w:r>
        <w:rPr>
          <w:b/>
          <w:color w:val="8A6C2C"/>
          <w:sz w:val="17"/>
        </w:rPr>
        <w:t>Pillars: Financial Growth</w:t>
      </w:r>
    </w:p>
    <w:p>
      <w:pPr>
        <w:shd w:val="clear" w:color="auto" w:fill="E3F0E7"/>
        <w:spacing w:after="200"/>
        <w:ind w:left="113"/>
      </w:pPr>
      <w:r>
        <w:rPr>
          <w:b/>
          <w:color w:val="08291A"/>
          <w:sz w:val="22"/>
        </w:rPr>
        <w:t>Meeting minutes &amp; action-item drafting</w:t>
        <w:br/>
      </w:r>
      <w:r>
        <w:rPr>
          <w:i/>
          <w:color w:val="3B5B7A"/>
          <w:sz w:val="18"/>
        </w:rPr>
        <w:t>Owner: Any office, piloted by the Digital Transformation Office</w:t>
        <w:br/>
      </w:r>
      <w:r>
        <w:rPr>
          <w:color w:val="132018"/>
          <w:sz w:val="20"/>
        </w:rPr>
        <w:t>AI transcribes a recorded leadership or committee meeting and drafts a first-pass set of minutes and action items; a person edits and owns what actually gets circulated.</w:t>
        <w:br/>
      </w:r>
      <w:r>
        <w:rPr>
          <w:b/>
          <w:color w:val="8A6C2C"/>
          <w:sz w:val="17"/>
        </w:rPr>
        <w:t>Pillars: Future Ready</w:t>
      </w:r>
    </w:p>
    <w:p>
      <w:pPr>
        <w:shd w:val="clear" w:color="auto" w:fill="E3F0E7"/>
        <w:spacing w:after="200"/>
        <w:ind w:left="113"/>
      </w:pPr>
      <w:r>
        <w:rPr>
          <w:b/>
          <w:color w:val="08291A"/>
          <w:sz w:val="22"/>
        </w:rPr>
        <w:t>Marcom content first-drafts</w:t>
        <w:br/>
      </w:r>
      <w:r>
        <w:rPr>
          <w:i/>
          <w:color w:val="3B5B7A"/>
          <w:sz w:val="18"/>
        </w:rPr>
        <w:t>Owner: Marketing &amp; Communications</w:t>
        <w:br/>
      </w:r>
      <w:r>
        <w:rPr>
          <w:color w:val="132018"/>
          <w:sz w:val="20"/>
        </w:rPr>
        <w:t>AI turns an event brief into a first-pass social caption or newsletter blurb; Marcom edits and approves before anything posts publicly.</w:t>
        <w:br/>
      </w:r>
      <w:r>
        <w:rPr>
          <w:b/>
          <w:color w:val="8A6C2C"/>
          <w:sz w:val="17"/>
        </w:rPr>
        <w:t>Pillars: Enhanced Reputation and Branding</w:t>
      </w:r>
    </w:p>
    <w:p/>
    <w:p>
      <w:pPr>
        <w:spacing w:before="160" w:after="60"/>
      </w:pPr>
      <w:r>
        <w:rPr>
          <w:b/>
          <w:color w:val="3B5B7A"/>
          <w:sz w:val="18"/>
        </w:rPr>
        <w:t>MEDIUM-TERM BUILDS -- process redesign or integration, roughly a semester</w:t>
      </w:r>
    </w:p>
    <w:p>
      <w:pPr>
        <w:shd w:val="clear" w:color="auto" w:fill="E7EDF3"/>
        <w:spacing w:after="200"/>
        <w:ind w:left="113"/>
      </w:pPr>
      <w:r>
        <w:rPr>
          <w:b/>
          <w:color w:val="08291A"/>
          <w:sz w:val="22"/>
        </w:rPr>
        <w:t>Registrar document processing</w:t>
        <w:br/>
      </w:r>
      <w:r>
        <w:rPr>
          <w:i/>
          <w:color w:val="3B5B7A"/>
          <w:sz w:val="18"/>
        </w:rPr>
        <w:t>Owner: Registrar, with IT</w:t>
        <w:br/>
      </w:r>
      <w:r>
        <w:rPr>
          <w:color w:val="132018"/>
          <w:sz w:val="20"/>
        </w:rPr>
        <w:t>OCR plus AI-assisted extraction for transcript requests, enrollment-verification letters, and diploma requests -- cutting the manual re-typing that slows down every one of these routine requests.</w:t>
        <w:br/>
      </w:r>
      <w:r>
        <w:rPr>
          <w:b/>
          <w:color w:val="8A6C2C"/>
          <w:sz w:val="17"/>
        </w:rPr>
        <w:t>Pillars: Future Ready, Enrollment Growth</w:t>
      </w:r>
    </w:p>
    <w:p>
      <w:pPr>
        <w:shd w:val="clear" w:color="auto" w:fill="E7EDF3"/>
        <w:spacing w:after="200"/>
        <w:ind w:left="113"/>
      </w:pPr>
      <w:r>
        <w:rPr>
          <w:b/>
          <w:color w:val="08291A"/>
          <w:sz w:val="22"/>
        </w:rPr>
        <w:t>Library research-assistant layer</w:t>
        <w:br/>
      </w:r>
      <w:r>
        <w:rPr>
          <w:i/>
          <w:color w:val="3B5B7A"/>
          <w:sz w:val="18"/>
        </w:rPr>
        <w:t>Owner: Library, with CET</w:t>
        <w:br/>
      </w:r>
      <w:r>
        <w:rPr>
          <w:color w:val="132018"/>
          <w:sz w:val="20"/>
        </w:rPr>
        <w:t>An AI search layer grounded in the library's own catalog and paid database subscriptions, so students get a cited, checkable answer instead of a generic chatbot guessing from the open web.</w:t>
        <w:br/>
      </w:r>
      <w:r>
        <w:rPr>
          <w:b/>
          <w:color w:val="8A6C2C"/>
          <w:sz w:val="17"/>
        </w:rPr>
        <w:t>Pillars: Future Ready</w:t>
      </w:r>
    </w:p>
    <w:p>
      <w:pPr>
        <w:shd w:val="clear" w:color="auto" w:fill="E7EDF3"/>
        <w:spacing w:after="200"/>
        <w:ind w:left="113"/>
      </w:pPr>
      <w:r>
        <w:rPr>
          <w:b/>
          <w:color w:val="08291A"/>
          <w:sz w:val="22"/>
        </w:rPr>
        <w:t>Procurement RFP/bid summarization</w:t>
        <w:br/>
      </w:r>
      <w:r>
        <w:rPr>
          <w:i/>
          <w:color w:val="3B5B7A"/>
          <w:sz w:val="18"/>
        </w:rPr>
        <w:t>Owner: Procurement</w:t>
        <w:br/>
      </w:r>
      <w:r>
        <w:rPr>
          <w:color w:val="132018"/>
          <w:sz w:val="20"/>
        </w:rPr>
        <w:t>AI reads competing vendor proposals and produces a side-by-side comparison -- cost, terms, red flags -- for the committee, who still makes the actual call.</w:t>
        <w:br/>
      </w:r>
      <w:r>
        <w:rPr>
          <w:b/>
          <w:color w:val="8A6C2C"/>
          <w:sz w:val="17"/>
        </w:rPr>
        <w:t>Pillars: Financial Growth</w:t>
      </w:r>
    </w:p>
    <w:p>
      <w:pPr>
        <w:shd w:val="clear" w:color="auto" w:fill="E7EDF3"/>
        <w:spacing w:after="200"/>
        <w:ind w:left="113"/>
      </w:pPr>
      <w:r>
        <w:rPr>
          <w:b/>
          <w:color w:val="08291A"/>
          <w:sz w:val="22"/>
        </w:rPr>
        <w:t>Faculty course-content drafting assist</w:t>
        <w:br/>
      </w:r>
      <w:r>
        <w:rPr>
          <w:i/>
          <w:color w:val="3B5B7A"/>
          <w:sz w:val="18"/>
        </w:rPr>
        <w:t>Owner: CET, with academic deans</w:t>
        <w:br/>
      </w:r>
      <w:r>
        <w:rPr>
          <w:color w:val="132018"/>
          <w:sz w:val="20"/>
        </w:rPr>
        <w:t>AI helps a faculty member draft a first pass of a syllabus, rubric, or practice-quiz set aligned to stated learning outcomes -- faculty review, edit, and own the final version.</w:t>
        <w:br/>
      </w:r>
      <w:r>
        <w:rPr>
          <w:b/>
          <w:color w:val="8A6C2C"/>
          <w:sz w:val="17"/>
        </w:rPr>
        <w:t>Pillars: Future Ready</w:t>
      </w:r>
    </w:p>
    <w:p/>
    <w:p>
      <w:pPr>
        <w:spacing w:before="160" w:after="60"/>
      </w:pPr>
      <w:r>
        <w:rPr>
          <w:b/>
          <w:color w:val="8A6C2C"/>
          <w:sz w:val="18"/>
        </w:rPr>
        <w:t>STRATEGIC BETS -- cross-office, needs governance sign-off, bigger payoff</w:t>
      </w:r>
    </w:p>
    <w:p>
      <w:pPr>
        <w:shd w:val="clear" w:color="auto" w:fill="F1E8D4"/>
        <w:spacing w:after="200"/>
        <w:ind w:left="113"/>
      </w:pPr>
      <w:r>
        <w:rPr>
          <w:b/>
          <w:color w:val="08291A"/>
          <w:sz w:val="22"/>
        </w:rPr>
        <w:t>Alumni &amp; donor engagement assistant</w:t>
        <w:br/>
      </w:r>
      <w:r>
        <w:rPr>
          <w:i/>
          <w:color w:val="3B5B7A"/>
          <w:sz w:val="18"/>
        </w:rPr>
        <w:t>Owner: Alumni Relations / Advancement, with Marcom</w:t>
        <w:br/>
      </w:r>
      <w:r>
        <w:rPr>
          <w:color w:val="132018"/>
          <w:sz w:val="20"/>
        </w:rPr>
        <w:t>An AI layer over alumni-relations data that flags realistic reengagement moments and personalizes outreach at a scale a small advancement team can't reach by hand.</w:t>
        <w:br/>
      </w:r>
      <w:r>
        <w:rPr>
          <w:b/>
          <w:color w:val="8A6C2C"/>
          <w:sz w:val="17"/>
        </w:rPr>
        <w:t>Pillars: Global Partnership Engagement, Financial Growth</w:t>
      </w:r>
    </w:p>
    <w:p>
      <w:pPr>
        <w:shd w:val="clear" w:color="auto" w:fill="F1E8D4"/>
        <w:spacing w:after="200"/>
        <w:ind w:left="113"/>
      </w:pPr>
      <w:r>
        <w:rPr>
          <w:b/>
          <w:color w:val="08291A"/>
          <w:sz w:val="22"/>
        </w:rPr>
        <w:t>Predictive enrollment &amp; capacity planning</w:t>
        <w:br/>
      </w:r>
      <w:r>
        <w:rPr>
          <w:i/>
          <w:color w:val="3B5B7A"/>
          <w:sz w:val="18"/>
        </w:rPr>
        <w:t>Owner: Admissions &amp; Finance jointly, with CET</w:t>
        <w:br/>
      </w:r>
      <w:r>
        <w:rPr>
          <w:color w:val="132018"/>
          <w:sz w:val="20"/>
        </w:rPr>
        <w:t>A model combining inquiry, application, and past-cycle data to forecast enrollment per program, so Admissions and Finance plan capacity and budget together instead of reacting after the fact.</w:t>
        <w:br/>
      </w:r>
      <w:r>
        <w:rPr>
          <w:b/>
          <w:color w:val="8A6C2C"/>
          <w:sz w:val="17"/>
        </w:rPr>
        <w:t>Pillars: Enrollment Growth, Financial Growth</w:t>
      </w:r>
    </w:p>
    <w:p>
      <w:pPr>
        <w:shd w:val="clear" w:color="auto" w:fill="F1E8D4"/>
        <w:spacing w:after="200"/>
        <w:ind w:left="113"/>
      </w:pPr>
      <w:r>
        <w:rPr>
          <w:b/>
          <w:color w:val="08291A"/>
          <w:sz w:val="22"/>
        </w:rPr>
        <w:t>One shared "front door" for student questions</w:t>
        <w:br/>
      </w:r>
      <w:r>
        <w:rPr>
          <w:i/>
          <w:color w:val="3B5B7A"/>
          <w:sz w:val="18"/>
        </w:rPr>
        <w:t>Owner: CET as integrator, IT as infrastructure owner</w:t>
        <w:br/>
      </w:r>
      <w:r>
        <w:rPr>
          <w:color w:val="132018"/>
          <w:sz w:val="20"/>
        </w:rPr>
        <w:t>A single conversational layer -- the same "harness" pattern from the summit's Enterprise AX talk -- that routes a student's question to Registrar, Bursar, or Advising as needed, instead of three separate bots that don't talk to each other.</w:t>
        <w:br/>
      </w:r>
      <w:r>
        <w:rPr>
          <w:b/>
          <w:color w:val="8A6C2C"/>
          <w:sz w:val="17"/>
        </w:rPr>
        <w:t>Pillars: Future Ready, Enrollment Growth</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