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D47EBB" w14:textId="77777777" w:rsidR="002E74D2" w:rsidRPr="002F34FF" w:rsidRDefault="002E74D2" w:rsidP="002E74D2">
      <w:pPr>
        <w:pStyle w:val="Titre3"/>
      </w:pPr>
      <w:bookmarkStart w:id="0" w:name="_Toc181633266"/>
      <w:bookmarkStart w:id="1" w:name="_Toc181633281"/>
      <w:bookmarkStart w:id="2" w:name="_Toc204353977"/>
      <w:r w:rsidRPr="00E53286">
        <w:t>Recommandations et pistes d'amélioration</w:t>
      </w:r>
      <w:bookmarkEnd w:id="0"/>
      <w:bookmarkEnd w:id="1"/>
      <w:bookmarkEnd w:id="2"/>
    </w:p>
    <w:p w14:paraId="340EA45A" w14:textId="77777777" w:rsidR="002E74D2" w:rsidRDefault="002E74D2" w:rsidP="002E74D2">
      <w:pPr>
        <w:spacing w:line="276" w:lineRule="auto"/>
        <w:ind w:firstLine="360"/>
      </w:pPr>
      <w:r>
        <w:t>La mise en place d’une gouvernance et d’une éthique responsables de l’IA, particulièrement dans le domaine des RH, est devenue une priorité face à l’essor des technologies d’IA. Le Règlement Européen sur l'IA (RIA), représente la première législation exhaustive visant à encadrer le développement, la mise sur le marché et l’utilisation de systèmes d'IA au niveau mondial. L’objectif du RIA est d’assurer que l’IA soit utilisée de manière sécurisée, transparente et éthique, tout en minimisant les risques pour la société et les individus. Ce règlement impose de nouvelles obligations en termes de responsabilité, de transparence et de surveillance des systèmes d'IA utilisés. Dans le cadre des RH, où l’IA est de plus en plus utilisée pour le recrutement, l’évaluation des performances, ou la gestion des carrières, la gouvernance de l’IA doit garantir que les outils déployés respectent les principes éthiques de non-discrimination, de transparence et de respect de la vie privée. Le RIA impose des règles strictes pour les systèmes d'IA dits "à haut risque", comme ceux utilisés pour la sélection de candidats ou la gestion des employés. Ces systèmes doivent être audités et validés avant leur déploiement et être soumis à des contrôles réguliers pour éviter des biais discriminatoires et garantir qu’ils fonctionnent de manière transparente et équitable.</w:t>
      </w:r>
    </w:p>
    <w:p w14:paraId="30C3D10F" w14:textId="77777777" w:rsidR="002E74D2" w:rsidRDefault="002E74D2" w:rsidP="002E74D2">
      <w:pPr>
        <w:spacing w:line="276" w:lineRule="auto"/>
        <w:ind w:firstLine="360"/>
      </w:pPr>
      <w:r>
        <w:t>La gouvernance de l’IA, nécessite la mise en place de mécanismes de supervision, de formation et de responsabilisation. Les entreprises doivent veiller à ce que leurs collaborateurs soient formés à l'utilisation éthique de l’IA et comprennent les implications des algorithmes dans la prise de décisions. Le RIA impose également une responsabilité accrue des développeurs et des utilisateurs d'IA, en les obligeant à garantir que les systèmes respectent les normes de sécurité, de confidentialité et d’égalité.</w:t>
      </w:r>
    </w:p>
    <w:p w14:paraId="63380769" w14:textId="77777777" w:rsidR="002E74D2" w:rsidRDefault="002E74D2" w:rsidP="002E74D2">
      <w:pPr>
        <w:spacing w:line="276" w:lineRule="auto"/>
        <w:ind w:firstLine="360"/>
      </w:pPr>
      <w:r>
        <w:t xml:space="preserve">En matière d’éthique, il est essentiel de définir des pratiques responsables en matière de collecte de données et de prise de décision automatisée. L’un des défis majeurs reste de limiter les biais algorithmiques, qui peuvent discriminer certaines catégories de personnes, comme les minorités, les femmes ou les personnes en situation de handicap. La mise en œuvre d'une éthique responsable de l’IA passe donc par des mécanismes de contrôle et de vérification réguliers, tels que des audits externes et des outils de transparence comme l'explicabilité des décisions prises par les systèmes d’IA. Cette explicabilité implique que le code sous-jacent aux algorithmes d'IA soit conçu de manière à permettre une traçabilité et une interprétabilité des décisions prises. Cela peut inclure des mécanismes tels que la </w:t>
      </w:r>
      <w:r w:rsidRPr="00451613">
        <w:rPr>
          <w:rStyle w:val="lev"/>
        </w:rPr>
        <w:t>visualisation des décisions</w:t>
      </w:r>
      <w:r>
        <w:rPr>
          <w:b/>
        </w:rPr>
        <w:t xml:space="preserve">, </w:t>
      </w:r>
      <w:r>
        <w:t>l'</w:t>
      </w:r>
      <w:r w:rsidRPr="00451613">
        <w:rPr>
          <w:rStyle w:val="lev"/>
        </w:rPr>
        <w:t>identification des critères influençant le résultat</w:t>
      </w:r>
      <w:r>
        <w:t xml:space="preserve">, ou </w:t>
      </w:r>
      <w:r w:rsidRPr="00451613">
        <w:t>l'</w:t>
      </w:r>
      <w:r w:rsidRPr="00451613">
        <w:rPr>
          <w:rStyle w:val="lev"/>
        </w:rPr>
        <w:t>utilisation de modèles plus simples et transparents</w:t>
      </w:r>
      <w:r>
        <w:t xml:space="preserve"> lorsque cela est possible. L’explicabilité vise non seulement à renforcer la confiance des utilisateurs dans les systèmes d'IA, mais aussi à faciliter les audits et à assurer la conformité avec les régulations, en permettant de justifier les décisions automatisées, en particulier en cas de contestation ou de révision.</w:t>
      </w:r>
    </w:p>
    <w:p w14:paraId="7781349D" w14:textId="77777777" w:rsidR="002E74D2" w:rsidRPr="00AC5728" w:rsidRDefault="002E74D2" w:rsidP="002E74D2">
      <w:pPr>
        <w:spacing w:line="276" w:lineRule="auto"/>
        <w:ind w:firstLine="360"/>
        <w:rPr>
          <w:rFonts w:cstheme="minorHAnsi"/>
        </w:rPr>
      </w:pPr>
      <w:r w:rsidRPr="00180FD3">
        <w:rPr>
          <w:rFonts w:cstheme="minorHAnsi"/>
        </w:rPr>
        <w:t>En conclusion, le RIA constitue un cadre réglementaire fondamental pour la mise en place d’une gouvernance éthique</w:t>
      </w:r>
      <w:r>
        <w:rPr>
          <w:rFonts w:cstheme="minorHAnsi"/>
        </w:rPr>
        <w:t xml:space="preserve"> </w:t>
      </w:r>
      <w:r w:rsidRPr="00180FD3">
        <w:rPr>
          <w:rFonts w:cstheme="minorHAnsi"/>
        </w:rPr>
        <w:t xml:space="preserve">et responsable de l’IA dans les entreprises. Il encourage les entreprises à intégrer des pratiques rigoureuses et responsables pour minimiser les risques d’abus, garantir la transparence des systèmes d'IA, et assurer le respect des droits fondamentaux des individus, notamment dans des secteurs sensibles comme les ressources humaines. Les outils d’IA en RH offrent donc des avantages considérables, mais présentent également des limites qu'il est important de prendre en </w:t>
      </w:r>
      <w:r>
        <w:rPr>
          <w:rFonts w:cstheme="minorHAnsi"/>
        </w:rPr>
        <w:t>compte. </w:t>
      </w:r>
    </w:p>
    <w:p w14:paraId="32CC5356" w14:textId="77777777" w:rsidR="002E74D2" w:rsidRDefault="002E74D2" w:rsidP="002E74D2">
      <w:pPr>
        <w:pStyle w:val="Titre3"/>
      </w:pPr>
      <w:bookmarkStart w:id="3" w:name="_Toc204353978"/>
      <w:r>
        <w:lastRenderedPageBreak/>
        <w:t>Les</w:t>
      </w:r>
      <w:r w:rsidRPr="0069658D">
        <w:t xml:space="preserve"> limites des outils existants :</w:t>
      </w:r>
      <w:bookmarkEnd w:id="3"/>
      <w:r w:rsidRPr="0069658D">
        <w:t xml:space="preserve"> </w:t>
      </w:r>
    </w:p>
    <w:p w14:paraId="63A5DE16" w14:textId="77777777" w:rsidR="002E74D2" w:rsidRPr="00E418F6" w:rsidRDefault="002E74D2" w:rsidP="002E74D2">
      <w:pPr>
        <w:spacing w:line="276" w:lineRule="auto"/>
        <w:ind w:firstLine="360"/>
      </w:pPr>
      <w:r>
        <w:t xml:space="preserve">Les outils IA présentent des </w:t>
      </w:r>
      <w:r w:rsidRPr="00E418F6">
        <w:rPr>
          <w:rStyle w:val="lev"/>
        </w:rPr>
        <w:t>limites importantes</w:t>
      </w:r>
      <w:r>
        <w:t xml:space="preserve">, la principale étant le </w:t>
      </w:r>
      <w:r w:rsidRPr="00E418F6">
        <w:rPr>
          <w:rStyle w:val="lev"/>
        </w:rPr>
        <w:t>biais algorithmique</w:t>
      </w:r>
      <w:r>
        <w:t xml:space="preserve">. Les modèles d'IA, s'ils sont formés sur des données historiques biaisées, peuvent reproduire et amplifier ces biais, menant à des décisions discriminatoires, notamment en matière de recrutement ou de promotion. De plus, certains outils restent des </w:t>
      </w:r>
      <w:r w:rsidRPr="00E418F6">
        <w:rPr>
          <w:rStyle w:val="lev"/>
        </w:rPr>
        <w:t>boîtes noires</w:t>
      </w:r>
      <w:r w:rsidRPr="00E418F6">
        <w:rPr>
          <w:b/>
        </w:rPr>
        <w:t xml:space="preserve"> </w:t>
      </w:r>
      <w:r>
        <w:t>dont le fonctionnement est difficile à interpréter, ce qui rend l’</w:t>
      </w:r>
      <w:r w:rsidRPr="00E418F6">
        <w:rPr>
          <w:rStyle w:val="lev"/>
        </w:rPr>
        <w:t>explicabilité</w:t>
      </w:r>
      <w:r>
        <w:t xml:space="preserve"> des décisions prises par l’IA complexe et problématique. Enfin, bien que l’automatisation permette de réduire les coûts et d’accélérer les processus, elle peut également diminuer l’</w:t>
      </w:r>
      <w:r w:rsidRPr="00E418F6">
        <w:rPr>
          <w:rStyle w:val="lev"/>
        </w:rPr>
        <w:t>interaction humaine</w:t>
      </w:r>
      <w:r w:rsidRPr="00E418F6">
        <w:rPr>
          <w:b/>
        </w:rPr>
        <w:t xml:space="preserve"> </w:t>
      </w:r>
      <w:r>
        <w:t>dans des décisions sensibles, comme l’accompagnement des employés ou la gestion des conflits, où l'empathie et la compréhension contextuelle sont cruciales. Il est donc essentiel de trouver un équilibre entre l'utilisation de ces outils et la préservation du jugement humain dans la gestion des ressources humaines.</w:t>
      </w:r>
    </w:p>
    <w:p w14:paraId="6D45D5A5" w14:textId="77777777" w:rsidR="002E74D2" w:rsidRPr="00684D00" w:rsidRDefault="002E74D2" w:rsidP="002E74D2">
      <w:pPr>
        <w:spacing w:line="276" w:lineRule="auto"/>
      </w:pPr>
      <w:r>
        <w:t>Chacun de des outils IA présente de puissantes capacités pour améliorer les processus RH, mais leur utilisation doit être accompagnée d'une vigilance éthique et humaine pour minimiser leurs limites et risques.</w:t>
      </w:r>
    </w:p>
    <w:p w14:paraId="2B220B1C" w14:textId="77777777" w:rsidR="002E74D2" w:rsidRDefault="002E74D2" w:rsidP="002E74D2">
      <w:pPr>
        <w:ind w:firstLine="708"/>
      </w:pPr>
    </w:p>
    <w:p w14:paraId="541107DD" w14:textId="77777777" w:rsidR="002E74D2" w:rsidRDefault="002E74D2" w:rsidP="002E74D2">
      <w:pPr>
        <w:pStyle w:val="Titre2"/>
      </w:pPr>
      <w:r>
        <w:t xml:space="preserve"> </w:t>
      </w:r>
      <w:bookmarkStart w:id="4" w:name="_Toc204353979"/>
      <w:r>
        <w:t>Introduction à la Reconnaissance Optique de Caractères : OCR</w:t>
      </w:r>
      <w:bookmarkEnd w:id="4"/>
    </w:p>
    <w:p w14:paraId="2C678932" w14:textId="77777777" w:rsidR="002E74D2" w:rsidRDefault="002E74D2" w:rsidP="002E74D2">
      <w:pPr>
        <w:pStyle w:val="Titre3"/>
        <w:tabs>
          <w:tab w:val="num" w:pos="360"/>
        </w:tabs>
      </w:pPr>
      <w:bookmarkStart w:id="5" w:name="_Toc204353980"/>
      <w:r>
        <w:t>Les fondamentaux</w:t>
      </w:r>
      <w:bookmarkEnd w:id="5"/>
    </w:p>
    <w:p w14:paraId="1B0709D3" w14:textId="77777777" w:rsidR="002E74D2" w:rsidRPr="00C03C1E" w:rsidRDefault="002E74D2" w:rsidP="002E74D2">
      <w:pPr>
        <w:rPr>
          <w:rFonts w:eastAsia="Times New Roman" w:cstheme="minorHAnsi"/>
          <w:kern w:val="0"/>
          <w:lang w:eastAsia="fr-FR"/>
          <w14:ligatures w14:val="none"/>
        </w:rPr>
      </w:pPr>
      <w:r>
        <w:rPr>
          <w:rFonts w:eastAsia="Times New Roman" w:cstheme="minorHAnsi"/>
          <w:kern w:val="0"/>
          <w:lang w:eastAsia="fr-FR"/>
          <w14:ligatures w14:val="none"/>
        </w:rPr>
        <w:t>L’OCR</w:t>
      </w:r>
      <w:r w:rsidRPr="00C03C1E">
        <w:rPr>
          <w:rFonts w:eastAsia="Times New Roman" w:cstheme="minorHAnsi"/>
          <w:kern w:val="0"/>
          <w:lang w:eastAsia="fr-FR"/>
          <w14:ligatures w14:val="none"/>
        </w:rPr>
        <w:t xml:space="preserve"> ou reconnaissance optique de caractères, est une technologie fondamentale qui permet de transformer des documents papier, des images ou des fichiers PDF scannés en données textuelles exploitables de manière automatique. Cette étape de numérisation est cruciale pour la mise en place d’un système de gestion électronique de documents (GED).</w:t>
      </w:r>
      <w:r>
        <w:rPr>
          <w:rFonts w:eastAsia="Times New Roman" w:cstheme="minorHAnsi"/>
          <w:kern w:val="0"/>
          <w:lang w:eastAsia="fr-FR"/>
          <w14:ligatures w14:val="none"/>
        </w:rPr>
        <w:t xml:space="preserve"> </w:t>
      </w:r>
      <w:r w:rsidRPr="00C03C1E">
        <w:rPr>
          <w:rFonts w:cstheme="minorHAnsi"/>
        </w:rPr>
        <w:t xml:space="preserve">Dans un contexte où la digitalisation </w:t>
      </w:r>
      <w:r w:rsidRPr="00C03C1E">
        <w:rPr>
          <w:rFonts w:eastAsia="Times New Roman" w:cstheme="minorHAnsi"/>
          <w:kern w:val="0"/>
          <w:lang w:eastAsia="fr-FR"/>
          <w14:ligatures w14:val="none"/>
        </w:rPr>
        <w:t>des flux d’informations est devenue indispensable, l’OCR joue un rôle majeur dans la modernisation des processus, notamment dans le traitement des documents, l’automatisation des tâches métier, ainsi que l’analyse des données.</w:t>
      </w:r>
      <w:r>
        <w:rPr>
          <w:rFonts w:eastAsia="Times New Roman" w:cstheme="minorHAnsi"/>
          <w:kern w:val="0"/>
          <w:lang w:eastAsia="fr-FR"/>
          <w14:ligatures w14:val="none"/>
        </w:rPr>
        <w:t xml:space="preserve"> </w:t>
      </w:r>
      <w:r w:rsidRPr="00C03C1E">
        <w:rPr>
          <w:rFonts w:eastAsia="Times New Roman" w:cstheme="minorHAnsi"/>
          <w:kern w:val="0"/>
          <w:lang w:eastAsia="fr-FR"/>
          <w14:ligatures w14:val="none"/>
        </w:rPr>
        <w:t>Le choix d’une solution OCR doit prendre en considération toutes les phases du traitement documentaire, depuis la capture initiale et la conversion du contenu jusqu’à la correction éventuelle et la mise à disposition du document final. L’objectif principal est d’obtenir un contenu exploitable, facilitant par exemple la recherche d’information.</w:t>
      </w:r>
      <w:r>
        <w:rPr>
          <w:rFonts w:eastAsia="Times New Roman" w:cstheme="minorHAnsi"/>
          <w:kern w:val="0"/>
          <w:lang w:eastAsia="fr-FR"/>
          <w14:ligatures w14:val="none"/>
        </w:rPr>
        <w:t xml:space="preserve"> </w:t>
      </w:r>
      <w:r w:rsidRPr="00C03C1E">
        <w:rPr>
          <w:rFonts w:eastAsia="Times New Roman" w:cstheme="minorHAnsi"/>
          <w:kern w:val="0"/>
          <w:lang w:eastAsia="fr-FR"/>
          <w14:ligatures w14:val="none"/>
        </w:rPr>
        <w:t>Au fil du temps, la technologie OCR a connu une évolution importante, passant de méthodes traditionnelles basées sur des règles et des modèles statistiques à des techniques avancées utilisant l’apprentissage profond (</w:t>
      </w:r>
      <w:proofErr w:type="spellStart"/>
      <w:r w:rsidRPr="00C03C1E">
        <w:rPr>
          <w:rFonts w:eastAsia="Times New Roman" w:cstheme="minorHAnsi"/>
          <w:kern w:val="0"/>
          <w:lang w:eastAsia="fr-FR"/>
          <w14:ligatures w14:val="none"/>
        </w:rPr>
        <w:t>deep</w:t>
      </w:r>
      <w:proofErr w:type="spellEnd"/>
      <w:r w:rsidRPr="00C03C1E">
        <w:rPr>
          <w:rFonts w:eastAsia="Times New Roman" w:cstheme="minorHAnsi"/>
          <w:kern w:val="0"/>
          <w:lang w:eastAsia="fr-FR"/>
          <w14:ligatures w14:val="none"/>
        </w:rPr>
        <w:t xml:space="preserve"> </w:t>
      </w:r>
      <w:proofErr w:type="spellStart"/>
      <w:r w:rsidRPr="00C03C1E">
        <w:rPr>
          <w:rFonts w:eastAsia="Times New Roman" w:cstheme="minorHAnsi"/>
          <w:kern w:val="0"/>
          <w:lang w:eastAsia="fr-FR"/>
          <w14:ligatures w14:val="none"/>
        </w:rPr>
        <w:t>learning</w:t>
      </w:r>
      <w:proofErr w:type="spellEnd"/>
      <w:r w:rsidRPr="00C03C1E">
        <w:rPr>
          <w:rFonts w:eastAsia="Times New Roman" w:cstheme="minorHAnsi"/>
          <w:kern w:val="0"/>
          <w:lang w:eastAsia="fr-FR"/>
          <w14:ligatures w14:val="none"/>
        </w:rPr>
        <w:t>). Cette transition a permis d’améliorer significativement la précision et la robustesse des systèmes, notamment dans la reconnaissance de documents présentant des mises en page complexes.</w:t>
      </w:r>
    </w:p>
    <w:p w14:paraId="7810A224" w14:textId="77777777" w:rsidR="002E74D2" w:rsidRDefault="002E74D2" w:rsidP="002E74D2">
      <w:pPr>
        <w:spacing w:line="276" w:lineRule="auto"/>
      </w:pPr>
      <w:r>
        <w:t xml:space="preserve">L’une des avancées majeures récentes est l’intégration de réseaux neuronaux convolutifs (CNN) et de réseaux récurrents (RNN), combinés souvent avec des mécanismes d’attention. Ces architectures permettent non seulement d’identifier les caractères, mais aussi de mieux comprendre le contexte et la structure des documents, ce qui réduit les erreurs de reconnaissance et améliore la lecture dans des conditions dégradées (mauvaise qualité d’image, polices variées, bruits). Un autre aspect important est la capacité des systèmes OCR modernes à traiter des documents structurés (ex. CV) et semi-structurés. Pour cela, l’OCR est souvent couplé à des techniques de détection et d’analyse de la mise en page </w:t>
      </w:r>
      <w:r>
        <w:lastRenderedPageBreak/>
        <w:t>(</w:t>
      </w:r>
      <w:proofErr w:type="spellStart"/>
      <w:r>
        <w:t>layout</w:t>
      </w:r>
      <w:proofErr w:type="spellEnd"/>
      <w:r>
        <w:t xml:space="preserve"> </w:t>
      </w:r>
      <w:proofErr w:type="spellStart"/>
      <w:r>
        <w:t>analysis</w:t>
      </w:r>
      <w:proofErr w:type="spellEnd"/>
      <w:r>
        <w:t>), permettant d’extraire non seulement du texte, mais aussi des zones clés comme les intitulés, les tableaux, ou les champs spécifiques.</w:t>
      </w:r>
    </w:p>
    <w:p w14:paraId="31292BA7" w14:textId="77777777" w:rsidR="002E74D2" w:rsidRDefault="002E74D2" w:rsidP="002E74D2">
      <w:pPr>
        <w:spacing w:line="276" w:lineRule="auto"/>
      </w:pPr>
      <w:r>
        <w:t xml:space="preserve">Dans le domaine des ressources humaines, l’OCR appliqué à l’analyse automatique des CV est devenu un levier puissant pour accélérer les processus de recrutement. L’extraction précise des compétences, expériences, formations, et autres informations permet d’alimenter des systèmes de gestion des candidatures et de </w:t>
      </w:r>
      <w:proofErr w:type="spellStart"/>
      <w:r>
        <w:t>matching</w:t>
      </w:r>
      <w:proofErr w:type="spellEnd"/>
      <w:r>
        <w:t xml:space="preserve"> métier (comme les familles ROME en France, et REM au Ministère des Armées), améliorant ainsi la qualité et la rapidité des sélections.</w:t>
      </w:r>
    </w:p>
    <w:p w14:paraId="137C60CA" w14:textId="77777777" w:rsidR="002E74D2" w:rsidRDefault="002E74D2" w:rsidP="002E74D2">
      <w:pPr>
        <w:pStyle w:val="Titre3"/>
      </w:pPr>
      <w:bookmarkStart w:id="6" w:name="_Toc204353981"/>
      <w:r>
        <w:t>Solutions d’OCR</w:t>
      </w:r>
      <w:bookmarkEnd w:id="6"/>
    </w:p>
    <w:p w14:paraId="2599E4ED" w14:textId="77777777" w:rsidR="002E74D2" w:rsidRDefault="002E74D2" w:rsidP="002E74D2">
      <w:pPr>
        <w:spacing w:line="276" w:lineRule="auto"/>
      </w:pPr>
      <w:r>
        <w:t xml:space="preserve">Les solutions OCR sont aujourd’hui proposées sous diverses formes : API cloud (Google Cloud Vision, Microsoft Azure OCR), logiciels embarqués open source (Tesseract, </w:t>
      </w:r>
      <w:proofErr w:type="spellStart"/>
      <w:r>
        <w:t>EasyOCR</w:t>
      </w:r>
      <w:proofErr w:type="spellEnd"/>
      <w:r>
        <w:t>), ou solutions propriétaires spécialisées. Le choix dépend souvent des contraintes en termes de confidentialité, type de documents, et personnalisation nécessaire.</w:t>
      </w:r>
    </w:p>
    <w:p w14:paraId="1BF00CC6" w14:textId="77777777" w:rsidR="002E74D2" w:rsidRPr="00FC1F4F" w:rsidRDefault="002E74D2" w:rsidP="002E74D2">
      <w:pPr>
        <w:rPr>
          <w:color w:val="FFC000"/>
        </w:rPr>
      </w:pPr>
      <w:r>
        <w:t>Cependant, malgré les progrès, certains défis persistent. L’OCR reste sensible aux textes très stylisés ou aux images bruitées. De plus, la simple reconnaissance des caractères ne suffit pas toujours : il faut intégrer des étapes complémentaires de nettoyage, normalisation, et structuration des données extraites pour les rendre exploitables. Dans cette optique, la combinaison de l’OCR avec des techniques de traitement du langage naturel (NLP) devient cruciale. L’analyse sémantique, la reconnaissance d’entités nommées (NER), et le clustering permettent d’enrichir les données brutes issues de l’OCR et d’en faciliter l’interprétation automatique dans des cas d’usage complexes.</w:t>
      </w:r>
      <w:r w:rsidRPr="00592DAA">
        <w:t xml:space="preserve"> </w:t>
      </w:r>
      <w:r w:rsidRPr="00592DAA">
        <w:rPr>
          <w:color w:val="FFC000"/>
        </w:rPr>
        <w:t xml:space="preserve">Enfin, l’émergence de modèles de vision et langage multimodaux (comme les Transformers appliqués à la reconnaissance documentaire) ouvre de nouvelles perspectives pour des systèmes OCR plus intelligents, capables d’interpréter simultanément le texte, la mise en page, et </w:t>
      </w:r>
      <w:r>
        <w:rPr>
          <w:color w:val="FFC000"/>
        </w:rPr>
        <w:t>le contenu visuel.</w:t>
      </w:r>
    </w:p>
    <w:p w14:paraId="79FA2F88" w14:textId="6326D601" w:rsidR="00DF012D" w:rsidRDefault="002E74D2" w:rsidP="002E74D2">
      <w:r>
        <w:t>En résumé, l’OCR est un domaine en pleine évolution, combinant apprentissage profond, traitement du langage naturel et analyse de documents. Il représente un pilier essentiel pour automatiser la gestion des documents, améliorer l’efficacité des processus métiers, et exploiter pleinement les données textuelles non structurées dans divers secteurs.</w:t>
      </w:r>
    </w:p>
    <w:sectPr w:rsidR="00DF01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4D2"/>
    <w:rsid w:val="00006688"/>
    <w:rsid w:val="000127D5"/>
    <w:rsid w:val="00026669"/>
    <w:rsid w:val="0003459F"/>
    <w:rsid w:val="00036403"/>
    <w:rsid w:val="00042835"/>
    <w:rsid w:val="00074B12"/>
    <w:rsid w:val="000832A3"/>
    <w:rsid w:val="000838F8"/>
    <w:rsid w:val="000A6C25"/>
    <w:rsid w:val="000B2786"/>
    <w:rsid w:val="000D6D65"/>
    <w:rsid w:val="000F0C53"/>
    <w:rsid w:val="00133DCD"/>
    <w:rsid w:val="0014676E"/>
    <w:rsid w:val="00154A31"/>
    <w:rsid w:val="001A03F6"/>
    <w:rsid w:val="001B1F30"/>
    <w:rsid w:val="001B6F0C"/>
    <w:rsid w:val="001B739C"/>
    <w:rsid w:val="001D7791"/>
    <w:rsid w:val="00205DCC"/>
    <w:rsid w:val="00214A59"/>
    <w:rsid w:val="00223CE8"/>
    <w:rsid w:val="00234383"/>
    <w:rsid w:val="00250344"/>
    <w:rsid w:val="00254F39"/>
    <w:rsid w:val="00256B93"/>
    <w:rsid w:val="00262F40"/>
    <w:rsid w:val="0027039C"/>
    <w:rsid w:val="0029362E"/>
    <w:rsid w:val="002C6664"/>
    <w:rsid w:val="002E4D6A"/>
    <w:rsid w:val="002E74D2"/>
    <w:rsid w:val="00302277"/>
    <w:rsid w:val="00302581"/>
    <w:rsid w:val="00304114"/>
    <w:rsid w:val="003263EF"/>
    <w:rsid w:val="00334B76"/>
    <w:rsid w:val="003434DD"/>
    <w:rsid w:val="00343EDD"/>
    <w:rsid w:val="00344018"/>
    <w:rsid w:val="00355097"/>
    <w:rsid w:val="00360C4C"/>
    <w:rsid w:val="00372FDE"/>
    <w:rsid w:val="00377D1E"/>
    <w:rsid w:val="00383951"/>
    <w:rsid w:val="0038398E"/>
    <w:rsid w:val="00383CD7"/>
    <w:rsid w:val="003D571A"/>
    <w:rsid w:val="00405026"/>
    <w:rsid w:val="00405BA0"/>
    <w:rsid w:val="00425FE5"/>
    <w:rsid w:val="004401F0"/>
    <w:rsid w:val="00450F10"/>
    <w:rsid w:val="004520A2"/>
    <w:rsid w:val="00466C3C"/>
    <w:rsid w:val="00470138"/>
    <w:rsid w:val="00496630"/>
    <w:rsid w:val="004A6162"/>
    <w:rsid w:val="004D2C6C"/>
    <w:rsid w:val="004E5F32"/>
    <w:rsid w:val="005023E3"/>
    <w:rsid w:val="00511D6E"/>
    <w:rsid w:val="005150B7"/>
    <w:rsid w:val="00530413"/>
    <w:rsid w:val="005368C1"/>
    <w:rsid w:val="0055208D"/>
    <w:rsid w:val="00552D65"/>
    <w:rsid w:val="00560A19"/>
    <w:rsid w:val="00577728"/>
    <w:rsid w:val="00591A14"/>
    <w:rsid w:val="00591D32"/>
    <w:rsid w:val="005B48C1"/>
    <w:rsid w:val="005E483E"/>
    <w:rsid w:val="005F139B"/>
    <w:rsid w:val="00607B6B"/>
    <w:rsid w:val="00610504"/>
    <w:rsid w:val="00630404"/>
    <w:rsid w:val="00633A9B"/>
    <w:rsid w:val="00635C31"/>
    <w:rsid w:val="00661FEA"/>
    <w:rsid w:val="00671EA0"/>
    <w:rsid w:val="0067609E"/>
    <w:rsid w:val="0068182A"/>
    <w:rsid w:val="006955CB"/>
    <w:rsid w:val="006972BC"/>
    <w:rsid w:val="006A3A9D"/>
    <w:rsid w:val="006A4E94"/>
    <w:rsid w:val="006A66FB"/>
    <w:rsid w:val="006C14D7"/>
    <w:rsid w:val="006F5FCF"/>
    <w:rsid w:val="00703E39"/>
    <w:rsid w:val="0070666C"/>
    <w:rsid w:val="00711188"/>
    <w:rsid w:val="007577D0"/>
    <w:rsid w:val="00780ACF"/>
    <w:rsid w:val="00785004"/>
    <w:rsid w:val="00787363"/>
    <w:rsid w:val="007A14FA"/>
    <w:rsid w:val="007A1A22"/>
    <w:rsid w:val="007A3AA1"/>
    <w:rsid w:val="007B7B4A"/>
    <w:rsid w:val="007C4C5A"/>
    <w:rsid w:val="007D0CCD"/>
    <w:rsid w:val="007D6E1A"/>
    <w:rsid w:val="00807B92"/>
    <w:rsid w:val="008166DB"/>
    <w:rsid w:val="00850FE3"/>
    <w:rsid w:val="008558F8"/>
    <w:rsid w:val="008776E2"/>
    <w:rsid w:val="0088225D"/>
    <w:rsid w:val="008B3920"/>
    <w:rsid w:val="008C4FA4"/>
    <w:rsid w:val="008C53DF"/>
    <w:rsid w:val="009055DD"/>
    <w:rsid w:val="00906CFB"/>
    <w:rsid w:val="009136F1"/>
    <w:rsid w:val="00924799"/>
    <w:rsid w:val="00926D3E"/>
    <w:rsid w:val="00927CA3"/>
    <w:rsid w:val="00937F62"/>
    <w:rsid w:val="00950686"/>
    <w:rsid w:val="009515AF"/>
    <w:rsid w:val="00956737"/>
    <w:rsid w:val="0097625E"/>
    <w:rsid w:val="00980C58"/>
    <w:rsid w:val="00995CFC"/>
    <w:rsid w:val="009A2AE3"/>
    <w:rsid w:val="009A7AF8"/>
    <w:rsid w:val="009C09BD"/>
    <w:rsid w:val="009C6462"/>
    <w:rsid w:val="009C67BD"/>
    <w:rsid w:val="009D01B9"/>
    <w:rsid w:val="009F7B28"/>
    <w:rsid w:val="00A02A00"/>
    <w:rsid w:val="00A15043"/>
    <w:rsid w:val="00A30663"/>
    <w:rsid w:val="00A53BA5"/>
    <w:rsid w:val="00A9671A"/>
    <w:rsid w:val="00AA099F"/>
    <w:rsid w:val="00AB395A"/>
    <w:rsid w:val="00AB4597"/>
    <w:rsid w:val="00AB4ADF"/>
    <w:rsid w:val="00AB695C"/>
    <w:rsid w:val="00AC02C5"/>
    <w:rsid w:val="00AC222D"/>
    <w:rsid w:val="00AC2B04"/>
    <w:rsid w:val="00AC7494"/>
    <w:rsid w:val="00AE7915"/>
    <w:rsid w:val="00B237B2"/>
    <w:rsid w:val="00B27B5F"/>
    <w:rsid w:val="00B3106E"/>
    <w:rsid w:val="00B44D03"/>
    <w:rsid w:val="00B53C77"/>
    <w:rsid w:val="00B73BC3"/>
    <w:rsid w:val="00B827C6"/>
    <w:rsid w:val="00B8292E"/>
    <w:rsid w:val="00B82B14"/>
    <w:rsid w:val="00BB7462"/>
    <w:rsid w:val="00BD0F21"/>
    <w:rsid w:val="00C235E9"/>
    <w:rsid w:val="00C43E78"/>
    <w:rsid w:val="00C63E1E"/>
    <w:rsid w:val="00C87112"/>
    <w:rsid w:val="00C96217"/>
    <w:rsid w:val="00CA6DD8"/>
    <w:rsid w:val="00CB0680"/>
    <w:rsid w:val="00CB57B3"/>
    <w:rsid w:val="00CC324B"/>
    <w:rsid w:val="00CC504E"/>
    <w:rsid w:val="00CD363D"/>
    <w:rsid w:val="00CD4194"/>
    <w:rsid w:val="00CD71B1"/>
    <w:rsid w:val="00D104B9"/>
    <w:rsid w:val="00D30660"/>
    <w:rsid w:val="00D35C6B"/>
    <w:rsid w:val="00D379C6"/>
    <w:rsid w:val="00D40CCE"/>
    <w:rsid w:val="00D769CE"/>
    <w:rsid w:val="00D95CD1"/>
    <w:rsid w:val="00DA5664"/>
    <w:rsid w:val="00DD32B4"/>
    <w:rsid w:val="00DD739A"/>
    <w:rsid w:val="00DE0DE9"/>
    <w:rsid w:val="00DF012D"/>
    <w:rsid w:val="00DF1E06"/>
    <w:rsid w:val="00E05307"/>
    <w:rsid w:val="00E060FF"/>
    <w:rsid w:val="00E22DF0"/>
    <w:rsid w:val="00E34A38"/>
    <w:rsid w:val="00E56928"/>
    <w:rsid w:val="00E7528B"/>
    <w:rsid w:val="00E80F3D"/>
    <w:rsid w:val="00E821FA"/>
    <w:rsid w:val="00EB355C"/>
    <w:rsid w:val="00EC5637"/>
    <w:rsid w:val="00ED01AF"/>
    <w:rsid w:val="00EE1C8D"/>
    <w:rsid w:val="00EE24C6"/>
    <w:rsid w:val="00EE2695"/>
    <w:rsid w:val="00EE4F36"/>
    <w:rsid w:val="00EE6C45"/>
    <w:rsid w:val="00EF2314"/>
    <w:rsid w:val="00EF2984"/>
    <w:rsid w:val="00F145E2"/>
    <w:rsid w:val="00F20EB7"/>
    <w:rsid w:val="00F279BF"/>
    <w:rsid w:val="00F33954"/>
    <w:rsid w:val="00F4487E"/>
    <w:rsid w:val="00F46370"/>
    <w:rsid w:val="00F606E8"/>
    <w:rsid w:val="00F81304"/>
    <w:rsid w:val="00F875AD"/>
    <w:rsid w:val="00FA0CAA"/>
    <w:rsid w:val="00FA1304"/>
    <w:rsid w:val="00FA61E1"/>
    <w:rsid w:val="00FB115F"/>
    <w:rsid w:val="00FB5CFB"/>
    <w:rsid w:val="00FE3614"/>
    <w:rsid w:val="00FE3DC1"/>
    <w:rsid w:val="00FE70D0"/>
    <w:rsid w:val="00FF1ED3"/>
    <w:rsid w:val="00FF321D"/>
    <w:rsid w:val="00FF60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CAF7D"/>
  <w15:chartTrackingRefBased/>
  <w15:docId w15:val="{B03AD468-D7BD-412C-AB5C-0A867425F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74D2"/>
    <w:pPr>
      <w:spacing w:after="120" w:line="312" w:lineRule="auto"/>
      <w:jc w:val="both"/>
    </w:pPr>
    <w:rPr>
      <w:color w:val="3B3838" w:themeColor="background2" w:themeShade="40"/>
    </w:rPr>
  </w:style>
  <w:style w:type="paragraph" w:styleId="Titre1">
    <w:name w:val="heading 1"/>
    <w:basedOn w:val="Normal"/>
    <w:next w:val="Normal"/>
    <w:link w:val="Titre1Car"/>
    <w:uiPriority w:val="9"/>
    <w:qFormat/>
    <w:rsid w:val="002E74D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unhideWhenUsed/>
    <w:qFormat/>
    <w:rsid w:val="002E74D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unhideWhenUsed/>
    <w:qFormat/>
    <w:rsid w:val="002E74D2"/>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2E74D2"/>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2E74D2"/>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2E74D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E74D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E74D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E74D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E74D2"/>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rsid w:val="002E74D2"/>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2E74D2"/>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2E74D2"/>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2E74D2"/>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2E74D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E74D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E74D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E74D2"/>
    <w:rPr>
      <w:rFonts w:eastAsiaTheme="majorEastAsia" w:cstheme="majorBidi"/>
      <w:color w:val="272727" w:themeColor="text1" w:themeTint="D8"/>
    </w:rPr>
  </w:style>
  <w:style w:type="paragraph" w:styleId="Titre">
    <w:name w:val="Title"/>
    <w:basedOn w:val="Normal"/>
    <w:next w:val="Normal"/>
    <w:link w:val="TitreCar"/>
    <w:uiPriority w:val="10"/>
    <w:qFormat/>
    <w:rsid w:val="002E74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E74D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E74D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E74D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E74D2"/>
    <w:pPr>
      <w:spacing w:before="160"/>
      <w:jc w:val="center"/>
    </w:pPr>
    <w:rPr>
      <w:i/>
      <w:iCs/>
      <w:color w:val="404040" w:themeColor="text1" w:themeTint="BF"/>
    </w:rPr>
  </w:style>
  <w:style w:type="character" w:customStyle="1" w:styleId="CitationCar">
    <w:name w:val="Citation Car"/>
    <w:basedOn w:val="Policepardfaut"/>
    <w:link w:val="Citation"/>
    <w:uiPriority w:val="29"/>
    <w:rsid w:val="002E74D2"/>
    <w:rPr>
      <w:i/>
      <w:iCs/>
      <w:color w:val="404040" w:themeColor="text1" w:themeTint="BF"/>
    </w:rPr>
  </w:style>
  <w:style w:type="paragraph" w:styleId="Paragraphedeliste">
    <w:name w:val="List Paragraph"/>
    <w:basedOn w:val="Normal"/>
    <w:uiPriority w:val="34"/>
    <w:qFormat/>
    <w:rsid w:val="002E74D2"/>
    <w:pPr>
      <w:ind w:left="720"/>
      <w:contextualSpacing/>
    </w:pPr>
  </w:style>
  <w:style w:type="character" w:styleId="Accentuationintense">
    <w:name w:val="Intense Emphasis"/>
    <w:basedOn w:val="Policepardfaut"/>
    <w:uiPriority w:val="21"/>
    <w:qFormat/>
    <w:rsid w:val="002E74D2"/>
    <w:rPr>
      <w:i/>
      <w:iCs/>
      <w:color w:val="2F5496" w:themeColor="accent1" w:themeShade="BF"/>
    </w:rPr>
  </w:style>
  <w:style w:type="paragraph" w:styleId="Citationintense">
    <w:name w:val="Intense Quote"/>
    <w:basedOn w:val="Normal"/>
    <w:next w:val="Normal"/>
    <w:link w:val="CitationintenseCar"/>
    <w:uiPriority w:val="30"/>
    <w:qFormat/>
    <w:rsid w:val="002E74D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2E74D2"/>
    <w:rPr>
      <w:i/>
      <w:iCs/>
      <w:color w:val="2F5496" w:themeColor="accent1" w:themeShade="BF"/>
    </w:rPr>
  </w:style>
  <w:style w:type="character" w:styleId="Rfrenceintense">
    <w:name w:val="Intense Reference"/>
    <w:basedOn w:val="Policepardfaut"/>
    <w:uiPriority w:val="32"/>
    <w:qFormat/>
    <w:rsid w:val="002E74D2"/>
    <w:rPr>
      <w:b/>
      <w:bCs/>
      <w:smallCaps/>
      <w:color w:val="2F5496" w:themeColor="accent1" w:themeShade="BF"/>
      <w:spacing w:val="5"/>
    </w:rPr>
  </w:style>
  <w:style w:type="character" w:styleId="lev">
    <w:name w:val="Strong"/>
    <w:basedOn w:val="Policepardfaut"/>
    <w:uiPriority w:val="22"/>
    <w:qFormat/>
    <w:rsid w:val="002E74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1449</Words>
  <Characters>7973</Characters>
  <Application>Microsoft Office Word</Application>
  <DocSecurity>0</DocSecurity>
  <Lines>66</Lines>
  <Paragraphs>18</Paragraphs>
  <ScaleCrop>false</ScaleCrop>
  <Company/>
  <LinksUpToDate>false</LinksUpToDate>
  <CharactersWithSpaces>9404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Berville</dc:creator>
  <cp:keywords/>
  <dc:description/>
  <cp:lastModifiedBy>L. Berville</cp:lastModifiedBy>
  <cp:revision>1</cp:revision>
  <dcterms:created xsi:type="dcterms:W3CDTF">2025-08-02T21:21:00Z</dcterms:created>
  <dcterms:modified xsi:type="dcterms:W3CDTF">2025-08-02T21:22:00Z</dcterms:modified>
</cp:coreProperties>
</file>