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C73B01" w14:textId="4E2F6F94" w:rsidR="00402DA4" w:rsidRDefault="00402DA4" w:rsidP="00402DA4">
      <w:r>
        <w:t>Pipelines netbacks and trade</w:t>
      </w:r>
    </w:p>
    <w:p w14:paraId="05D7899F" w14:textId="0C1CFB69" w:rsidR="00402DA4" w:rsidRDefault="00402DA4" w:rsidP="00402DA4">
      <w:r>
        <w:t xml:space="preserve">The rise of light tight oil since 2008 has fundamentally altered the </w:t>
      </w:r>
      <w:r w:rsidR="00704846">
        <w:t xml:space="preserve">global </w:t>
      </w:r>
      <w:r>
        <w:t>flow of</w:t>
      </w:r>
      <w:r w:rsidR="00704846">
        <w:t xml:space="preserve"> crude oil.  In North America, W</w:t>
      </w:r>
      <w:r>
        <w:t>TI vs. Brent has inversed</w:t>
      </w:r>
      <w:r w:rsidR="00704846">
        <w:t xml:space="preserve"> relative to historically </w:t>
      </w:r>
      <w:proofErr w:type="gramStart"/>
      <w:r w:rsidR="00704846">
        <w:t>relationships</w:t>
      </w:r>
      <w:r>
        <w:t>,</w:t>
      </w:r>
      <w:proofErr w:type="gramEnd"/>
      <w:r>
        <w:t xml:space="preserve"> a</w:t>
      </w:r>
      <w:r w:rsidR="00704846">
        <w:t>nd</w:t>
      </w:r>
      <w:r>
        <w:t xml:space="preserve"> North Sea and West African barrels that </w:t>
      </w:r>
      <w:r w:rsidR="00704846">
        <w:t>historically moved</w:t>
      </w:r>
      <w:r>
        <w:t xml:space="preserve"> to North America had to find new homes in Asia, pushing out Middle Eastern barrels.</w:t>
      </w:r>
      <w:r w:rsidR="00704846">
        <w:t xml:space="preserve"> All of this had major impacts on price, trade, OPEC and, ultimately infrastructure, including pipelines and shipping.</w:t>
      </w:r>
    </w:p>
    <w:p w14:paraId="2536E3CC" w14:textId="13F19671" w:rsidR="0098242B" w:rsidRDefault="00704846">
      <w:r>
        <w:t>What about the next decade?  Will infrastructure become increasingly important given all these changes? And how will this impact Canadian oil production?</w:t>
      </w:r>
    </w:p>
    <w:p w14:paraId="5438A70C" w14:textId="432331F7" w:rsidR="00704846" w:rsidRDefault="00704846" w:rsidP="00704846">
      <w:r>
        <w:t>If you look at the major forecasters, like the IEA and EIA, it appears that US tight oil growth will continue for some time.  In March 2018, the EIA reported US production at 10.47 million barrels per day, a record level.  The EIA</w:t>
      </w:r>
      <w:r w:rsidR="007171E8">
        <w:t xml:space="preserve"> Annual Energy Outlook 2018</w:t>
      </w:r>
      <w:r>
        <w:t xml:space="preserve"> </w:t>
      </w:r>
      <w:r w:rsidR="007171E8">
        <w:t>implies</w:t>
      </w:r>
      <w:r>
        <w:t xml:space="preserve"> that</w:t>
      </w:r>
      <w:r w:rsidR="007171E8">
        <w:t xml:space="preserve"> t</w:t>
      </w:r>
      <w:r w:rsidR="007171E8">
        <w:t>he fevered growth in US tight oil over the next ten to twelve years is on pace to exceed t</w:t>
      </w:r>
      <w:r w:rsidR="007171E8">
        <w:t>he most dramatic sustained rise</w:t>
      </w:r>
      <w:r w:rsidR="007171E8">
        <w:t xml:space="preserve"> in output ever seen by an individual country.</w:t>
      </w:r>
      <w:r w:rsidR="007171E8">
        <w:t xml:space="preserve">  As can be seen from the graphic below, </w:t>
      </w:r>
      <w:r>
        <w:t>t</w:t>
      </w:r>
      <w:r>
        <w:t xml:space="preserve">otal US production </w:t>
      </w:r>
      <w:r w:rsidR="007171E8">
        <w:t>remains</w:t>
      </w:r>
      <w:r>
        <w:t xml:space="preserve"> between 11 million and 12 million barrels per day</w:t>
      </w:r>
      <w:r w:rsidR="007171E8">
        <w:t xml:space="preserve">, even </w:t>
      </w:r>
      <w:proofErr w:type="spellStart"/>
      <w:r w:rsidR="007171E8">
        <w:t>through</w:t>
      </w:r>
      <w:proofErr w:type="spellEnd"/>
      <w:r w:rsidR="007171E8">
        <w:t xml:space="preserve"> the 2030s</w:t>
      </w:r>
      <w:r>
        <w:t xml:space="preserve">. </w:t>
      </w:r>
    </w:p>
    <w:p w14:paraId="1540F913" w14:textId="78A01156" w:rsidR="007171E8" w:rsidRDefault="007171E8" w:rsidP="00704846">
      <w:r>
        <w:rPr>
          <w:noProof/>
          <w:lang w:eastAsia="en-CA"/>
        </w:rPr>
        <w:drawing>
          <wp:inline distT="0" distB="0" distL="0" distR="0" wp14:anchorId="2FC5FC5D" wp14:editId="596F59D2">
            <wp:extent cx="5019675" cy="3019331"/>
            <wp:effectExtent l="0" t="0" r="0" b="0"/>
            <wp:docPr id="6"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7000000}"/>
                        </a:ext>
                      </a:extLst>
                    </pic:cNvPr>
                    <pic:cNvPicPr>
                      <a:picLocks noChangeAspect="1"/>
                    </pic:cNvPicPr>
                  </pic:nvPicPr>
                  <pic:blipFill>
                    <a:blip r:embed="rId5"/>
                    <a:stretch>
                      <a:fillRect/>
                    </a:stretch>
                  </pic:blipFill>
                  <pic:spPr>
                    <a:xfrm>
                      <a:off x="0" y="0"/>
                      <a:ext cx="5026584" cy="3023487"/>
                    </a:xfrm>
                    <a:prstGeom prst="rect">
                      <a:avLst/>
                    </a:prstGeom>
                  </pic:spPr>
                </pic:pic>
              </a:graphicData>
            </a:graphic>
          </wp:inline>
        </w:drawing>
      </w:r>
    </w:p>
    <w:p w14:paraId="29C61823" w14:textId="77777777" w:rsidR="007171E8" w:rsidRDefault="007171E8" w:rsidP="007171E8">
      <w:r>
        <w:t>Source: EIA AEO 2018</w:t>
      </w:r>
    </w:p>
    <w:p w14:paraId="64649248" w14:textId="014CBCD6" w:rsidR="007171E8" w:rsidRDefault="007171E8" w:rsidP="00704846">
      <w:r>
        <w:t>Lower 48 onshore tight oil development will drive US crude oil production, accounting for 65% of domestic production during the forecast period. The Permian and Bakken/</w:t>
      </w:r>
      <w:proofErr w:type="spellStart"/>
      <w:r>
        <w:t>Niobrara</w:t>
      </w:r>
      <w:proofErr w:type="spellEnd"/>
      <w:r>
        <w:t xml:space="preserve"> basins will lead production. Growth in the Gulf Coast region increases through 2025 before flattening out as drilling in the Eagle Ford region becomes less productive:</w:t>
      </w:r>
    </w:p>
    <w:tbl>
      <w:tblPr>
        <w:tblW w:w="5120" w:type="dxa"/>
        <w:jc w:val="center"/>
        <w:tblLook w:val="04A0" w:firstRow="1" w:lastRow="0" w:firstColumn="1" w:lastColumn="0" w:noHBand="0" w:noVBand="1"/>
      </w:tblPr>
      <w:tblGrid>
        <w:gridCol w:w="2474"/>
        <w:gridCol w:w="759"/>
        <w:gridCol w:w="759"/>
        <w:gridCol w:w="1128"/>
      </w:tblGrid>
      <w:tr w:rsidR="007171E8" w:rsidRPr="000E4211" w14:paraId="42B7FF4D" w14:textId="77777777" w:rsidTr="00AE7B23">
        <w:trPr>
          <w:trHeight w:val="300"/>
          <w:jc w:val="center"/>
        </w:trPr>
        <w:tc>
          <w:tcPr>
            <w:tcW w:w="5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6C4C7" w14:textId="77777777" w:rsidR="007171E8" w:rsidRPr="000E4211" w:rsidRDefault="007171E8" w:rsidP="00AE7B23">
            <w:pPr>
              <w:spacing w:after="0" w:line="240" w:lineRule="auto"/>
              <w:jc w:val="center"/>
              <w:rPr>
                <w:rFonts w:ascii="Calibri" w:eastAsia="Times New Roman" w:hAnsi="Calibri" w:cs="Calibri"/>
                <w:color w:val="000000"/>
                <w:lang w:val="en-US"/>
              </w:rPr>
            </w:pPr>
            <w:r w:rsidRPr="000E4211">
              <w:rPr>
                <w:rFonts w:ascii="Calibri" w:eastAsia="Times New Roman" w:hAnsi="Calibri" w:cs="Calibri"/>
                <w:color w:val="000000"/>
                <w:lang w:val="en-US"/>
              </w:rPr>
              <w:t>Oil production (</w:t>
            </w:r>
            <w:proofErr w:type="spellStart"/>
            <w:r w:rsidRPr="000E4211">
              <w:rPr>
                <w:rFonts w:ascii="Calibri" w:eastAsia="Times New Roman" w:hAnsi="Calibri" w:cs="Calibri"/>
                <w:color w:val="000000"/>
                <w:lang w:val="en-US"/>
              </w:rPr>
              <w:t>mb</w:t>
            </w:r>
            <w:proofErr w:type="spellEnd"/>
            <w:r w:rsidRPr="000E4211">
              <w:rPr>
                <w:rFonts w:ascii="Calibri" w:eastAsia="Times New Roman" w:hAnsi="Calibri" w:cs="Calibri"/>
                <w:color w:val="000000"/>
                <w:lang w:val="en-US"/>
              </w:rPr>
              <w:t>/d)</w:t>
            </w:r>
          </w:p>
        </w:tc>
      </w:tr>
      <w:tr w:rsidR="007171E8" w:rsidRPr="000E4211" w14:paraId="5018FCEE" w14:textId="77777777" w:rsidTr="00AE7B23">
        <w:trPr>
          <w:trHeight w:val="300"/>
          <w:jc w:val="center"/>
        </w:trPr>
        <w:tc>
          <w:tcPr>
            <w:tcW w:w="2474" w:type="dxa"/>
            <w:tcBorders>
              <w:top w:val="nil"/>
              <w:left w:val="single" w:sz="4" w:space="0" w:color="auto"/>
              <w:bottom w:val="single" w:sz="4" w:space="0" w:color="auto"/>
              <w:right w:val="single" w:sz="4" w:space="0" w:color="auto"/>
            </w:tcBorders>
            <w:shd w:val="clear" w:color="000000" w:fill="8EA9DB"/>
            <w:noWrap/>
            <w:vAlign w:val="bottom"/>
            <w:hideMark/>
          </w:tcPr>
          <w:p w14:paraId="27CA144D" w14:textId="77777777" w:rsidR="007171E8" w:rsidRPr="000E4211" w:rsidRDefault="007171E8" w:rsidP="00AE7B23">
            <w:pPr>
              <w:spacing w:after="0" w:line="240" w:lineRule="auto"/>
              <w:rPr>
                <w:rFonts w:ascii="Calibri" w:eastAsia="Times New Roman" w:hAnsi="Calibri" w:cs="Calibri"/>
                <w:color w:val="000000"/>
                <w:lang w:val="en-US"/>
              </w:rPr>
            </w:pPr>
            <w:r w:rsidRPr="000E4211">
              <w:rPr>
                <w:rFonts w:ascii="Calibri" w:eastAsia="Times New Roman" w:hAnsi="Calibri" w:cs="Calibri"/>
                <w:color w:val="000000"/>
                <w:lang w:val="en-US"/>
              </w:rPr>
              <w:t> </w:t>
            </w:r>
          </w:p>
        </w:tc>
        <w:tc>
          <w:tcPr>
            <w:tcW w:w="759" w:type="dxa"/>
            <w:tcBorders>
              <w:top w:val="nil"/>
              <w:left w:val="nil"/>
              <w:bottom w:val="single" w:sz="4" w:space="0" w:color="auto"/>
              <w:right w:val="single" w:sz="4" w:space="0" w:color="auto"/>
            </w:tcBorders>
            <w:shd w:val="clear" w:color="000000" w:fill="8EA9DB"/>
            <w:noWrap/>
            <w:vAlign w:val="bottom"/>
            <w:hideMark/>
          </w:tcPr>
          <w:p w14:paraId="0E7993F6" w14:textId="77777777" w:rsidR="007171E8" w:rsidRPr="000E4211" w:rsidRDefault="007171E8" w:rsidP="00AE7B23">
            <w:pPr>
              <w:spacing w:after="0" w:line="240" w:lineRule="auto"/>
              <w:jc w:val="center"/>
              <w:rPr>
                <w:rFonts w:ascii="Calibri" w:eastAsia="Times New Roman" w:hAnsi="Calibri" w:cs="Calibri"/>
                <w:color w:val="000000"/>
                <w:lang w:val="en-US"/>
              </w:rPr>
            </w:pPr>
            <w:r w:rsidRPr="000E4211">
              <w:rPr>
                <w:rFonts w:ascii="Calibri" w:eastAsia="Times New Roman" w:hAnsi="Calibri" w:cs="Calibri"/>
                <w:color w:val="000000"/>
                <w:lang w:val="en-US"/>
              </w:rPr>
              <w:t>2017</w:t>
            </w:r>
          </w:p>
        </w:tc>
        <w:tc>
          <w:tcPr>
            <w:tcW w:w="759" w:type="dxa"/>
            <w:tcBorders>
              <w:top w:val="nil"/>
              <w:left w:val="nil"/>
              <w:bottom w:val="single" w:sz="4" w:space="0" w:color="auto"/>
              <w:right w:val="single" w:sz="4" w:space="0" w:color="auto"/>
            </w:tcBorders>
            <w:shd w:val="clear" w:color="000000" w:fill="8EA9DB"/>
            <w:noWrap/>
            <w:vAlign w:val="bottom"/>
            <w:hideMark/>
          </w:tcPr>
          <w:p w14:paraId="692DEA81" w14:textId="77777777" w:rsidR="007171E8" w:rsidRPr="000E4211" w:rsidRDefault="007171E8" w:rsidP="00AE7B23">
            <w:pPr>
              <w:spacing w:after="0" w:line="240" w:lineRule="auto"/>
              <w:jc w:val="center"/>
              <w:rPr>
                <w:rFonts w:ascii="Calibri" w:eastAsia="Times New Roman" w:hAnsi="Calibri" w:cs="Calibri"/>
                <w:color w:val="000000"/>
                <w:lang w:val="en-US"/>
              </w:rPr>
            </w:pPr>
            <w:r w:rsidRPr="000E4211">
              <w:rPr>
                <w:rFonts w:ascii="Calibri" w:eastAsia="Times New Roman" w:hAnsi="Calibri" w:cs="Calibri"/>
                <w:color w:val="000000"/>
                <w:lang w:val="en-US"/>
              </w:rPr>
              <w:t>2030</w:t>
            </w:r>
          </w:p>
        </w:tc>
        <w:tc>
          <w:tcPr>
            <w:tcW w:w="1128" w:type="dxa"/>
            <w:tcBorders>
              <w:top w:val="nil"/>
              <w:left w:val="nil"/>
              <w:bottom w:val="single" w:sz="4" w:space="0" w:color="auto"/>
              <w:right w:val="single" w:sz="4" w:space="0" w:color="auto"/>
            </w:tcBorders>
            <w:shd w:val="clear" w:color="000000" w:fill="8EA9DB"/>
            <w:noWrap/>
            <w:vAlign w:val="bottom"/>
            <w:hideMark/>
          </w:tcPr>
          <w:p w14:paraId="218A422A" w14:textId="77777777" w:rsidR="007171E8" w:rsidRPr="000E4211" w:rsidRDefault="007171E8" w:rsidP="00AE7B23">
            <w:pPr>
              <w:spacing w:after="0" w:line="240" w:lineRule="auto"/>
              <w:jc w:val="center"/>
              <w:rPr>
                <w:rFonts w:ascii="Calibri" w:eastAsia="Times New Roman" w:hAnsi="Calibri" w:cs="Calibri"/>
                <w:color w:val="000000"/>
                <w:lang w:val="en-US"/>
              </w:rPr>
            </w:pPr>
            <w:r w:rsidRPr="000E4211">
              <w:rPr>
                <w:rFonts w:ascii="Calibri" w:eastAsia="Times New Roman" w:hAnsi="Calibri" w:cs="Calibri"/>
                <w:color w:val="000000"/>
                <w:lang w:val="en-US"/>
              </w:rPr>
              <w:t>Growth</w:t>
            </w:r>
          </w:p>
        </w:tc>
      </w:tr>
      <w:tr w:rsidR="007171E8" w:rsidRPr="000E4211" w14:paraId="7D4AEDE2" w14:textId="77777777" w:rsidTr="00AE7B23">
        <w:trPr>
          <w:trHeight w:val="300"/>
          <w:jc w:val="center"/>
        </w:trPr>
        <w:tc>
          <w:tcPr>
            <w:tcW w:w="2474" w:type="dxa"/>
            <w:tcBorders>
              <w:top w:val="nil"/>
              <w:left w:val="single" w:sz="4" w:space="0" w:color="auto"/>
              <w:bottom w:val="single" w:sz="4" w:space="0" w:color="auto"/>
              <w:right w:val="single" w:sz="4" w:space="0" w:color="auto"/>
            </w:tcBorders>
            <w:shd w:val="clear" w:color="auto" w:fill="auto"/>
            <w:noWrap/>
            <w:vAlign w:val="bottom"/>
            <w:hideMark/>
          </w:tcPr>
          <w:p w14:paraId="69AC0EB9" w14:textId="77777777" w:rsidR="007171E8" w:rsidRPr="000E4211" w:rsidRDefault="007171E8" w:rsidP="00AE7B23">
            <w:pPr>
              <w:spacing w:after="0" w:line="240" w:lineRule="auto"/>
              <w:rPr>
                <w:rFonts w:ascii="Calibri" w:eastAsia="Times New Roman" w:hAnsi="Calibri" w:cs="Calibri"/>
                <w:color w:val="000000"/>
                <w:lang w:val="en-US"/>
              </w:rPr>
            </w:pPr>
            <w:r w:rsidRPr="000E4211">
              <w:rPr>
                <w:rFonts w:ascii="Calibri" w:eastAsia="Times New Roman" w:hAnsi="Calibri" w:cs="Calibri"/>
                <w:color w:val="000000"/>
                <w:lang w:val="en-US"/>
              </w:rPr>
              <w:lastRenderedPageBreak/>
              <w:t>Permian</w:t>
            </w:r>
          </w:p>
        </w:tc>
        <w:tc>
          <w:tcPr>
            <w:tcW w:w="759" w:type="dxa"/>
            <w:tcBorders>
              <w:top w:val="nil"/>
              <w:left w:val="nil"/>
              <w:bottom w:val="single" w:sz="4" w:space="0" w:color="auto"/>
              <w:right w:val="single" w:sz="4" w:space="0" w:color="auto"/>
            </w:tcBorders>
            <w:shd w:val="clear" w:color="auto" w:fill="auto"/>
            <w:noWrap/>
            <w:vAlign w:val="bottom"/>
            <w:hideMark/>
          </w:tcPr>
          <w:p w14:paraId="08BDCE5D"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2.5</w:t>
            </w:r>
          </w:p>
        </w:tc>
        <w:tc>
          <w:tcPr>
            <w:tcW w:w="759" w:type="dxa"/>
            <w:tcBorders>
              <w:top w:val="nil"/>
              <w:left w:val="nil"/>
              <w:bottom w:val="single" w:sz="4" w:space="0" w:color="auto"/>
              <w:right w:val="single" w:sz="4" w:space="0" w:color="auto"/>
            </w:tcBorders>
            <w:shd w:val="clear" w:color="auto" w:fill="auto"/>
            <w:noWrap/>
            <w:vAlign w:val="bottom"/>
            <w:hideMark/>
          </w:tcPr>
          <w:p w14:paraId="74A282A0"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4.0</w:t>
            </w:r>
          </w:p>
        </w:tc>
        <w:tc>
          <w:tcPr>
            <w:tcW w:w="1128" w:type="dxa"/>
            <w:tcBorders>
              <w:top w:val="nil"/>
              <w:left w:val="nil"/>
              <w:bottom w:val="single" w:sz="4" w:space="0" w:color="auto"/>
              <w:right w:val="single" w:sz="4" w:space="0" w:color="auto"/>
            </w:tcBorders>
            <w:shd w:val="clear" w:color="000000" w:fill="D9D9D9"/>
            <w:noWrap/>
            <w:vAlign w:val="bottom"/>
            <w:hideMark/>
          </w:tcPr>
          <w:p w14:paraId="197A20D9" w14:textId="77777777" w:rsidR="007171E8" w:rsidRPr="000E4211" w:rsidRDefault="007171E8" w:rsidP="00AE7B23">
            <w:pPr>
              <w:spacing w:after="0" w:line="240" w:lineRule="auto"/>
              <w:jc w:val="right"/>
              <w:rPr>
                <w:rFonts w:ascii="Calibri" w:eastAsia="Times New Roman" w:hAnsi="Calibri" w:cs="Calibri"/>
                <w:lang w:val="en-US"/>
              </w:rPr>
            </w:pPr>
            <w:r w:rsidRPr="000E4211">
              <w:rPr>
                <w:rFonts w:ascii="Calibri" w:eastAsia="Times New Roman" w:hAnsi="Calibri" w:cs="Calibri"/>
                <w:lang w:val="en-US"/>
              </w:rPr>
              <w:t>3.7%</w:t>
            </w:r>
          </w:p>
        </w:tc>
      </w:tr>
      <w:tr w:rsidR="007171E8" w:rsidRPr="000E4211" w14:paraId="5A3D7F45" w14:textId="77777777" w:rsidTr="00AE7B23">
        <w:trPr>
          <w:trHeight w:val="300"/>
          <w:jc w:val="center"/>
        </w:trPr>
        <w:tc>
          <w:tcPr>
            <w:tcW w:w="2474" w:type="dxa"/>
            <w:tcBorders>
              <w:top w:val="nil"/>
              <w:left w:val="single" w:sz="4" w:space="0" w:color="auto"/>
              <w:bottom w:val="single" w:sz="4" w:space="0" w:color="auto"/>
              <w:right w:val="single" w:sz="4" w:space="0" w:color="auto"/>
            </w:tcBorders>
            <w:shd w:val="clear" w:color="auto" w:fill="auto"/>
            <w:noWrap/>
            <w:vAlign w:val="bottom"/>
            <w:hideMark/>
          </w:tcPr>
          <w:p w14:paraId="3E94FB20" w14:textId="77777777" w:rsidR="007171E8" w:rsidRPr="000E4211" w:rsidRDefault="007171E8" w:rsidP="00AE7B23">
            <w:pPr>
              <w:spacing w:after="0" w:line="240" w:lineRule="auto"/>
              <w:rPr>
                <w:rFonts w:ascii="Calibri" w:eastAsia="Times New Roman" w:hAnsi="Calibri" w:cs="Calibri"/>
                <w:color w:val="000000"/>
                <w:lang w:val="en-US"/>
              </w:rPr>
            </w:pPr>
            <w:r w:rsidRPr="000E4211">
              <w:rPr>
                <w:rFonts w:ascii="Calibri" w:eastAsia="Times New Roman" w:hAnsi="Calibri" w:cs="Calibri"/>
                <w:color w:val="000000"/>
                <w:lang w:val="en-US"/>
              </w:rPr>
              <w:t>Bakken/Niobrara</w:t>
            </w:r>
          </w:p>
        </w:tc>
        <w:tc>
          <w:tcPr>
            <w:tcW w:w="759" w:type="dxa"/>
            <w:tcBorders>
              <w:top w:val="nil"/>
              <w:left w:val="nil"/>
              <w:bottom w:val="single" w:sz="4" w:space="0" w:color="auto"/>
              <w:right w:val="single" w:sz="4" w:space="0" w:color="auto"/>
            </w:tcBorders>
            <w:shd w:val="clear" w:color="auto" w:fill="auto"/>
            <w:noWrap/>
            <w:vAlign w:val="bottom"/>
            <w:hideMark/>
          </w:tcPr>
          <w:p w14:paraId="7472D669"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1.7</w:t>
            </w:r>
          </w:p>
        </w:tc>
        <w:tc>
          <w:tcPr>
            <w:tcW w:w="759" w:type="dxa"/>
            <w:tcBorders>
              <w:top w:val="nil"/>
              <w:left w:val="nil"/>
              <w:bottom w:val="single" w:sz="4" w:space="0" w:color="auto"/>
              <w:right w:val="single" w:sz="4" w:space="0" w:color="auto"/>
            </w:tcBorders>
            <w:shd w:val="clear" w:color="auto" w:fill="auto"/>
            <w:noWrap/>
            <w:vAlign w:val="bottom"/>
            <w:hideMark/>
          </w:tcPr>
          <w:p w14:paraId="74986789"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2.4</w:t>
            </w:r>
          </w:p>
        </w:tc>
        <w:tc>
          <w:tcPr>
            <w:tcW w:w="1128" w:type="dxa"/>
            <w:tcBorders>
              <w:top w:val="nil"/>
              <w:left w:val="nil"/>
              <w:bottom w:val="single" w:sz="4" w:space="0" w:color="auto"/>
              <w:right w:val="single" w:sz="4" w:space="0" w:color="auto"/>
            </w:tcBorders>
            <w:shd w:val="clear" w:color="000000" w:fill="D9D9D9"/>
            <w:noWrap/>
            <w:vAlign w:val="bottom"/>
            <w:hideMark/>
          </w:tcPr>
          <w:p w14:paraId="15C8FA78" w14:textId="77777777" w:rsidR="007171E8" w:rsidRPr="000E4211" w:rsidRDefault="007171E8" w:rsidP="00AE7B23">
            <w:pPr>
              <w:spacing w:after="0" w:line="240" w:lineRule="auto"/>
              <w:jc w:val="right"/>
              <w:rPr>
                <w:rFonts w:ascii="Calibri" w:eastAsia="Times New Roman" w:hAnsi="Calibri" w:cs="Calibri"/>
                <w:lang w:val="en-US"/>
              </w:rPr>
            </w:pPr>
            <w:r w:rsidRPr="000E4211">
              <w:rPr>
                <w:rFonts w:ascii="Calibri" w:eastAsia="Times New Roman" w:hAnsi="Calibri" w:cs="Calibri"/>
                <w:lang w:val="en-US"/>
              </w:rPr>
              <w:t>2.5%</w:t>
            </w:r>
          </w:p>
        </w:tc>
      </w:tr>
      <w:tr w:rsidR="007171E8" w:rsidRPr="000E4211" w14:paraId="15BB64EB" w14:textId="77777777" w:rsidTr="00AE7B23">
        <w:trPr>
          <w:trHeight w:val="300"/>
          <w:jc w:val="center"/>
        </w:trPr>
        <w:tc>
          <w:tcPr>
            <w:tcW w:w="2474" w:type="dxa"/>
            <w:tcBorders>
              <w:top w:val="nil"/>
              <w:left w:val="single" w:sz="4" w:space="0" w:color="auto"/>
              <w:bottom w:val="single" w:sz="4" w:space="0" w:color="auto"/>
              <w:right w:val="single" w:sz="4" w:space="0" w:color="auto"/>
            </w:tcBorders>
            <w:shd w:val="clear" w:color="auto" w:fill="auto"/>
            <w:noWrap/>
            <w:vAlign w:val="bottom"/>
            <w:hideMark/>
          </w:tcPr>
          <w:p w14:paraId="04486452" w14:textId="77777777" w:rsidR="007171E8" w:rsidRPr="000E4211" w:rsidRDefault="007171E8" w:rsidP="00AE7B23">
            <w:pPr>
              <w:spacing w:after="0" w:line="240" w:lineRule="auto"/>
              <w:rPr>
                <w:rFonts w:ascii="Calibri" w:eastAsia="Times New Roman" w:hAnsi="Calibri" w:cs="Calibri"/>
                <w:color w:val="000000"/>
                <w:lang w:val="en-US"/>
              </w:rPr>
            </w:pPr>
            <w:r w:rsidRPr="000E4211">
              <w:rPr>
                <w:rFonts w:ascii="Calibri" w:eastAsia="Times New Roman" w:hAnsi="Calibri" w:cs="Calibri"/>
                <w:color w:val="000000"/>
                <w:lang w:val="en-US"/>
              </w:rPr>
              <w:t>Eagle Ford</w:t>
            </w:r>
          </w:p>
        </w:tc>
        <w:tc>
          <w:tcPr>
            <w:tcW w:w="759" w:type="dxa"/>
            <w:tcBorders>
              <w:top w:val="nil"/>
              <w:left w:val="nil"/>
              <w:bottom w:val="single" w:sz="4" w:space="0" w:color="auto"/>
              <w:right w:val="single" w:sz="4" w:space="0" w:color="auto"/>
            </w:tcBorders>
            <w:shd w:val="clear" w:color="auto" w:fill="auto"/>
            <w:noWrap/>
            <w:vAlign w:val="bottom"/>
            <w:hideMark/>
          </w:tcPr>
          <w:p w14:paraId="683D40A1"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1.6</w:t>
            </w:r>
          </w:p>
        </w:tc>
        <w:tc>
          <w:tcPr>
            <w:tcW w:w="759" w:type="dxa"/>
            <w:tcBorders>
              <w:top w:val="nil"/>
              <w:left w:val="nil"/>
              <w:bottom w:val="single" w:sz="4" w:space="0" w:color="auto"/>
              <w:right w:val="single" w:sz="4" w:space="0" w:color="auto"/>
            </w:tcBorders>
            <w:shd w:val="clear" w:color="auto" w:fill="auto"/>
            <w:noWrap/>
            <w:vAlign w:val="bottom"/>
            <w:hideMark/>
          </w:tcPr>
          <w:p w14:paraId="10E54C17" w14:textId="77777777" w:rsidR="007171E8" w:rsidRPr="000E4211" w:rsidRDefault="007171E8" w:rsidP="00AE7B23">
            <w:pPr>
              <w:spacing w:after="0" w:line="240" w:lineRule="auto"/>
              <w:jc w:val="right"/>
              <w:rPr>
                <w:rFonts w:ascii="Calibri" w:eastAsia="Times New Roman" w:hAnsi="Calibri" w:cs="Calibri"/>
                <w:color w:val="000000"/>
                <w:lang w:val="en-US"/>
              </w:rPr>
            </w:pPr>
            <w:r w:rsidRPr="000E4211">
              <w:rPr>
                <w:rFonts w:ascii="Calibri" w:eastAsia="Times New Roman" w:hAnsi="Calibri" w:cs="Calibri"/>
                <w:color w:val="000000"/>
                <w:lang w:val="en-US"/>
              </w:rPr>
              <w:t>1.9</w:t>
            </w:r>
          </w:p>
        </w:tc>
        <w:tc>
          <w:tcPr>
            <w:tcW w:w="1128" w:type="dxa"/>
            <w:tcBorders>
              <w:top w:val="nil"/>
              <w:left w:val="nil"/>
              <w:bottom w:val="single" w:sz="4" w:space="0" w:color="auto"/>
              <w:right w:val="single" w:sz="4" w:space="0" w:color="auto"/>
            </w:tcBorders>
            <w:shd w:val="clear" w:color="000000" w:fill="D9D9D9"/>
            <w:noWrap/>
            <w:vAlign w:val="bottom"/>
            <w:hideMark/>
          </w:tcPr>
          <w:p w14:paraId="47A4BB89" w14:textId="77777777" w:rsidR="007171E8" w:rsidRPr="000E4211" w:rsidRDefault="007171E8" w:rsidP="00AE7B23">
            <w:pPr>
              <w:spacing w:after="0" w:line="240" w:lineRule="auto"/>
              <w:jc w:val="right"/>
              <w:rPr>
                <w:rFonts w:ascii="Calibri" w:eastAsia="Times New Roman" w:hAnsi="Calibri" w:cs="Calibri"/>
                <w:lang w:val="en-US"/>
              </w:rPr>
            </w:pPr>
            <w:r w:rsidRPr="000E4211">
              <w:rPr>
                <w:rFonts w:ascii="Calibri" w:eastAsia="Times New Roman" w:hAnsi="Calibri" w:cs="Calibri"/>
                <w:lang w:val="en-US"/>
              </w:rPr>
              <w:t>1.6%</w:t>
            </w:r>
          </w:p>
        </w:tc>
      </w:tr>
    </w:tbl>
    <w:p w14:paraId="6A8725F3" w14:textId="77777777" w:rsidR="007171E8" w:rsidRDefault="007171E8" w:rsidP="007171E8">
      <w:r>
        <w:t>Source: EIA AEO 2018</w:t>
      </w:r>
    </w:p>
    <w:p w14:paraId="71A20DD1" w14:textId="2F98CA43" w:rsidR="00704846" w:rsidRDefault="007171E8" w:rsidP="00704846">
      <w:r>
        <w:t xml:space="preserve">What about US </w:t>
      </w:r>
      <w:r w:rsidR="00704846">
        <w:t>domestic consumption</w:t>
      </w:r>
      <w:r>
        <w:t xml:space="preserve"> for crude? The same AEO report </w:t>
      </w:r>
      <w:r w:rsidR="00704846">
        <w:t>expect</w:t>
      </w:r>
      <w:r>
        <w:t xml:space="preserve">s consumption to peak and begin to decline, resulting in </w:t>
      </w:r>
      <w:r w:rsidR="00704846">
        <w:t xml:space="preserve">the US </w:t>
      </w:r>
      <w:r>
        <w:t>becoming</w:t>
      </w:r>
      <w:r w:rsidR="00704846">
        <w:t xml:space="preserve"> a net exporter by 2022. </w:t>
      </w:r>
    </w:p>
    <w:p w14:paraId="6DBD805A" w14:textId="13943420" w:rsidR="00704846" w:rsidRDefault="007171E8" w:rsidP="007171E8">
      <w:r>
        <w:t>Global supply and demand</w:t>
      </w:r>
    </w:p>
    <w:p w14:paraId="6EABCCE9" w14:textId="77777777" w:rsidR="00704846" w:rsidRDefault="00704846" w:rsidP="00704846">
      <w:r>
        <w:t xml:space="preserve">The International Energy Agency’s (IEA) </w:t>
      </w:r>
      <w:r w:rsidRPr="00CE2C9C">
        <w:rPr>
          <w:i/>
        </w:rPr>
        <w:t>New Policies</w:t>
      </w:r>
      <w:r>
        <w:t xml:space="preserve"> scenario accounts for policies and measures that governments have already put in place as well as the likely effects of announced policies and expressed plans. Two key assumptions that impact the IEA’s World Energy Outlook are the changes underway in China’s economy and energy policy which will largely affect demand, and the rapid growth of tight oil in the US.</w:t>
      </w:r>
    </w:p>
    <w:p w14:paraId="4FE0EE58" w14:textId="77777777" w:rsidR="00704846" w:rsidRDefault="00704846" w:rsidP="00704846">
      <w:r>
        <w:t xml:space="preserve">In the long-term, production from the Middle East and OPEC is expected to slightly grow with the majority of production coming from Iraq and Saudi Arabia. </w:t>
      </w:r>
      <w:r w:rsidRPr="00844E55">
        <w:t xml:space="preserve">In the medium term, output is expected to decline in nearly all OPEC member countries outside of the Middle East with the exception of Libya who have managed to increase production despite the ongoing </w:t>
      </w:r>
      <w:r>
        <w:t xml:space="preserve">civil unrest threatening its </w:t>
      </w:r>
      <w:r w:rsidRPr="00844E55">
        <w:t>oil infrastructure</w:t>
      </w:r>
      <w:r>
        <w:t xml:space="preserve">. </w:t>
      </w:r>
      <w:r w:rsidRPr="00844E55">
        <w:t>The</w:t>
      </w:r>
      <w:r>
        <w:t xml:space="preserve"> economic crisis and political instability in Venezuela is expected to persist, therefore the IEA predicts that they will unlikely increase production in the forecast period. The majority of Latin American crude oil production growth will come from Brazil. Despite new production from projects in east Siberia and the Arctic, total Russian oil production is projected to decline through the forecast period as growth slows in the mature production regions of western Siberia and Volga-Urals.</w:t>
      </w:r>
    </w:p>
    <w:tbl>
      <w:tblPr>
        <w:tblW w:w="4940" w:type="dxa"/>
        <w:jc w:val="center"/>
        <w:tblLook w:val="04A0" w:firstRow="1" w:lastRow="0" w:firstColumn="1" w:lastColumn="0" w:noHBand="0" w:noVBand="1"/>
      </w:tblPr>
      <w:tblGrid>
        <w:gridCol w:w="2126"/>
        <w:gridCol w:w="807"/>
        <w:gridCol w:w="807"/>
        <w:gridCol w:w="1200"/>
      </w:tblGrid>
      <w:tr w:rsidR="00704846" w:rsidRPr="00291AAC" w14:paraId="2C86E002" w14:textId="77777777" w:rsidTr="00AE7B23">
        <w:trPr>
          <w:trHeight w:val="300"/>
          <w:jc w:val="center"/>
        </w:trPr>
        <w:tc>
          <w:tcPr>
            <w:tcW w:w="49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48ECC" w14:textId="77777777" w:rsidR="00704846" w:rsidRPr="00291AAC" w:rsidRDefault="00704846" w:rsidP="00AE7B23">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Oil production (</w:t>
            </w:r>
            <w:proofErr w:type="spellStart"/>
            <w:r w:rsidRPr="00291AAC">
              <w:rPr>
                <w:rFonts w:ascii="Calibri" w:eastAsia="Times New Roman" w:hAnsi="Calibri" w:cs="Calibri"/>
                <w:color w:val="000000"/>
                <w:lang w:val="en-US"/>
              </w:rPr>
              <w:t>mb</w:t>
            </w:r>
            <w:proofErr w:type="spellEnd"/>
            <w:r w:rsidRPr="00291AAC">
              <w:rPr>
                <w:rFonts w:ascii="Calibri" w:eastAsia="Times New Roman" w:hAnsi="Calibri" w:cs="Calibri"/>
                <w:color w:val="000000"/>
                <w:lang w:val="en-US"/>
              </w:rPr>
              <w:t>/d)</w:t>
            </w:r>
          </w:p>
        </w:tc>
      </w:tr>
      <w:tr w:rsidR="00704846" w:rsidRPr="00291AAC" w14:paraId="1981009B" w14:textId="77777777" w:rsidTr="00AE7B23">
        <w:trPr>
          <w:trHeight w:val="300"/>
          <w:jc w:val="center"/>
        </w:trPr>
        <w:tc>
          <w:tcPr>
            <w:tcW w:w="2126" w:type="dxa"/>
            <w:tcBorders>
              <w:top w:val="nil"/>
              <w:left w:val="single" w:sz="4" w:space="0" w:color="auto"/>
              <w:bottom w:val="single" w:sz="4" w:space="0" w:color="auto"/>
              <w:right w:val="single" w:sz="4" w:space="0" w:color="auto"/>
            </w:tcBorders>
            <w:shd w:val="clear" w:color="000000" w:fill="8EA9DB"/>
            <w:noWrap/>
            <w:vAlign w:val="bottom"/>
            <w:hideMark/>
          </w:tcPr>
          <w:p w14:paraId="4D4C7389" w14:textId="77777777" w:rsidR="00704846" w:rsidRPr="00291AAC" w:rsidRDefault="00704846" w:rsidP="00AE7B23">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 </w:t>
            </w:r>
          </w:p>
        </w:tc>
        <w:tc>
          <w:tcPr>
            <w:tcW w:w="807" w:type="dxa"/>
            <w:tcBorders>
              <w:top w:val="nil"/>
              <w:left w:val="nil"/>
              <w:bottom w:val="single" w:sz="4" w:space="0" w:color="auto"/>
              <w:right w:val="single" w:sz="4" w:space="0" w:color="auto"/>
            </w:tcBorders>
            <w:shd w:val="clear" w:color="000000" w:fill="8EA9DB"/>
            <w:noWrap/>
            <w:vAlign w:val="bottom"/>
            <w:hideMark/>
          </w:tcPr>
          <w:p w14:paraId="08F93234" w14:textId="77777777" w:rsidR="00704846" w:rsidRPr="00291AAC" w:rsidRDefault="00704846" w:rsidP="00AE7B23">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2017</w:t>
            </w:r>
          </w:p>
        </w:tc>
        <w:tc>
          <w:tcPr>
            <w:tcW w:w="807" w:type="dxa"/>
            <w:tcBorders>
              <w:top w:val="nil"/>
              <w:left w:val="nil"/>
              <w:bottom w:val="single" w:sz="4" w:space="0" w:color="auto"/>
              <w:right w:val="single" w:sz="4" w:space="0" w:color="auto"/>
            </w:tcBorders>
            <w:shd w:val="clear" w:color="000000" w:fill="8EA9DB"/>
            <w:noWrap/>
            <w:vAlign w:val="bottom"/>
            <w:hideMark/>
          </w:tcPr>
          <w:p w14:paraId="5B07A9CA" w14:textId="77777777" w:rsidR="00704846" w:rsidRPr="00291AAC" w:rsidRDefault="00704846" w:rsidP="00AE7B23">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2030</w:t>
            </w:r>
          </w:p>
        </w:tc>
        <w:tc>
          <w:tcPr>
            <w:tcW w:w="1200" w:type="dxa"/>
            <w:tcBorders>
              <w:top w:val="nil"/>
              <w:left w:val="nil"/>
              <w:bottom w:val="single" w:sz="4" w:space="0" w:color="auto"/>
              <w:right w:val="single" w:sz="4" w:space="0" w:color="auto"/>
            </w:tcBorders>
            <w:shd w:val="clear" w:color="000000" w:fill="8EA9DB"/>
            <w:noWrap/>
            <w:vAlign w:val="bottom"/>
            <w:hideMark/>
          </w:tcPr>
          <w:p w14:paraId="50098D5D" w14:textId="77777777" w:rsidR="00704846" w:rsidRPr="00291AAC" w:rsidRDefault="00704846" w:rsidP="00AE7B23">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Growth</w:t>
            </w:r>
          </w:p>
        </w:tc>
      </w:tr>
      <w:tr w:rsidR="00704846" w:rsidRPr="00291AAC" w14:paraId="7DAFD4A7" w14:textId="77777777" w:rsidTr="00AE7B23">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0500E94B" w14:textId="77777777" w:rsidR="00704846" w:rsidRPr="00291AAC" w:rsidRDefault="00704846" w:rsidP="00AE7B23">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Middle East</w:t>
            </w:r>
          </w:p>
        </w:tc>
        <w:tc>
          <w:tcPr>
            <w:tcW w:w="807" w:type="dxa"/>
            <w:tcBorders>
              <w:top w:val="nil"/>
              <w:left w:val="nil"/>
              <w:bottom w:val="single" w:sz="4" w:space="0" w:color="auto"/>
              <w:right w:val="single" w:sz="4" w:space="0" w:color="auto"/>
            </w:tcBorders>
            <w:shd w:val="clear" w:color="auto" w:fill="auto"/>
            <w:noWrap/>
            <w:vAlign w:val="bottom"/>
            <w:hideMark/>
          </w:tcPr>
          <w:p w14:paraId="0F029174"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32.0</w:t>
            </w:r>
          </w:p>
        </w:tc>
        <w:tc>
          <w:tcPr>
            <w:tcW w:w="807" w:type="dxa"/>
            <w:tcBorders>
              <w:top w:val="nil"/>
              <w:left w:val="nil"/>
              <w:bottom w:val="single" w:sz="4" w:space="0" w:color="auto"/>
              <w:right w:val="single" w:sz="4" w:space="0" w:color="auto"/>
            </w:tcBorders>
            <w:shd w:val="clear" w:color="auto" w:fill="auto"/>
            <w:noWrap/>
            <w:vAlign w:val="bottom"/>
            <w:hideMark/>
          </w:tcPr>
          <w:p w14:paraId="7092D33F"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35.4</w:t>
            </w:r>
          </w:p>
        </w:tc>
        <w:tc>
          <w:tcPr>
            <w:tcW w:w="1200" w:type="dxa"/>
            <w:tcBorders>
              <w:top w:val="nil"/>
              <w:left w:val="nil"/>
              <w:bottom w:val="single" w:sz="4" w:space="0" w:color="auto"/>
              <w:right w:val="single" w:sz="4" w:space="0" w:color="auto"/>
            </w:tcBorders>
            <w:shd w:val="clear" w:color="000000" w:fill="D9D9D9"/>
            <w:noWrap/>
            <w:vAlign w:val="bottom"/>
            <w:hideMark/>
          </w:tcPr>
          <w:p w14:paraId="4BBF1C5C" w14:textId="77777777" w:rsidR="00704846" w:rsidRPr="00291AAC" w:rsidRDefault="00704846" w:rsidP="00AE7B23">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0.8%</w:t>
            </w:r>
          </w:p>
        </w:tc>
      </w:tr>
      <w:tr w:rsidR="00704846" w:rsidRPr="00291AAC" w14:paraId="14A0DB4C" w14:textId="77777777" w:rsidTr="00AE7B23">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5D7E05B3" w14:textId="77777777" w:rsidR="00704846" w:rsidRPr="00291AAC" w:rsidRDefault="00704846" w:rsidP="00AE7B23">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Latin America</w:t>
            </w:r>
          </w:p>
        </w:tc>
        <w:tc>
          <w:tcPr>
            <w:tcW w:w="807" w:type="dxa"/>
            <w:tcBorders>
              <w:top w:val="nil"/>
              <w:left w:val="nil"/>
              <w:bottom w:val="single" w:sz="4" w:space="0" w:color="auto"/>
              <w:right w:val="single" w:sz="4" w:space="0" w:color="auto"/>
            </w:tcBorders>
            <w:shd w:val="clear" w:color="auto" w:fill="auto"/>
            <w:noWrap/>
            <w:vAlign w:val="bottom"/>
            <w:hideMark/>
          </w:tcPr>
          <w:p w14:paraId="46AD879B"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10.0</w:t>
            </w:r>
          </w:p>
        </w:tc>
        <w:tc>
          <w:tcPr>
            <w:tcW w:w="807" w:type="dxa"/>
            <w:tcBorders>
              <w:top w:val="nil"/>
              <w:left w:val="nil"/>
              <w:bottom w:val="single" w:sz="4" w:space="0" w:color="auto"/>
              <w:right w:val="single" w:sz="4" w:space="0" w:color="auto"/>
            </w:tcBorders>
            <w:shd w:val="clear" w:color="auto" w:fill="auto"/>
            <w:noWrap/>
            <w:vAlign w:val="bottom"/>
            <w:hideMark/>
          </w:tcPr>
          <w:p w14:paraId="0A382E83"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12.2</w:t>
            </w:r>
          </w:p>
        </w:tc>
        <w:tc>
          <w:tcPr>
            <w:tcW w:w="1200" w:type="dxa"/>
            <w:tcBorders>
              <w:top w:val="nil"/>
              <w:left w:val="nil"/>
              <w:bottom w:val="single" w:sz="4" w:space="0" w:color="auto"/>
              <w:right w:val="single" w:sz="4" w:space="0" w:color="auto"/>
            </w:tcBorders>
            <w:shd w:val="clear" w:color="000000" w:fill="D9D9D9"/>
            <w:noWrap/>
            <w:vAlign w:val="bottom"/>
            <w:hideMark/>
          </w:tcPr>
          <w:p w14:paraId="285D0BF7" w14:textId="77777777" w:rsidR="00704846" w:rsidRPr="00291AAC" w:rsidRDefault="00704846" w:rsidP="00AE7B23">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1.5%</w:t>
            </w:r>
          </w:p>
        </w:tc>
      </w:tr>
      <w:tr w:rsidR="00704846" w:rsidRPr="00291AAC" w14:paraId="46B4EEC2" w14:textId="77777777" w:rsidTr="00AE7B23">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7A09C0E8" w14:textId="77777777" w:rsidR="00704846" w:rsidRPr="00291AAC" w:rsidRDefault="00704846" w:rsidP="00AE7B23">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Russia</w:t>
            </w:r>
          </w:p>
        </w:tc>
        <w:tc>
          <w:tcPr>
            <w:tcW w:w="807" w:type="dxa"/>
            <w:tcBorders>
              <w:top w:val="nil"/>
              <w:left w:val="nil"/>
              <w:bottom w:val="single" w:sz="4" w:space="0" w:color="auto"/>
              <w:right w:val="single" w:sz="4" w:space="0" w:color="auto"/>
            </w:tcBorders>
            <w:shd w:val="clear" w:color="auto" w:fill="auto"/>
            <w:noWrap/>
            <w:vAlign w:val="bottom"/>
            <w:hideMark/>
          </w:tcPr>
          <w:p w14:paraId="633A7D5D"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11.3</w:t>
            </w:r>
          </w:p>
        </w:tc>
        <w:tc>
          <w:tcPr>
            <w:tcW w:w="807" w:type="dxa"/>
            <w:tcBorders>
              <w:top w:val="nil"/>
              <w:left w:val="nil"/>
              <w:bottom w:val="single" w:sz="4" w:space="0" w:color="auto"/>
              <w:right w:val="single" w:sz="4" w:space="0" w:color="auto"/>
            </w:tcBorders>
            <w:shd w:val="clear" w:color="auto" w:fill="auto"/>
            <w:noWrap/>
            <w:vAlign w:val="bottom"/>
            <w:hideMark/>
          </w:tcPr>
          <w:p w14:paraId="55E84701" w14:textId="77777777" w:rsidR="00704846" w:rsidRPr="00291AAC" w:rsidRDefault="00704846" w:rsidP="00AE7B23">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9.7</w:t>
            </w:r>
          </w:p>
        </w:tc>
        <w:tc>
          <w:tcPr>
            <w:tcW w:w="1200" w:type="dxa"/>
            <w:tcBorders>
              <w:top w:val="nil"/>
              <w:left w:val="nil"/>
              <w:bottom w:val="single" w:sz="4" w:space="0" w:color="auto"/>
              <w:right w:val="single" w:sz="4" w:space="0" w:color="auto"/>
            </w:tcBorders>
            <w:shd w:val="clear" w:color="000000" w:fill="D9D9D9"/>
            <w:noWrap/>
            <w:vAlign w:val="bottom"/>
            <w:hideMark/>
          </w:tcPr>
          <w:p w14:paraId="4AF8D29F" w14:textId="77777777" w:rsidR="00704846" w:rsidRPr="00291AAC" w:rsidRDefault="00704846" w:rsidP="00AE7B23">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-1.2%</w:t>
            </w:r>
          </w:p>
        </w:tc>
      </w:tr>
    </w:tbl>
    <w:p w14:paraId="26386FE1" w14:textId="77777777" w:rsidR="00704846" w:rsidRDefault="00704846" w:rsidP="00704846">
      <w:r>
        <w:t>Source: IEA WEO 2017</w:t>
      </w:r>
    </w:p>
    <w:p w14:paraId="5E28D7B0" w14:textId="77777777" w:rsidR="00704846" w:rsidRDefault="00704846" w:rsidP="00704846">
      <w:r>
        <w:t xml:space="preserve">Total world oil production is expected to grow to nearly 100 </w:t>
      </w:r>
      <w:proofErr w:type="spellStart"/>
      <w:r>
        <w:t>mb</w:t>
      </w:r>
      <w:proofErr w:type="spellEnd"/>
      <w:r>
        <w:t>/d by 2030 – 42% of this coming from OPEC:</w:t>
      </w:r>
    </w:p>
    <w:p w14:paraId="5FE769AE" w14:textId="77777777" w:rsidR="00704846" w:rsidRDefault="00704846" w:rsidP="00704846">
      <w:pPr>
        <w:jc w:val="center"/>
      </w:pPr>
      <w:r>
        <w:rPr>
          <w:noProof/>
          <w:lang w:eastAsia="en-CA"/>
        </w:rPr>
        <w:lastRenderedPageBreak/>
        <w:drawing>
          <wp:inline distT="0" distB="0" distL="0" distR="0" wp14:anchorId="5CF74E1C" wp14:editId="167C8023">
            <wp:extent cx="4985676" cy="347186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7340" cy="3479986"/>
                    </a:xfrm>
                    <a:prstGeom prst="rect">
                      <a:avLst/>
                    </a:prstGeom>
                  </pic:spPr>
                </pic:pic>
              </a:graphicData>
            </a:graphic>
          </wp:inline>
        </w:drawing>
      </w:r>
    </w:p>
    <w:p w14:paraId="4BCE23E2" w14:textId="77777777" w:rsidR="00704846" w:rsidRDefault="00704846" w:rsidP="00704846">
      <w:r>
        <w:t>Source: IEA WEO 2017</w:t>
      </w:r>
    </w:p>
    <w:p w14:paraId="506C9BCE" w14:textId="33F35C53" w:rsidR="00704846" w:rsidRDefault="007171E8">
      <w:r>
        <w:t>Canada’s supply and demand balance</w:t>
      </w:r>
    </w:p>
    <w:p w14:paraId="45CDCC8B" w14:textId="4F5FFD20" w:rsidR="003955B7" w:rsidRDefault="00AF3EC0">
      <w:r>
        <w:t>Western Canadian</w:t>
      </w:r>
      <w:r w:rsidR="00250908">
        <w:t xml:space="preserve"> crude oil </w:t>
      </w:r>
      <w:r w:rsidR="00341681">
        <w:t>supply</w:t>
      </w:r>
      <w:r w:rsidR="00250908">
        <w:t xml:space="preserve"> has been </w:t>
      </w:r>
      <w:r w:rsidR="003955B7">
        <w:t>increasing</w:t>
      </w:r>
      <w:r w:rsidR="00250908">
        <w:t xml:space="preserve"> steadi</w:t>
      </w:r>
      <w:r w:rsidR="003955B7">
        <w:t xml:space="preserve">ly for the past number of years, driven primarily by oil sands growth.  From </w:t>
      </w:r>
      <w:r w:rsidR="00341681">
        <w:t xml:space="preserve">2010 to 2016, </w:t>
      </w:r>
      <w:r w:rsidR="00267781">
        <w:t xml:space="preserve">total </w:t>
      </w:r>
      <w:r w:rsidR="00341681">
        <w:t xml:space="preserve">supply increased from approximately 2.5 million b/d to 3.9 million b/d. </w:t>
      </w:r>
      <w:r w:rsidR="007171E8">
        <w:t xml:space="preserve"> According to </w:t>
      </w:r>
      <w:r w:rsidR="000A4793">
        <w:t>many forecasters</w:t>
      </w:r>
      <w:r w:rsidR="007171E8">
        <w:t xml:space="preserve">, </w:t>
      </w:r>
      <w:r w:rsidR="000A4793">
        <w:t xml:space="preserve">Canadian </w:t>
      </w:r>
      <w:r w:rsidR="007171E8">
        <w:t>production is expected to continuing growing, albeit at a slower pace than previou</w:t>
      </w:r>
      <w:r w:rsidR="000A4793">
        <w:t>sly thought.  The outlook for 2030 for total Western Canadian supply from CAPP shows production reaching over 5 million barrels per day.</w:t>
      </w:r>
    </w:p>
    <w:p w14:paraId="032CDC9F" w14:textId="77777777" w:rsidR="00250908" w:rsidRDefault="00341681">
      <w:r>
        <w:rPr>
          <w:noProof/>
          <w:lang w:eastAsia="en-CA"/>
        </w:rPr>
        <mc:AlternateContent>
          <mc:Choice Requires="wps">
            <w:drawing>
              <wp:anchor distT="0" distB="0" distL="114300" distR="114300" simplePos="0" relativeHeight="251659264" behindDoc="0" locked="0" layoutInCell="1" allowOverlap="1" wp14:anchorId="49A6216C" wp14:editId="055D18A8">
                <wp:simplePos x="0" y="0"/>
                <wp:positionH relativeFrom="column">
                  <wp:posOffset>3649980</wp:posOffset>
                </wp:positionH>
                <wp:positionV relativeFrom="paragraph">
                  <wp:posOffset>1715135</wp:posOffset>
                </wp:positionV>
                <wp:extent cx="1272540" cy="33528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35280"/>
                        </a:xfrm>
                        <a:prstGeom prst="rect">
                          <a:avLst/>
                        </a:prstGeom>
                        <a:noFill/>
                        <a:ln w="9525">
                          <a:noFill/>
                          <a:miter lim="800000"/>
                          <a:headEnd/>
                          <a:tailEnd/>
                        </a:ln>
                      </wps:spPr>
                      <wps:txbx>
                        <w:txbxContent>
                          <w:p w14:paraId="2FD193EE" w14:textId="77777777" w:rsidR="00267781" w:rsidRDefault="00267781">
                            <w:r>
                              <w:t>Source: CAPP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A6216C" id="_x0000_t202" coordsize="21600,21600" o:spt="202" path="m,l,21600r21600,l21600,xe">
                <v:stroke joinstyle="miter"/>
                <v:path gradientshapeok="t" o:connecttype="rect"/>
              </v:shapetype>
              <v:shape id="Text Box 2" o:spid="_x0000_s1026" type="#_x0000_t202" style="position:absolute;margin-left:287.4pt;margin-top:135.05pt;width:100.2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" filled="f" stroked="f">
                <v:textbox>
                  <w:txbxContent>
                    <w:p w14:paraId="2FD193EE" w14:textId="77777777" w:rsidR="00267781" w:rsidRDefault="00267781">
                      <w:r>
                        <w:t>Source: CAPP 2017</w:t>
                      </w:r>
                    </w:p>
                  </w:txbxContent>
                </v:textbox>
              </v:shape>
            </w:pict>
          </mc:Fallback>
        </mc:AlternateContent>
      </w:r>
      <w:r w:rsidR="00250908">
        <w:t xml:space="preserve">  </w:t>
      </w:r>
      <w:r>
        <w:rPr>
          <w:noProof/>
          <w:lang w:eastAsia="en-CA"/>
        </w:rPr>
        <w:drawing>
          <wp:inline distT="0" distB="0" distL="0" distR="0" wp14:anchorId="5F878A7E" wp14:editId="6DD8FD14">
            <wp:extent cx="3589020" cy="2466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89020" cy="2466301"/>
                    </a:xfrm>
                    <a:prstGeom prst="rect">
                      <a:avLst/>
                    </a:prstGeom>
                  </pic:spPr>
                </pic:pic>
              </a:graphicData>
            </a:graphic>
          </wp:inline>
        </w:drawing>
      </w:r>
    </w:p>
    <w:p w14:paraId="57BD89F8" w14:textId="77777777" w:rsidR="00735CD1" w:rsidRDefault="00735CD1" w:rsidP="00250908"/>
    <w:p w14:paraId="4C5A444A" w14:textId="70C33150" w:rsidR="00735CD1" w:rsidRDefault="00735CD1" w:rsidP="00735CD1">
      <w:r>
        <w:lastRenderedPageBreak/>
        <w:t>Canada’s total refining capacity is 1.9 million barrels per day</w:t>
      </w:r>
      <w:r>
        <w:t xml:space="preserve"> (TK)</w:t>
      </w:r>
      <w:r>
        <w:t>, with Western Canadian crude accessing primarily the Western refineries due to the setup of the pipeline network and Eastern refineries configured for light crude.</w:t>
      </w:r>
      <w:r>
        <w:t xml:space="preserve">  </w:t>
      </w:r>
    </w:p>
    <w:p w14:paraId="7279F934" w14:textId="32CE1B47" w:rsidR="00735CD1" w:rsidRDefault="00735CD1" w:rsidP="00250908">
      <w:r>
        <w:t xml:space="preserve">From the balance, Canada is primarily an exporter of crude and historically has moved crude on pipelines and small amounts on rail. </w:t>
      </w:r>
      <w:r>
        <w:t xml:space="preserve">As with other producing regions, </w:t>
      </w:r>
      <w:r>
        <w:t xml:space="preserve">at many times over the past decade, </w:t>
      </w:r>
      <w:r>
        <w:t>supply has grown faster than the infrastructure needed to t</w:t>
      </w:r>
      <w:r>
        <w:t>ransport it out of the region and with all the challenges around building new infrastructure this is expected to continue to be the case.</w:t>
      </w:r>
    </w:p>
    <w:p w14:paraId="1D62CAE2" w14:textId="79780B56" w:rsidR="00735CD1" w:rsidRDefault="00735CD1" w:rsidP="00250908">
      <w:r>
        <w:t>Pipelines</w:t>
      </w:r>
      <w:r w:rsidR="00896500">
        <w:t xml:space="preserve"> and flows</w:t>
      </w:r>
    </w:p>
    <w:p w14:paraId="190315F5" w14:textId="45C354A1" w:rsidR="000A4793" w:rsidRDefault="000A4793" w:rsidP="00250908">
      <w:r>
        <w:t xml:space="preserve">Today, Western Canada has over 4 million barrels per day of </w:t>
      </w:r>
      <w:r w:rsidR="00735CD1">
        <w:t xml:space="preserve">export </w:t>
      </w:r>
      <w:r>
        <w:t>pipeline nameplate capacity, but operational capacity is closer to 3.3 million barrels per day (CAPP 2017).  This lower operational capacity means that all pipelines are runn</w:t>
      </w:r>
      <w:r w:rsidR="00735CD1">
        <w:t>ing at capacity, and many are on apportionment.</w:t>
      </w:r>
      <w:r w:rsidR="00DB290E">
        <w:t xml:space="preserve">  </w:t>
      </w:r>
      <w:r w:rsidR="00DB290E">
        <w:rPr>
          <w:noProof/>
          <w:lang w:eastAsia="en-CA"/>
        </w:rPr>
        <w:drawing>
          <wp:inline distT="0" distB="0" distL="0" distR="0" wp14:anchorId="71928093" wp14:editId="651A7A58">
            <wp:extent cx="3257550" cy="237355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1705" cy="2376584"/>
                    </a:xfrm>
                    <a:prstGeom prst="rect">
                      <a:avLst/>
                    </a:prstGeom>
                  </pic:spPr>
                </pic:pic>
              </a:graphicData>
            </a:graphic>
          </wp:inline>
        </w:drawing>
      </w:r>
    </w:p>
    <w:p w14:paraId="5EFE1453" w14:textId="6DED8874" w:rsidR="00DB290E" w:rsidRDefault="00896500" w:rsidP="00896500">
      <w:r>
        <w:t xml:space="preserve">Almost all of Canadian crude exports today go to the US, primarily to the US Midwest market, with a smaller proportion reaching the US Gulf Coast. </w:t>
      </w:r>
    </w:p>
    <w:p w14:paraId="4D0C5D54" w14:textId="6E654843" w:rsidR="00DB290E" w:rsidRDefault="00DB290E" w:rsidP="00896500">
      <w:r>
        <w:rPr>
          <w:noProof/>
          <w:lang w:eastAsia="en-CA"/>
        </w:rPr>
        <w:drawing>
          <wp:inline distT="0" distB="0" distL="0" distR="0" wp14:anchorId="3E922FFF" wp14:editId="45B622BB">
            <wp:extent cx="2924175" cy="24571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6035" cy="2458682"/>
                    </a:xfrm>
                    <a:prstGeom prst="rect">
                      <a:avLst/>
                    </a:prstGeom>
                  </pic:spPr>
                </pic:pic>
              </a:graphicData>
            </a:graphic>
          </wp:inline>
        </w:drawing>
      </w:r>
    </w:p>
    <w:p w14:paraId="1BCB66D5" w14:textId="199FCEAA" w:rsidR="00DB290E" w:rsidRDefault="00896500" w:rsidP="00896500">
      <w:r>
        <w:lastRenderedPageBreak/>
        <w:t>However, a</w:t>
      </w:r>
      <w:r>
        <w:t xml:space="preserve">s Canadian </w:t>
      </w:r>
      <w:r>
        <w:t>crude production continues to grow</w:t>
      </w:r>
      <w:r>
        <w:t xml:space="preserve">, </w:t>
      </w:r>
      <w:r>
        <w:t xml:space="preserve">additional barrels will need to travel </w:t>
      </w:r>
      <w:r>
        <w:t xml:space="preserve">further to find a market.  </w:t>
      </w:r>
      <w:r>
        <w:t xml:space="preserve">The US </w:t>
      </w:r>
      <w:r>
        <w:t>Gulf Coast has a significant amount of heavy</w:t>
      </w:r>
      <w:r>
        <w:t xml:space="preserve"> refining capacity, making it a natural </w:t>
      </w:r>
      <w:r>
        <w:t xml:space="preserve">market for Canadian </w:t>
      </w:r>
      <w:r>
        <w:t xml:space="preserve">heavy </w:t>
      </w:r>
      <w:r>
        <w:t xml:space="preserve">crude.  </w:t>
      </w:r>
      <w:r>
        <w:t xml:space="preserve">What are the challenges to get </w:t>
      </w:r>
      <w:proofErr w:type="gramStart"/>
      <w:r>
        <w:t>more crude</w:t>
      </w:r>
      <w:proofErr w:type="gramEnd"/>
      <w:r>
        <w:t xml:space="preserve"> to the US Gulf Coast? First, Canadian barrels will compete with heavy barrels from other regions, like Mexican Maya and Venezuelan barrels. </w:t>
      </w:r>
      <w:proofErr w:type="gramStart"/>
      <w:r w:rsidR="00DB290E">
        <w:t xml:space="preserve">Second, while the current pipeline network can reach the Gulf Coast, </w:t>
      </w:r>
      <w:proofErr w:type="spellStart"/>
      <w:r w:rsidR="00DB290E">
        <w:t>ie</w:t>
      </w:r>
      <w:proofErr w:type="spellEnd"/>
      <w:r w:rsidR="00DB290E">
        <w:t xml:space="preserve"> Seaway or TransCanada Gulf Coast, light and heavy barrels today both travel on these lines, and it depends on who hold the contracted capacity.</w:t>
      </w:r>
      <w:proofErr w:type="gramEnd"/>
      <w:r w:rsidR="00DB290E">
        <w:t xml:space="preserve"> Lastly, transportation costs will come into play – it is more expensive to transport a heavy barrel of crude than a light barrel and Canadian barrels are competing with waterborne barrels from other locations – which generally have lower transportation costs. </w:t>
      </w:r>
      <w:r>
        <w:t xml:space="preserve"> </w:t>
      </w:r>
    </w:p>
    <w:p w14:paraId="0762F0BD" w14:textId="77777777" w:rsidR="00E95E57" w:rsidRDefault="00E95E57" w:rsidP="00E95E57">
      <w:r>
        <w:t>In addition, a</w:t>
      </w:r>
      <w:r>
        <w:t xml:space="preserve">s production grows and </w:t>
      </w:r>
      <w:r>
        <w:t xml:space="preserve">given the global </w:t>
      </w:r>
      <w:r>
        <w:t>competition</w:t>
      </w:r>
      <w:r>
        <w:t xml:space="preserve"> of heavy barrels, it is beneficial to open markets for Canadian barrels outside of the US. </w:t>
      </w:r>
      <w:r>
        <w:t xml:space="preserve">There are other parts of the world </w:t>
      </w:r>
      <w:r>
        <w:t xml:space="preserve">with heavy refining capacity, for example, parts of Asia </w:t>
      </w:r>
      <w:r>
        <w:t xml:space="preserve">and Mediterranean Europe.  </w:t>
      </w:r>
    </w:p>
    <w:p w14:paraId="1C40A6B5" w14:textId="2D8EE311" w:rsidR="00E95E57" w:rsidRDefault="00E95E57" w:rsidP="00E95E57">
      <w:r>
        <w:t xml:space="preserve">Given the need for additional export capacity, </w:t>
      </w:r>
      <w:r>
        <w:t xml:space="preserve">there are three projects that are proposed at this time: the Trans Mountain Expansion, TransCanada’s Keystone XL and </w:t>
      </w:r>
      <w:proofErr w:type="spellStart"/>
      <w:r>
        <w:t>Enbrige’s</w:t>
      </w:r>
      <w:proofErr w:type="spellEnd"/>
      <w:r>
        <w:t xml:space="preserve"> Line 3 replacement.  </w:t>
      </w:r>
    </w:p>
    <w:p w14:paraId="22C7FD2B" w14:textId="6D4810F1" w:rsidR="00DB290E" w:rsidRDefault="00DB290E" w:rsidP="00896500">
      <w:r>
        <w:t>Cost and pricing</w:t>
      </w:r>
    </w:p>
    <w:p w14:paraId="37A5866E" w14:textId="77777777" w:rsidR="00DB290E" w:rsidRDefault="00DB290E" w:rsidP="00DB290E">
      <w:r>
        <w:t xml:space="preserve">At several times over the past decade, the total number of crude barrels available for export out of Western Canada has exceeded the available pipeline capacity and prices have weakened significantly as a result.  </w:t>
      </w:r>
    </w:p>
    <w:p w14:paraId="6422F7CF" w14:textId="0247E22F" w:rsidR="00DB290E" w:rsidRDefault="00DB290E" w:rsidP="00DB290E">
      <w:r>
        <w:t>This is best shown in the difference between Western Canadian Select (WCS) and West Texas Intermediate (WTI).  The WCS-WTI differential, at a most basic calculation, represents the quality and locational differential between a light, sweet barrel located in the US Midwest (WTI) and a diluted bitumen (heavy, sour) barrel produced in Alberta.  If all of the fundamentals of supply and demand are in balance, the difference between those two would be less than $10/</w:t>
      </w:r>
      <w:proofErr w:type="spellStart"/>
      <w:r>
        <w:t>bbl</w:t>
      </w:r>
      <w:proofErr w:type="spellEnd"/>
      <w:r>
        <w:t xml:space="preserve">, but it is rare that all factors are in balance.  In the cases when </w:t>
      </w:r>
      <w:r w:rsidR="00BB4CA1">
        <w:t xml:space="preserve">there </w:t>
      </w:r>
      <w:proofErr w:type="spellStart"/>
      <w:r w:rsidR="00BB4CA1">
        <w:t>has</w:t>
      </w:r>
      <w:proofErr w:type="spellEnd"/>
      <w:r w:rsidR="00BB4CA1">
        <w:t xml:space="preserve"> been</w:t>
      </w:r>
      <w:r>
        <w:t xml:space="preserve"> insufficient takeaway capacity, the price </w:t>
      </w:r>
      <w:r w:rsidR="00BB4CA1">
        <w:t>is</w:t>
      </w:r>
      <w:r>
        <w:t xml:space="preserve"> set by the next available transport option, like rail </w:t>
      </w:r>
      <w:r w:rsidR="00BB4CA1">
        <w:t>-</w:t>
      </w:r>
      <w:r>
        <w:t>which is more expensive, and if that is unavailable, then it could r</w:t>
      </w:r>
      <w:r w:rsidR="00BB4CA1">
        <w:t xml:space="preserve">epresent the cost of putting the barrels </w:t>
      </w:r>
      <w:r>
        <w:t>into storage, or finally the cost of shutting production down.  As has been mentioned, there have been several times over the past decade when a lack of pipeline capacity has resulted in a much wider differential between WTI and WCS; in 2012, 2013 and in early 2018, the differential was wider than $25/bbl. For example, in early 2018, world prices for crudes were in the $60/</w:t>
      </w:r>
      <w:proofErr w:type="spellStart"/>
      <w:r>
        <w:t>bbl</w:t>
      </w:r>
      <w:proofErr w:type="spellEnd"/>
      <w:r>
        <w:t xml:space="preserve"> range and WCS was pricing around $36/bbl.</w:t>
      </w:r>
    </w:p>
    <w:p w14:paraId="2C89B5D7" w14:textId="77777777" w:rsidR="00DB290E" w:rsidRDefault="00DB290E" w:rsidP="00DB290E">
      <w:r>
        <w:rPr>
          <w:noProof/>
          <w:lang w:eastAsia="en-CA"/>
        </w:rPr>
        <w:lastRenderedPageBreak/>
        <w:drawing>
          <wp:inline distT="0" distB="0" distL="0" distR="0" wp14:anchorId="3A11B353" wp14:editId="54195629">
            <wp:extent cx="4584700" cy="2755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5F044D" w14:textId="0A34DC03" w:rsidR="00BB4CA1" w:rsidRDefault="00BB4CA1" w:rsidP="00DB290E">
      <w:r>
        <w:t>Netbacks</w:t>
      </w:r>
    </w:p>
    <w:p w14:paraId="49A4A267" w14:textId="2BD60AF2" w:rsidR="00BC6A1E" w:rsidRDefault="00BC6A1E" w:rsidP="00DB290E">
      <w:r>
        <w:rPr>
          <w:noProof/>
          <w:lang w:eastAsia="en-CA"/>
        </w:rPr>
        <w:drawing>
          <wp:inline distT="0" distB="0" distL="0" distR="0" wp14:anchorId="4D6EADC5" wp14:editId="3F416D06">
            <wp:extent cx="4443668" cy="3619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4446001" cy="3621400"/>
                    </a:xfrm>
                    <a:prstGeom prst="rect">
                      <a:avLst/>
                    </a:prstGeom>
                  </pic:spPr>
                </pic:pic>
              </a:graphicData>
            </a:graphic>
          </wp:inline>
        </w:drawing>
      </w:r>
    </w:p>
    <w:p w14:paraId="0D7C4C2D" w14:textId="63D8E74B" w:rsidR="00BB4CA1" w:rsidRDefault="00BB4CA1" w:rsidP="00BB4CA1">
      <w:r>
        <w:t xml:space="preserve">Historically, the majority of Canadian flows have moved to the US Midwest due to higher netbacks. For example, WTI 65 – quality discount </w:t>
      </w:r>
      <w:r w:rsidR="000B6F82">
        <w:t>$</w:t>
      </w:r>
      <w:r>
        <w:t>3</w:t>
      </w:r>
      <w:proofErr w:type="gramStart"/>
      <w:r>
        <w:t>-  $</w:t>
      </w:r>
      <w:proofErr w:type="gramEnd"/>
      <w:r>
        <w:t xml:space="preserve">5 </w:t>
      </w:r>
      <w:proofErr w:type="spellStart"/>
      <w:r>
        <w:t>tcost</w:t>
      </w:r>
      <w:proofErr w:type="spellEnd"/>
      <w:r>
        <w:t xml:space="preserve"> on Enbridge, Canadian producer achieved 57.  </w:t>
      </w:r>
    </w:p>
    <w:p w14:paraId="2AFD34C3" w14:textId="77777777" w:rsidR="00DB290E" w:rsidRDefault="00DB290E" w:rsidP="00DB290E">
      <w:r>
        <w:t>The cost of transport for a heavy barrel to the Gulf is about $10 (</w:t>
      </w:r>
      <w:proofErr w:type="spellStart"/>
      <w:r>
        <w:t>calc</w:t>
      </w:r>
      <w:proofErr w:type="spellEnd"/>
      <w:r>
        <w:t xml:space="preserve"> Enbridge), so Maya today is pricing at 63.16 – 10 =53.16.  </w:t>
      </w:r>
    </w:p>
    <w:p w14:paraId="211E8F81" w14:textId="132E1C17" w:rsidR="00A012CC" w:rsidRDefault="00CD2724" w:rsidP="003A536A">
      <w:r>
        <w:lastRenderedPageBreak/>
        <w:t xml:space="preserve">The current </w:t>
      </w:r>
      <w:proofErr w:type="spellStart"/>
      <w:r>
        <w:t>transmountain</w:t>
      </w:r>
      <w:proofErr w:type="spellEnd"/>
      <w:r>
        <w:t xml:space="preserve"> cost is 5$ but you get an Asian based price for it.  Even assuming shipping cost of 2</w:t>
      </w:r>
      <w:r w:rsidR="00BC6A1E">
        <w:t xml:space="preserve">, heavy price at </w:t>
      </w:r>
      <w:r w:rsidR="000B6F82">
        <w:t>70(?)-</w:t>
      </w:r>
      <w:r>
        <w:t>5</w:t>
      </w:r>
      <w:r w:rsidR="000B6F82">
        <w:t>-2</w:t>
      </w:r>
      <w:r>
        <w:t xml:space="preserve"> </w:t>
      </w:r>
      <w:r w:rsidR="000B6F82">
        <w:t>=63</w:t>
      </w:r>
      <w:bookmarkStart w:id="0" w:name="_GoBack"/>
      <w:bookmarkEnd w:id="0"/>
    </w:p>
    <w:p w14:paraId="4BCA9FD8" w14:textId="19CBDE47" w:rsidR="00634DD4" w:rsidRDefault="00634DD4" w:rsidP="003A536A"/>
    <w:p w14:paraId="64C0AF63" w14:textId="77777777" w:rsidR="00F75B0D" w:rsidRDefault="00F75B0D" w:rsidP="008251B9">
      <w:r>
        <w:rPr>
          <w:noProof/>
          <w:lang w:eastAsia="en-CA"/>
        </w:rPr>
        <w:drawing>
          <wp:inline distT="0" distB="0" distL="0" distR="0" wp14:anchorId="732207CC" wp14:editId="7B921F8E">
            <wp:extent cx="5943600" cy="395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54780"/>
                    </a:xfrm>
                    <a:prstGeom prst="rect">
                      <a:avLst/>
                    </a:prstGeom>
                  </pic:spPr>
                </pic:pic>
              </a:graphicData>
            </a:graphic>
          </wp:inline>
        </w:drawing>
      </w:r>
    </w:p>
    <w:p w14:paraId="4F15633F" w14:textId="77777777" w:rsidR="008251B9" w:rsidRDefault="008251B9"/>
    <w:p w14:paraId="028D5284" w14:textId="77777777" w:rsidR="00AB6ED1" w:rsidRDefault="00AB6ED1"/>
    <w:p w14:paraId="02A33147" w14:textId="77777777" w:rsidR="00F81DD1" w:rsidRDefault="00F81DD1"/>
    <w:sectPr w:rsidR="00F81D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4AA"/>
    <w:rsid w:val="0007230B"/>
    <w:rsid w:val="00082152"/>
    <w:rsid w:val="000A4793"/>
    <w:rsid w:val="000A4C21"/>
    <w:rsid w:val="000B0C23"/>
    <w:rsid w:val="000B6F82"/>
    <w:rsid w:val="000E4211"/>
    <w:rsid w:val="00234E92"/>
    <w:rsid w:val="00250908"/>
    <w:rsid w:val="00267781"/>
    <w:rsid w:val="00291AAC"/>
    <w:rsid w:val="002E570C"/>
    <w:rsid w:val="00333D7C"/>
    <w:rsid w:val="00341681"/>
    <w:rsid w:val="00390A1E"/>
    <w:rsid w:val="003955B7"/>
    <w:rsid w:val="003A536A"/>
    <w:rsid w:val="00402DA4"/>
    <w:rsid w:val="00422426"/>
    <w:rsid w:val="004D4C45"/>
    <w:rsid w:val="005D4D98"/>
    <w:rsid w:val="005E2D76"/>
    <w:rsid w:val="00634DD4"/>
    <w:rsid w:val="006B369F"/>
    <w:rsid w:val="006D45F8"/>
    <w:rsid w:val="006D4EB3"/>
    <w:rsid w:val="007028D5"/>
    <w:rsid w:val="00704846"/>
    <w:rsid w:val="0070512C"/>
    <w:rsid w:val="007114AA"/>
    <w:rsid w:val="007171E8"/>
    <w:rsid w:val="00735CD1"/>
    <w:rsid w:val="00781BC4"/>
    <w:rsid w:val="007944B2"/>
    <w:rsid w:val="008251B9"/>
    <w:rsid w:val="00844E55"/>
    <w:rsid w:val="00896500"/>
    <w:rsid w:val="008A772A"/>
    <w:rsid w:val="008C5A19"/>
    <w:rsid w:val="009607E6"/>
    <w:rsid w:val="0098242B"/>
    <w:rsid w:val="00A012CC"/>
    <w:rsid w:val="00A350A7"/>
    <w:rsid w:val="00A60573"/>
    <w:rsid w:val="00AB1BEA"/>
    <w:rsid w:val="00AB6ED1"/>
    <w:rsid w:val="00AF3EC0"/>
    <w:rsid w:val="00B05AB6"/>
    <w:rsid w:val="00B907D8"/>
    <w:rsid w:val="00BB4CA1"/>
    <w:rsid w:val="00BC6A1E"/>
    <w:rsid w:val="00C0382B"/>
    <w:rsid w:val="00C07133"/>
    <w:rsid w:val="00CD2724"/>
    <w:rsid w:val="00CE2C9C"/>
    <w:rsid w:val="00CE6B21"/>
    <w:rsid w:val="00D50FE0"/>
    <w:rsid w:val="00DB290E"/>
    <w:rsid w:val="00E43E90"/>
    <w:rsid w:val="00E540D0"/>
    <w:rsid w:val="00E95E57"/>
    <w:rsid w:val="00F33E27"/>
    <w:rsid w:val="00F517FE"/>
    <w:rsid w:val="00F75B0D"/>
    <w:rsid w:val="00F81D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D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9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9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777">
      <w:bodyDiv w:val="1"/>
      <w:marLeft w:val="0"/>
      <w:marRight w:val="0"/>
      <w:marTop w:val="0"/>
      <w:marBottom w:val="0"/>
      <w:divBdr>
        <w:top w:val="none" w:sz="0" w:space="0" w:color="auto"/>
        <w:left w:val="none" w:sz="0" w:space="0" w:color="auto"/>
        <w:bottom w:val="none" w:sz="0" w:space="0" w:color="auto"/>
        <w:right w:val="none" w:sz="0" w:space="0" w:color="auto"/>
      </w:divBdr>
    </w:div>
    <w:div w:id="1069309487">
      <w:bodyDiv w:val="1"/>
      <w:marLeft w:val="0"/>
      <w:marRight w:val="0"/>
      <w:marTop w:val="0"/>
      <w:marBottom w:val="0"/>
      <w:divBdr>
        <w:top w:val="none" w:sz="0" w:space="0" w:color="auto"/>
        <w:left w:val="none" w:sz="0" w:space="0" w:color="auto"/>
        <w:bottom w:val="none" w:sz="0" w:space="0" w:color="auto"/>
        <w:right w:val="none" w:sz="0" w:space="0" w:color="auto"/>
      </w:divBdr>
    </w:div>
    <w:div w:id="1574853643">
      <w:bodyDiv w:val="1"/>
      <w:marLeft w:val="0"/>
      <w:marRight w:val="0"/>
      <w:marTop w:val="0"/>
      <w:marBottom w:val="0"/>
      <w:divBdr>
        <w:top w:val="none" w:sz="0" w:space="0" w:color="auto"/>
        <w:left w:val="none" w:sz="0" w:space="0" w:color="auto"/>
        <w:bottom w:val="none" w:sz="0" w:space="0" w:color="auto"/>
        <w:right w:val="none" w:sz="0" w:space="0" w:color="auto"/>
      </w:divBdr>
    </w:div>
    <w:div w:id="169858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Velasquez</dc:creator>
  <cp:lastModifiedBy>Carmen Velasquez</cp:lastModifiedBy>
  <cp:revision>4</cp:revision>
  <dcterms:created xsi:type="dcterms:W3CDTF">2018-06-06T13:12:00Z</dcterms:created>
  <dcterms:modified xsi:type="dcterms:W3CDTF">2018-06-06T13:18:00Z</dcterms:modified>
</cp:coreProperties>
</file>