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2026 빅데이터 활용 경진대회 분석부문 분석결과서(요약)</w:t>
      </w:r>
    </w:p>
    <w:p>
      <w:pPr>
        <w:jc w:val="center"/>
      </w:pPr>
      <w:r>
        <w:t>실시간 도시데이터 기반 서울 상권 활력 예측 및 의사결정 지원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16655C"/>
            <w:vAlign w:val="center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접수번호</w:t>
            </w:r>
          </w:p>
        </w:tc>
        <w:tc>
          <w:tcPr>
            <w:tcW w:type="dxa" w:w="2606"/>
            <w:vAlign w:val="center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미기재</w:t>
            </w:r>
          </w:p>
        </w:tc>
        <w:tc>
          <w:tcPr>
            <w:tcW w:type="dxa" w:w="2606"/>
            <w:shd w:fill="16655C"/>
            <w:vAlign w:val="center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분석명</w:t>
            </w:r>
          </w:p>
        </w:tc>
        <w:tc>
          <w:tcPr>
            <w:tcW w:type="dxa" w:w="2606"/>
            <w:vAlign w:val="center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9"/>
              </w:rPr>
              <w:t>실시간 도시데이터 기반 서울 상권 활력 예측 및 의사결정 지원</w:t>
            </w:r>
          </w:p>
        </w:tc>
      </w:tr>
      <w:tr>
        <w:tc>
          <w:tcPr>
            <w:tcW w:type="dxa" w:w="2606"/>
            <w:shd w:fill="16655C"/>
            <w:vAlign w:val="center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팀명</w:t>
            </w:r>
          </w:p>
        </w:tc>
        <w:tc>
          <w:tcPr>
            <w:tcW w:type="dxa" w:w="2606"/>
            <w:vAlign w:val="center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AI꿈나무</w:t>
            </w:r>
          </w:p>
        </w:tc>
        <w:tc>
          <w:tcPr>
            <w:tcW w:type="dxa" w:w="2606"/>
            <w:shd w:fill="16655C"/>
            <w:vAlign w:val="center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작성일</w:t>
            </w:r>
          </w:p>
        </w:tc>
        <w:tc>
          <w:tcPr>
            <w:tcW w:type="dxa" w:w="2606"/>
            <w:vAlign w:val="center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2026. 05. 25.</w:t>
            </w:r>
          </w:p>
        </w:tc>
      </w:tr>
    </w:tbl>
    <w:p>
      <w:pPr>
        <w:spacing w:before="160" w:after="80"/>
      </w:pPr>
      <w:r>
        <w:t>추진배경 및 필요성</w:t>
      </w:r>
    </w:p>
    <w:p>
      <w:pPr>
        <w:spacing w:after="30"/>
        <w:ind w:left="255" w:hanging="142"/>
      </w:pPr>
      <w:r>
        <w:t>• 서울 상권은 유동인구, 소비, 날씨, 교통, 행사 등 복합 요인에 따라 시간대별 활력이 크게 달라지므로 정적인 매출·인구 지표만으로는 현장 대응이 어렵다.</w:t>
      </w:r>
    </w:p>
    <w:p>
      <w:pPr>
        <w:spacing w:after="30"/>
        <w:ind w:left="255" w:hanging="142"/>
      </w:pPr>
      <w:r>
        <w:t>• 본 분석은 과거 데이터 기반 Base MLP가 장기 상권 잠재력을 예측하고, 서울 실시간 도시데이터 OpenAPI 기반 Correction LSTM이 현재 시점 변화를 보정하는 이중 모델 구조로 최종 활력 점수를 산출한다.</w:t>
      </w:r>
    </w:p>
    <w:p>
      <w:pPr>
        <w:spacing w:after="30"/>
        <w:ind w:left="255" w:hanging="142"/>
      </w:pPr>
      <w:r>
        <w:t>• 재실험 기준 실시간 API snapshot은 80행·66개 grid, LSTM live sequence는 80행·20개 grid를 생성했으며, 직접 관측 구역 외에는 장소·이웃 기반 전파로 도시 전역 337개 격자까지 확장했다.</w:t>
      </w:r>
    </w:p>
    <w:p>
      <w:pPr>
        <w:spacing w:before="160" w:after="80"/>
      </w:pPr>
      <w:r>
        <w:t>투입 데이터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264653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475"/>
            <w:shd w:fill="264653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필드</w:t>
            </w:r>
          </w:p>
        </w:tc>
        <w:tc>
          <w:tcPr>
            <w:tcW w:type="dxa" w:w="3475"/>
            <w:shd w:fill="264653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활용 목적</w:t>
            </w:r>
          </w:p>
        </w:tc>
      </w:tr>
      <w:tr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상권 기본 데이터</w:t>
            </w:r>
          </w:p>
        </w:tc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avg_flow, weekday_weekend_gap, hourly_concentration, card_sales_amount/count, rainfall, transport/rent proxy</w:t>
            </w:r>
          </w:p>
        </w:tc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격자별 평시 상권 잠재력(base_score) 학습</w:t>
            </w:r>
          </w:p>
        </w:tc>
      </w:tr>
      <w:tr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실시간 도시데이터</w:t>
            </w:r>
          </w:p>
        </w:tc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real_time_population, population_growth, traffic_congestion, transit_change, temp/rain, event/holiday flag</w:t>
            </w:r>
          </w:p>
        </w:tc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시점별 변화 신호(correction_score) 학습 및 실시간 보정</w:t>
            </w:r>
          </w:p>
        </w:tc>
      </w:tr>
      <w:tr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공간 매핑 데이터</w:t>
            </w:r>
          </w:p>
        </w:tc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grid_id, place_code/name, weight, 좌표/행정구 경계, spatial mapping</w:t>
            </w:r>
          </w:p>
        </w:tc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서울 실시간 장소 API를 50m 격자 단위로 변환하고 전파 범위 산정</w:t>
            </w:r>
          </w:p>
        </w:tc>
      </w:tr>
      <w:tr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산출·검증 데이터</w:t>
            </w:r>
          </w:p>
        </w:tc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final_actual, metrics_summary, tuning comparison CSV/JSON, API metadata</w:t>
            </w:r>
          </w:p>
        </w:tc>
        <w:tc>
          <w:tcPr>
            <w:tcW w:type="dxa" w:w="347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t>RMSE, MAE, Spearman, Precision@5/10, Top-20% Precision 기반 성능 비교</w:t>
            </w:r>
          </w:p>
        </w:tc>
      </w:tr>
    </w:tbl>
    <w:p>
      <w:pPr>
        <w:spacing w:before="160" w:after="80"/>
      </w:pPr>
      <w:r>
        <w:t>분석과정 및 방법</w:t>
      </w:r>
    </w:p>
    <w:p>
      <w:pPr>
        <w:spacing w:after="30"/>
        <w:ind w:left="255" w:hanging="142"/>
      </w:pPr>
      <w:r>
        <w:t>• 전처리: 원천 데이터를 50m 격자 공통키로 정리하고, 카드·유동·강우·교통 접근성·임대료 proxy 등을 결합해 base_train/base_infer를 생성했다.</w:t>
      </w:r>
    </w:p>
    <w:p>
      <w:pPr>
        <w:spacing w:after="30"/>
        <w:ind w:left="255" w:hanging="142"/>
      </w:pPr>
      <w:r>
        <w:t>• 기본 모델: BatchNorm, Dropout, AdamW를 적용한 MLP가 격자의 구조적 상권 체력을 base_score로 예측한다.</w:t>
      </w:r>
    </w:p>
    <w:p>
      <w:pPr>
        <w:spacing w:after="30"/>
        <w:ind w:left="255" w:hanging="142"/>
      </w:pPr>
      <w:r>
        <w:t>• 보정 모델: 최근 4개 시점의 실시간 특성을 LSTM에 입력해 현재 시점의 correction_score를 산출한다.</w:t>
      </w:r>
    </w:p>
    <w:p>
      <w:pPr>
        <w:spacing w:after="30"/>
        <w:ind w:left="255" w:hanging="142"/>
      </w:pPr>
      <w:r>
        <w:t>• 실험 설계 및 평가: baseline 포함 9개 설정에서 MLP/LSTM 용량, dropout, learning rate, alpha/beta 가중치를 바꾸어 동일한 live sequence로 비교했고, Spearman을 1순위 지표, Precision@5·10과 Top-20% Precision을 보조 지표로 사용했다.</w:t>
      </w:r>
    </w:p>
    <w:p>
      <w:pPr>
        <w:spacing w:before="160" w:after="80"/>
      </w:pPr>
      <w:r>
        <w:t>최종결과</w:t>
      </w:r>
    </w:p>
    <w:p>
      <w:pPr/>
      <w:r>
        <w:t>• 해석 주의: 평가 가능한 grid가 20개뿐인 재실험에서는 Precision@100이 전체 후보를 포함해 포화되므로 주요 지표에서 제외하고 Precision@5, Precision@10, Top-20% Precision을 중심으로 해석했다.</w:t>
      </w:r>
    </w:p>
    <w:p>
      <w:pPr>
        <w:spacing w:line="259" w:lineRule="auto" w:after="40"/>
      </w:pPr>
      <w:r>
        <w:t>도시 전역 보정 결과 337개 격자의 최종 활력 점수 평균은 4.288, 표준편차는 1.21이며, 최고 점수는 11.641로 나타났다. 상위 격자는 북촌한옥마을, 창덕궁·종묘, 서촌 등 관광·문화·상권 결합 지역을 중심으로 형성됐다. 모델 튜닝 비교에서는 T03_large_mlp_large_lstm이 Spearman 0.9910, Precision@5 1.0, Precision@10 1.0으로 순위 성능이 가장 높았고, T01_mlp_lstm_balanced는 RMSE 0.9408로 점수 오차가 가장 안정적이었다.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2A9D8F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2085"/>
            <w:shd w:fill="2A9D8F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격자</w:t>
            </w:r>
          </w:p>
        </w:tc>
        <w:tc>
          <w:tcPr>
            <w:tcW w:type="dxa" w:w="2085"/>
            <w:shd w:fill="2A9D8F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좌표(WGS84)</w:t>
            </w:r>
          </w:p>
        </w:tc>
        <w:tc>
          <w:tcPr>
            <w:tcW w:type="dxa" w:w="2085"/>
            <w:shd w:fill="2A9D8F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최종점수</w:t>
            </w:r>
          </w:p>
        </w:tc>
        <w:tc>
          <w:tcPr>
            <w:tcW w:type="dxa" w:w="2085"/>
            <w:shd w:fill="2A9D8F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영향 장소</w:t>
            </w:r>
          </w:p>
        </w:tc>
      </w:tr>
      <w:tr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5*0*9*3*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126.9765, 37.5751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11.641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Bukchon Hanok Village</w:t>
            </w:r>
          </w:p>
        </w:tc>
      </w:tr>
      <w:tr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5*5*4*6*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126.9890, 37.5879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7.138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Bukchon Hanok Village</w:t>
            </w:r>
          </w:p>
        </w:tc>
      </w:tr>
      <w:tr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5*1*6*9*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127.0191, 37.5778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6.223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Changdeokgung Palace &amp; Jongmyo Shrine</w:t>
            </w:r>
          </w:p>
        </w:tc>
      </w:tr>
      <w:tr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5*5*2*3*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126.9987, 37.5819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6.195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Bukchon Hanok Village</w:t>
            </w:r>
          </w:p>
        </w:tc>
      </w:tr>
      <w:tr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5*0*8*6*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126.9512, 37.5895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6.177</w:t>
            </w:r>
          </w:p>
        </w:tc>
        <w:tc>
          <w:tcPr>
            <w:tcW w:type="dxa" w:w="2085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</w:tcPr>
          <w:p>
            <w:r>
              <w:rPr>
                <w:rFonts w:ascii="맑은 고딕" w:hAnsi="맑은 고딕" w:eastAsia="맑은 고딕"/>
                <w:b w:val="0"/>
                <w:color w:val="1F2937"/>
                <w:sz w:val="17"/>
              </w:rPr>
              <w:t>Seochon</w:t>
            </w:r>
          </w:p>
        </w:tc>
      </w:tr>
    </w:tbl>
    <w:p>
      <w:pPr>
        <w:spacing w:before="160" w:after="80"/>
      </w:pPr>
      <w:r>
        <w:t>활용방안 및 기대효과</w:t>
      </w:r>
    </w:p>
    <w:p>
      <w:pPr/>
      <w:r>
        <w:t>• 실시간 API 기반 최종 평가는 timestamp가 과거 정답과 직접 일치하지 않아 grid_id 기준 평균 정답과 비교하는 fallback 평가를 사용했다. 따라서 evaluation_rows는 20개이며, live coverage가 주요 장소 중심으로 제한된다는 한계를 함께 해석해야 한다.</w:t>
      </w:r>
    </w:p>
    <w:p>
      <w:pPr>
        <w:spacing w:after="30"/>
        <w:ind w:left="255" w:hanging="142"/>
      </w:pPr>
      <w:r>
        <w:t>• 상권·관광지 혼잡 및 활력 변화를 시간대별로 파악해 방문 분산 안내, 현장 운영 인력 배치, 주변 소상공인 프로모션 타이밍 결정에 활용할 수 있다.</w:t>
      </w:r>
    </w:p>
    <w:p>
      <w:pPr>
        <w:spacing w:after="30"/>
        <w:ind w:left="255" w:hanging="142"/>
      </w:pPr>
      <w:r>
        <w:t>• 실시간 API와 격자 기반 예측을 결합하므로 신규 행사·날씨 변화·교통 변화가 발생했을 때 빠르게 상권 활력 변화를 재계산할 수 있으며, What-if 시뮬레이션으로 악천후·공연 종료·축제 집중 상황을 사전 가정해 운영 시나리오를 검토할 수 있다.</w:t>
      </w:r>
    </w:p>
    <w:p>
      <w:pPr>
        <w:spacing w:after="30"/>
        <w:ind w:left="255" w:hanging="142"/>
      </w:pPr>
      <w:r>
        <w:t>• 최종 점수와 산출 방식(score_source)을 함께 제공해 정책 담당자가 직접 관측 구역과 전파 추정 구역을 구분하여 해석할 수 있고, 향후에는 대시보드·자동 재학습 파이프라인으로 확장할 수 있다.</w:t>
      </w:r>
    </w:p>
    <w:p>
      <w:pPr>
        <w:spacing w:before="160" w:after="80"/>
      </w:pPr>
      <w:r>
        <w:t>분석툴 및 참고문헌</w:t>
      </w:r>
    </w:p>
    <w:p>
      <w:pPr/>
      <w:r>
        <w:t>• 한계 및 확장: 실시간 OpenAPI가 서울 전역 모든 50m grid를 직접 제공하지 않으므로 향후에는 SNS 트렌드, 행사 일정, 관광·대중교통 혼잡 데이터 등을 추가 결합해 correction 모델의 일반화 성능을 높일 필요가 있다.</w:t>
      </w:r>
    </w:p>
    <w:p>
      <w:pPr>
        <w:spacing w:after="30"/>
        <w:ind w:left="255" w:hanging="142"/>
      </w:pPr>
      <w:r>
        <w:t>• Python, pandas, NumPy, scikit-learn, PyTorch, SciPy, Matplotlib, Google Colab</w:t>
      </w:r>
    </w:p>
    <w:p>
      <w:pPr>
        <w:spacing w:after="30"/>
        <w:ind w:left="255" w:hanging="142"/>
      </w:pPr>
      <w:r>
        <w:t>• 모델 구성: Base MLP, Correction LSTM, HuberLoss, AdamW, ReduceLROnPlateau, Early Stopping, Gradient Clipping, spatial propagation</w:t>
      </w:r>
    </w:p>
    <w:p>
      <w:pPr>
        <w:spacing w:after="30"/>
        <w:ind w:left="255" w:hanging="142"/>
      </w:pPr>
      <w:r>
        <w:t>• 활용 파일: seoul_grid_vitality_pipeline.py, preprocess_seoul_grid_data.py, fetch_seoul_realtime_api_to_csv.py, build_citywide_vitality_artifacts.py, colab_run_project.ipynb</w:t>
      </w:r>
    </w:p>
    <w:p>
      <w:pPr>
        <w:spacing w:after="30"/>
        <w:ind w:left="255" w:hanging="142"/>
      </w:pPr>
      <w:r>
        <w:t>• 참고 데이터: 서울시 빅데이터캠퍼스 제공 데이터, 서울 실시간 도시데이터 OpenAPI, 행정구 경계 및 격자·장소 매핑 산출물, 튜닝 비교 요약 CSV/JSON</w:t>
      </w:r>
    </w:p>
    <w:sectPr w:rsidR="00FC693F" w:rsidRPr="0006063C" w:rsidSect="00034616"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