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23452"/>
          <w:sz w:val="34"/>
        </w:rPr>
        <w:t>2026 빅데이터 활용 경진대회 분석부문 분석결과서(요약)</w:t>
      </w:r>
    </w:p>
    <w:p>
      <w:pPr>
        <w:jc w:val="center"/>
      </w:pPr>
      <w:r>
        <w:rPr>
          <w:rFonts w:ascii="맑은 고딕" w:hAnsi="맑은 고딕" w:eastAsia="맑은 고딕"/>
          <w:color w:val="4F5B66"/>
          <w:sz w:val="20"/>
        </w:rPr>
        <w:t>실시간 도시데이터 기반 서울 상권 활력 예측 및 의사결정 지원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shd w:fill="16655C"/>
            <w:vAlign w:val="center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접수번호</w:t>
            </w:r>
          </w:p>
        </w:tc>
        <w:tc>
          <w:tcPr>
            <w:tcW w:type="dxa" w:w="2606"/>
            <w:vAlign w:val="center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9"/>
              </w:rPr>
              <w:t>미기재</w:t>
            </w:r>
          </w:p>
        </w:tc>
        <w:tc>
          <w:tcPr>
            <w:tcW w:type="dxa" w:w="2606"/>
            <w:shd w:fill="16655C"/>
            <w:vAlign w:val="center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분석명</w:t>
            </w:r>
          </w:p>
        </w:tc>
        <w:tc>
          <w:tcPr>
            <w:tcW w:type="dxa" w:w="2606"/>
            <w:vAlign w:val="center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9"/>
              </w:rPr>
              <w:t>실시간 도시데이터 기반 서울 상권 활력 예측 및 의사결정 지원</w:t>
            </w:r>
          </w:p>
        </w:tc>
      </w:tr>
      <w:tr>
        <w:tc>
          <w:tcPr>
            <w:tcW w:type="dxa" w:w="2606"/>
            <w:shd w:fill="16655C"/>
            <w:vAlign w:val="center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팀명</w:t>
            </w:r>
          </w:p>
        </w:tc>
        <w:tc>
          <w:tcPr>
            <w:tcW w:type="dxa" w:w="2606"/>
            <w:vAlign w:val="center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9"/>
              </w:rPr>
              <w:t>[팀명]</w:t>
            </w:r>
          </w:p>
        </w:tc>
        <w:tc>
          <w:tcPr>
            <w:tcW w:type="dxa" w:w="2606"/>
            <w:shd w:fill="16655C"/>
            <w:vAlign w:val="center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작성일</w:t>
            </w:r>
          </w:p>
        </w:tc>
        <w:tc>
          <w:tcPr>
            <w:tcW w:type="dxa" w:w="2606"/>
            <w:vAlign w:val="center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9"/>
              </w:rPr>
              <w:t>2026.  .  .</w:t>
            </w:r>
          </w:p>
        </w:tc>
      </w:tr>
    </w:tbl>
    <w:p>
      <w:pPr>
        <w:spacing w:before="160" w:after="80"/>
      </w:pPr>
      <w:r>
        <w:rPr>
          <w:rFonts w:ascii="맑은 고딕" w:hAnsi="맑은 고딕" w:eastAsia="맑은 고딕"/>
          <w:b/>
          <w:color w:val="16655C"/>
          <w:sz w:val="23"/>
        </w:rPr>
        <w:t>추진배경 및 필요성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서울 상권은 유동인구, 소비, 날씨, 교통, 행사 등 복합 요인에 따라 시간대별 활력이 크게 달라지므로 정적인 매출·인구 지표만으로는 현장 대응이 어렵다.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본 분석은 50m 격자 단위의 기본 상권 잠재력과 서울 실시간 도시데이터 기반의 현재 보정 신호를 결합해, 특정 시점에 방문·정책·운영 의사결정에 활용 가능한 최종 활력 점수를 산출한다.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현재 구현 범위는 분석 가능 격자 337개와 실시간 직접 관측 격자 20개를 포함하며, 장소 주변으로 보정 신호를 전파해 적용 범위를 넓혔다.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16655C"/>
          <w:sz w:val="23"/>
        </w:rPr>
        <w:t>투입 데이터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shd w:fill="264653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3475"/>
            <w:shd w:fill="264653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주요 필드</w:t>
            </w:r>
          </w:p>
        </w:tc>
        <w:tc>
          <w:tcPr>
            <w:tcW w:type="dxa" w:w="3475"/>
            <w:shd w:fill="264653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활용 목적</w:t>
            </w:r>
          </w:p>
        </w:tc>
      </w:tr>
      <w:tr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상권 기본 데이터</w:t>
            </w:r>
          </w:p>
        </w:tc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avg_flow, weekday_weekend_gap, hourly_concentration, card_sales_amount/count, rainfall, transport/rent proxy</w:t>
            </w:r>
          </w:p>
        </w:tc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격자별 평시 상권 잠재력(base_score) 학습</w:t>
            </w:r>
          </w:p>
        </w:tc>
      </w:tr>
      <w:tr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실시간 도시데이터</w:t>
            </w:r>
          </w:p>
        </w:tc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real_time_population, growth, traffic_congestion, transit_change, temp/rain, event/holiday flag</w:t>
            </w:r>
          </w:p>
        </w:tc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시점별 변화 신호(correction_score) 학습 및 추론</w:t>
            </w:r>
          </w:p>
        </w:tc>
      </w:tr>
      <w:tr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공간 매핑 데이터</w:t>
            </w:r>
          </w:p>
        </w:tc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grid_id, place_code/name, weight, 좌표/행정구 경계</w:t>
            </w:r>
          </w:p>
        </w:tc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서울 실시간 장소 API를 50m 격자 단위로 전환</w:t>
            </w:r>
          </w:p>
        </w:tc>
      </w:tr>
      <w:tr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산출·검증 데이터</w:t>
            </w:r>
          </w:p>
        </w:tc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final_actual, validation predictions, metrics_summary</w:t>
            </w:r>
          </w:p>
        </w:tc>
        <w:tc>
          <w:tcPr>
            <w:tcW w:type="dxa" w:w="347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RMSE, MAE, Spearman 등 성능 점검</w:t>
            </w:r>
          </w:p>
        </w:tc>
      </w:tr>
    </w:tbl>
    <w:p>
      <w:pPr>
        <w:spacing w:before="160" w:after="80"/>
      </w:pPr>
      <w:r>
        <w:rPr>
          <w:rFonts w:ascii="맑은 고딕" w:hAnsi="맑은 고딕" w:eastAsia="맑은 고딕"/>
          <w:b/>
          <w:color w:val="16655C"/>
          <w:sz w:val="23"/>
        </w:rPr>
        <w:t>분석과정 및 방법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전처리: 원천 데이터를 50m 격자 공통키로 정리하고, 카드·유동·강우·교통 접근성·임대료 proxy 등을 결합해 base_train/base_infer를 생성했다.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기본 모델: BatchNorm, Dropout, AdamW를 적용한 MLP가 격자의 구조적 상권 체력을 base_score로 예측한다.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보정 모델: 최근 4개 시점의 실시간 특성을 LSTM에 입력해 현재 시점의 correction_score를 산출한다.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최종 산식: final_score = base_score + correction_score로 구성해 장기 잠재력과 현재 변화 신호를 동시에 반영한다.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공간 확장: 직접 관측(DIRECT_LIVE) 외에 장소 기반 전파(PLACE_PROPAGATED), 이웃·장소 혼합 전파(HYBRID_PROPAGATED), 기본값(BASE_ONLY)을 구분해 신뢰 범위를 표시했다.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16655C"/>
          <w:sz w:val="23"/>
        </w:rPr>
        <w:t>최종결과</w:t>
      </w:r>
    </w:p>
    <w:p>
      <w:pPr>
        <w:spacing w:line="259" w:lineRule="auto" w:after="40"/>
      </w:pPr>
      <w:r>
        <w:rPr>
          <w:rFonts w:ascii="맑은 고딕" w:hAnsi="맑은 고딕" w:eastAsia="맑은 고딕"/>
          <w:sz w:val="19"/>
        </w:rPr>
        <w:t>도시 전역 보정 결과 337개 격자의 최종 활력 점수 평균은 4.288, 표준편차는 1.21이며, 최고 점수는 11.641로 나타났다. 상위 격자는 북촌한옥마을, 창덕궁·종묘, 서촌 등 관광·문화·상권 결합 지역을 중심으로 형성됐다.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085"/>
            <w:shd w:fill="2A9D8F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순위</w:t>
            </w:r>
          </w:p>
        </w:tc>
        <w:tc>
          <w:tcPr>
            <w:tcW w:type="dxa" w:w="2085"/>
            <w:shd w:fill="2A9D8F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격자</w:t>
            </w:r>
          </w:p>
        </w:tc>
        <w:tc>
          <w:tcPr>
            <w:tcW w:type="dxa" w:w="2085"/>
            <w:shd w:fill="2A9D8F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좌표(WGS84)</w:t>
            </w:r>
          </w:p>
        </w:tc>
        <w:tc>
          <w:tcPr>
            <w:tcW w:type="dxa" w:w="2085"/>
            <w:shd w:fill="2A9D8F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최종점수</w:t>
            </w:r>
          </w:p>
        </w:tc>
        <w:tc>
          <w:tcPr>
            <w:tcW w:type="dxa" w:w="2085"/>
            <w:shd w:fill="2A9D8F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주요 영향 장소</w:t>
            </w:r>
          </w:p>
        </w:tc>
      </w:tr>
      <w:tr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1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5*0*9*3*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126.9765, 37.5751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11.641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Bukchon Hanok Village</w:t>
            </w:r>
          </w:p>
        </w:tc>
      </w:tr>
      <w:tr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2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5*5*4*6*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126.9890, 37.5879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7.138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Bukchon Hanok Village</w:t>
            </w:r>
          </w:p>
        </w:tc>
      </w:tr>
      <w:tr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3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5*1*6*9*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127.0191, 37.5778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6.223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Changdeokgung Palace &amp; Jongmyo Shrine</w:t>
            </w:r>
          </w:p>
        </w:tc>
      </w:tr>
      <w:tr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4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5*5*2*3*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126.9987, 37.5819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6.195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Bukchon Hanok Village</w:t>
            </w:r>
          </w:p>
        </w:tc>
      </w:tr>
      <w:tr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5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5*0*8*6*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126.9512, 37.5895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6.177</w:t>
            </w:r>
          </w:p>
        </w:tc>
        <w:tc>
          <w:tcPr>
            <w:tcW w:type="dxa" w:w="2085"/>
            <w:tcBorders>
              <w:top w:val="single" w:sz="6" w:space="0" w:color="C9D3DC"/>
              <w:left w:val="single" w:sz="6" w:space="0" w:color="C9D3DC"/>
              <w:bottom w:val="single" w:sz="6" w:space="0" w:color="C9D3DC"/>
              <w:right w:val="single" w:sz="6" w:space="0" w:color="C9D3DC"/>
            </w:tcBorders>
          </w:tcPr>
          <w:p>
            <w:r>
              <w:rPr>
                <w:rFonts w:ascii="맑은 고딕" w:hAnsi="맑은 고딕" w:eastAsia="맑은 고딕"/>
                <w:b w:val="0"/>
                <w:color w:val="1F2937"/>
                <w:sz w:val="17"/>
              </w:rPr>
              <w:t>Seochon</w:t>
            </w:r>
          </w:p>
        </w:tc>
      </w:tr>
    </w:tbl>
    <w:p>
      <w:pPr>
        <w:spacing w:before="160" w:after="80"/>
      </w:pPr>
      <w:r>
        <w:rPr>
          <w:rFonts w:ascii="맑은 고딕" w:hAnsi="맑은 고딕" w:eastAsia="맑은 고딕"/>
          <w:b/>
          <w:color w:val="16655C"/>
          <w:sz w:val="23"/>
        </w:rPr>
        <w:t>활용방안 및 기대효과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상권·관광지 혼잡 및 활력 변화를 시간대별로 파악해 방문 분산 안내, 현장 운영 인력 배치, 주변 소상공인 프로모션 타이밍 결정에 활용할 수 있다.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실시간 API와 격자 기반 예측을 결합하므로 신규 행사·날씨 변화·교통 변화가 발생했을 때 빠르게 상권 활력 변화를 재계산할 수 있다.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최종 점수와 산출 방식(score_source)을 함께 제공해 정책 담당자가 직접 관측 구역과 전파 추정 구역을 구분하여 해석할 수 있다.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16655C"/>
          <w:sz w:val="23"/>
        </w:rPr>
        <w:t>분석툴 및 참고문헌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Python, pandas, NumPy, scikit-learn, PyTorch, SciPy, Matplotlib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모델 구성: Base MLP, Correction LSTM, HuberLoss, AdamW, ReduceLROnPlateau, Early Stopping, Gradient Clipping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활용 파일: seoul_grid_vitality_pipeline.py, preprocess_seoul_grid_data.py, fetch_seoul_realtime_api_to_csv.py, build_citywide_vitality_artifacts.py</w:t>
      </w:r>
    </w:p>
    <w:p>
      <w:pPr>
        <w:spacing w:after="30"/>
        <w:ind w:left="255" w:hanging="142"/>
      </w:pPr>
      <w:r>
        <w:rPr>
          <w:rFonts w:ascii="맑은 고딕" w:hAnsi="맑은 고딕" w:eastAsia="맑은 고딕"/>
          <w:sz w:val="18"/>
        </w:rPr>
        <w:t>• 참고 데이터: 서울시 빅데이터캠퍼스 제공 데이터, 서울 실시간 도시데이터 OpenAPI, 행정구 경계 및 격자·장소 매핑 산출물</w:t>
      </w:r>
    </w:p>
    <w:sectPr w:rsidR="00FC693F" w:rsidRPr="0006063C" w:rsidSect="00034616">
      <w:pgSz w:w="12240" w:h="15840"/>
      <w:pgMar w:top="850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