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23452"/>
          <w:sz w:val="34"/>
        </w:rPr>
        <w:t>2026 서울시 빅데이터 활용 경진대회 분석 부문</w:t>
      </w:r>
    </w:p>
    <w:p>
      <w:pPr>
        <w:jc w:val="center"/>
      </w:pPr>
      <w:r>
        <w:rPr>
          <w:rFonts w:ascii="맑은 고딕" w:hAnsi="맑은 고딕" w:eastAsia="맑은 고딕"/>
          <w:color w:val="4F5B66"/>
          <w:sz w:val="20"/>
        </w:rPr>
        <w:t>참 가 신 청 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팀명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[팀명]</w:t>
            </w:r>
          </w:p>
        </w:tc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개인 참가자는 성명 기재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[대표자 성명]</w:t>
            </w:r>
          </w:p>
        </w:tc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성별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[성별]</w:t>
            </w:r>
          </w:p>
        </w:tc>
      </w:tr>
      <w:tr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[YYYY.MM.DD]</w:t>
            </w:r>
          </w:p>
        </w:tc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전화번호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[전화번호]</w:t>
            </w:r>
          </w:p>
        </w:tc>
      </w:tr>
      <w:tr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[주민등록상 주소]</w:t>
            </w:r>
          </w:p>
        </w:tc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이메일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[이메일]</w:t>
            </w:r>
          </w:p>
        </w:tc>
      </w:tr>
      <w:tr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[직장 또는 학교명]</w:t>
            </w:r>
          </w:p>
        </w:tc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팀원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[팀원 성명/역할]</w:t>
            </w:r>
          </w:p>
        </w:tc>
      </w:tr>
      <w:tr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공모전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2026 빅데이터 활용 경진대회 분석부문</w:t>
            </w:r>
          </w:p>
        </w:tc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분석명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실시간 도시데이터 기반 서울 상권 활력 예측 및 의사결정 지원</w:t>
            </w:r>
          </w:p>
        </w:tc>
      </w:tr>
      <w:tr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제출물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분석결과서(PPT), 분석요약서, 소스 및 데이터</w:t>
            </w:r>
          </w:p>
        </w:tc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동의함</w:t>
            </w:r>
          </w:p>
        </w:tc>
      </w:tr>
      <w:tr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작성일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2026.    .    .</w:t>
            </w:r>
          </w:p>
        </w:tc>
        <w:tc>
          <w:tcPr>
            <w:tcW w:type="dxa" w:w="2606"/>
            <w:shd w:fill="16655C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대표자</w:t>
            </w:r>
          </w:p>
        </w:tc>
        <w:tc>
          <w:tcPr>
            <w:tcW w:type="dxa" w:w="2606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[서명]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color w:val="16655C"/>
          <w:sz w:val="23"/>
        </w:rPr>
        <w:t>추진배경 및 필요성</w:t>
      </w:r>
    </w:p>
    <w:p>
      <w:pPr>
        <w:spacing w:after="30"/>
        <w:ind w:left="255" w:hanging="142"/>
      </w:pPr>
      <w:r>
        <w:rPr>
          <w:rFonts w:ascii="맑은 고딕" w:hAnsi="맑은 고딕" w:eastAsia="맑은 고딕"/>
          <w:sz w:val="18"/>
        </w:rPr>
        <w:t>• 상권·관광지의 시간대별 활력은 인구, 소비, 날씨, 교통, 행사 요인이 동시에 작용해 빠르게 변화한다.</w:t>
      </w:r>
    </w:p>
    <w:p>
      <w:pPr>
        <w:spacing w:after="30"/>
        <w:ind w:left="255" w:hanging="142"/>
      </w:pPr>
      <w:r>
        <w:rPr>
          <w:rFonts w:ascii="맑은 고딕" w:hAnsi="맑은 고딕" w:eastAsia="맑은 고딕"/>
          <w:sz w:val="18"/>
        </w:rPr>
        <w:t>• 정적 상권 지표와 실시간 도시데이터를 결합하여 현장 운영 및 공공정책 의사결정에 바로 활용할 수 있는 격자 단위 점수가 필요하다.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6655C"/>
          <w:sz w:val="23"/>
        </w:rPr>
        <w:t>분석내용(투입데이터)</w:t>
      </w:r>
    </w:p>
    <w:p>
      <w:pPr>
        <w:spacing w:after="30"/>
        <w:ind w:left="255" w:hanging="142"/>
      </w:pPr>
      <w:r>
        <w:rPr>
          <w:rFonts w:ascii="맑은 고딕" w:hAnsi="맑은 고딕" w:eastAsia="맑은 고딕"/>
          <w:sz w:val="18"/>
        </w:rPr>
        <w:t>• 서울 50m 격자 단위로 유동인구, 카드 소비, 강우, 교통 접근성, 임대료 proxy 등 평시 상권 특성을 구성했다.</w:t>
      </w:r>
    </w:p>
    <w:p>
      <w:pPr>
        <w:spacing w:after="30"/>
        <w:ind w:left="255" w:hanging="142"/>
      </w:pPr>
      <w:r>
        <w:rPr>
          <w:rFonts w:ascii="맑은 고딕" w:hAnsi="맑은 고딕" w:eastAsia="맑은 고딕"/>
          <w:sz w:val="18"/>
        </w:rPr>
        <w:t>• 서울 실시간 도시데이터 API의 인구·교통·날씨·행사 신호를 장소-grid 매핑으로 변환했다.</w:t>
      </w:r>
    </w:p>
    <w:p>
      <w:pPr>
        <w:spacing w:after="30"/>
        <w:ind w:left="255" w:hanging="142"/>
      </w:pPr>
      <w:r>
        <w:rPr>
          <w:rFonts w:ascii="맑은 고딕" w:hAnsi="맑은 고딕" w:eastAsia="맑은 고딕"/>
          <w:sz w:val="18"/>
        </w:rPr>
        <w:t>• Base MLP와 Correction LSTM을 결합해 final_score를 산출하고, 직접 관측 및 전파 추정 격자를 구분했다.</w:t>
      </w:r>
    </w:p>
    <w:p>
      <w:pPr>
        <w:spacing w:after="30"/>
        <w:ind w:left="255" w:hanging="142"/>
      </w:pPr>
      <w:r>
        <w:rPr>
          <w:rFonts w:ascii="맑은 고딕" w:hAnsi="맑은 고딕" w:eastAsia="맑은 고딕"/>
          <w:sz w:val="18"/>
        </w:rPr>
        <w:t>• 분석 범위는 337개 격자, 직접 실시간 관측 20개 격자, 주요 장소 8개이다.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6655C"/>
          <w:sz w:val="23"/>
        </w:rPr>
        <w:t>활용방안 및 기대효과</w:t>
      </w:r>
    </w:p>
    <w:p>
      <w:pPr>
        <w:spacing w:after="30"/>
        <w:ind w:left="255" w:hanging="142"/>
      </w:pPr>
      <w:r>
        <w:rPr>
          <w:rFonts w:ascii="맑은 고딕" w:hAnsi="맑은 고딕" w:eastAsia="맑은 고딕"/>
          <w:sz w:val="18"/>
        </w:rPr>
        <w:t>• 상권 활력 상위·변동 지역을 파악해 관광 동선, 혼잡 완화, 소상공인 지원, 현장 인력 배치에 활용한다.</w:t>
      </w:r>
    </w:p>
    <w:p>
      <w:pPr>
        <w:spacing w:after="30"/>
        <w:ind w:left="255" w:hanging="142"/>
      </w:pPr>
      <w:r>
        <w:rPr>
          <w:rFonts w:ascii="맑은 고딕" w:hAnsi="맑은 고딕" w:eastAsia="맑은 고딕"/>
          <w:sz w:val="18"/>
        </w:rPr>
        <w:t>• 실시간 보정 체계를 통해 날씨·행사·교통 변화에 따른 상권 반응을 빠르게 재계산할 수 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6655C"/>
          <w:sz w:val="23"/>
        </w:rPr>
        <w:t>준수사항</w:t>
      </w:r>
    </w:p>
    <w:p>
      <w:pPr>
        <w:spacing w:line="259" w:lineRule="auto" w:after="40"/>
      </w:pPr>
      <w:r>
        <w:rPr>
          <w:rFonts w:ascii="맑은 고딕" w:hAnsi="맑은 고딕" w:eastAsia="맑은 고딕"/>
          <w:sz w:val="19"/>
        </w:rPr>
        <w:t>본 신청서는 제공 양식의 주요 항목을 기준으로 작성한 초안입니다. 팀명, 대표자, 연락처, 주소, 소속, 팀원 정보 및 서명은 제출 전 참가자가 직접 확인·기입해야 합니다.</w:t>
      </w:r>
    </w:p>
    <w:p>
      <w:pPr>
        <w:spacing w:line="259" w:lineRule="auto" w:after="40"/>
      </w:pPr>
      <w:r>
        <w:rPr>
          <w:rFonts w:ascii="맑은 고딕" w:hAnsi="맑은 고딕" w:eastAsia="맑은 고딕"/>
          <w:sz w:val="19"/>
        </w:rPr>
        <w:t>대회 제반 규정을 준수하며, 제출 산출물의 권리·공개·교육 활용 관련 동의 여부는 제출 전 최종 확인합니다.</w:t>
      </w:r>
    </w:p>
    <w:sectPr w:rsidR="00FC693F" w:rsidRPr="0006063C" w:rsidSect="00034616"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