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" w:line="240" w:lineRule="auto"/>
      </w:pPr>
      <w:r>
        <w:rPr>
          <w:rFonts w:ascii="Microsoft JhengHei" w:hAnsi="Microsoft JhengHei" w:eastAsia="Microsoft JhengHei"/>
          <w:b/>
          <w:color w:val="17365D"/>
          <w:sz w:val="36"/>
        </w:rPr>
        <w:t>WHID 第二階段｜指標定義與判讀速查</w:t>
      </w:r>
    </w:p>
    <w:p>
      <w:pPr>
        <w:keepNext/>
        <w:spacing w:before="0" w:after="120" w:line="240" w:lineRule="auto"/>
      </w:pPr>
      <w:r>
        <w:rPr>
          <w:rFonts w:ascii="Microsoft JhengHei" w:hAnsi="Microsoft JhengHei" w:eastAsia="Microsoft JhengHei"/>
          <w:b w:val="0"/>
          <w:color w:val="595959"/>
          <w:sz w:val="19"/>
        </w:rPr>
        <w:t>台股 TW／美股 US · 時機研究版 · 三層趨勢升級</w:t>
      </w:r>
    </w:p>
    <w:p>
      <w:pPr>
        <w:keepNext/>
        <w:spacing w:before="0" w:after="60" w:line="240" w:lineRule="auto"/>
      </w:pPr>
      <w:r>
        <w:rPr>
          <w:rFonts w:ascii="Microsoft JhengHei" w:hAnsi="Microsoft JhengHei" w:eastAsia="Microsoft JhengHei"/>
          <w:b/>
          <w:color w:val="17365D"/>
          <w:sz w:val="23"/>
        </w:rPr>
        <w:t>1　趨勢：方向如何形成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260"/>
        <w:gridCol w:w="4000"/>
        <w:gridCol w:w="2200"/>
      </w:tblGrid>
      <w:tr>
        <w:trPr>
          <w:tblHeader/>
        </w:trPr>
        <w:tc>
          <w:tcPr>
            <w:tcW w:type="dxa" w:w="9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17365D"/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層級</w:t>
            </w:r>
          </w:p>
        </w:tc>
        <w:tc>
          <w:tcPr>
            <w:tcW w:type="dxa" w:w="226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17365D"/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使用資料</w:t>
            </w:r>
          </w:p>
        </w:tc>
        <w:tc>
          <w:tcPr>
            <w:tcW w:type="dxa" w:w="40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17365D"/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判讀定義</w:t>
            </w:r>
          </w:p>
        </w:tc>
        <w:tc>
          <w:tcPr>
            <w:tcW w:type="dxa" w:w="22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17365D"/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目前用途</w:t>
            </w:r>
          </w:p>
        </w:tc>
      </w:tr>
      <w:tr>
        <w:tc>
          <w:tcPr>
            <w:tcW w:type="dxa" w:w="9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8EEF5"/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sz w:val="16"/>
              </w:rPr>
              <w:t>短期</w:t>
            </w:r>
          </w:p>
        </w:tc>
        <w:tc>
          <w:tcPr>
            <w:tcW w:type="dxa" w:w="226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16"/>
              </w:rPr>
              <w:t>5日線／20日線；20日線與3個交易日前比較</w:t>
            </w:r>
          </w:p>
        </w:tc>
        <w:tc>
          <w:tcPr>
            <w:tcW w:type="dxa" w:w="40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16"/>
              </w:rPr>
              <w:t>多頭：收盤＞5日線＞20日線，且20日線上升。轉弱：收盤＜20日線或5日線＜20日線。</w:t>
            </w:r>
          </w:p>
        </w:tc>
        <w:tc>
          <w:tcPr>
            <w:tcW w:type="dxa" w:w="22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16"/>
              </w:rPr>
              <w:t>觀察進場節奏；目前不改變建議。</w:t>
            </w:r>
          </w:p>
        </w:tc>
      </w:tr>
      <w:tr>
        <w:tc>
          <w:tcPr>
            <w:tcW w:type="dxa" w:w="9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8EEF5"/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sz w:val="16"/>
              </w:rPr>
              <w:t>中期</w:t>
            </w:r>
          </w:p>
        </w:tc>
        <w:tc>
          <w:tcPr>
            <w:tcW w:type="dxa" w:w="226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16"/>
              </w:rPr>
              <w:t>20日線／60日線；60日線與5個交易日前比較</w:t>
            </w:r>
          </w:p>
        </w:tc>
        <w:tc>
          <w:tcPr>
            <w:tcW w:type="dxa" w:w="40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16"/>
              </w:rPr>
              <w:t>多頭：收盤＞20日線＞60日線，且60日線上升。轉弱：收盤＜60日線或20日線＜60日線。</w:t>
            </w:r>
          </w:p>
        </w:tc>
        <w:tc>
          <w:tcPr>
            <w:tcW w:type="dxa" w:w="22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16"/>
              </w:rPr>
              <w:t>目前進場、退出與回測核心。</w:t>
            </w:r>
          </w:p>
        </w:tc>
      </w:tr>
      <w:tr>
        <w:tc>
          <w:tcPr>
            <w:tcW w:type="dxa" w:w="9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8EEF5"/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sz w:val="16"/>
              </w:rPr>
              <w:t>長期</w:t>
            </w:r>
          </w:p>
        </w:tc>
        <w:tc>
          <w:tcPr>
            <w:tcW w:type="dxa" w:w="226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16"/>
              </w:rPr>
              <w:t>120日線／240日線；240日線與20個交易日前比較</w:t>
            </w:r>
          </w:p>
        </w:tc>
        <w:tc>
          <w:tcPr>
            <w:tcW w:type="dxa" w:w="40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16"/>
              </w:rPr>
              <w:t>多頭：收盤＞120日線＞240日線，且240日線上升。轉弱：收盤＜240日線或120日線＜240日線。</w:t>
            </w:r>
          </w:p>
        </w:tc>
        <w:tc>
          <w:tcPr>
            <w:tcW w:type="dxa" w:w="22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sz w:val="16"/>
              </w:rPr>
              <w:t>辨識長期結構；目前只作參考。</w:t>
            </w:r>
          </w:p>
        </w:tc>
      </w:tr>
    </w:tbl>
    <w:p>
      <w:pPr>
        <w:keepNext/>
        <w:spacing w:before="0" w:after="0" w:line="240" w:lineRule="auto"/>
      </w:pPr>
      <w:r>
        <w:rPr>
          <w:rFonts w:ascii="Microsoft JhengHei" w:hAnsi="Microsoft JhengHei" w:eastAsia="Microsoft JhengHei"/>
          <w:b/>
          <w:color w:val="17365D"/>
          <w:sz w:val="23"/>
        </w:rPr>
        <w:t>2　籌碼K線／量價：台美股資料不同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2F4F7"/>
          </w:tcPr>
          <w:p>
            <w:pPr>
              <w:spacing w:before="0" w:after="0" w:line="240" w:lineRule="auto"/>
            </w:pPr>
            <w:r>
              <w:rPr>
                <w:rFonts w:ascii="Microsoft JhengHei" w:hAnsi="Microsoft JhengHei" w:eastAsia="Microsoft JhengHei"/>
                <w:b/>
                <w:color w:val="17365D"/>
                <w:sz w:val="16"/>
              </w:rPr>
              <w:t xml:space="preserve">台股｜FinMind 籌碼K線　</w:t>
            </w:r>
            <w:r>
              <w:rPr>
                <w:rFonts w:ascii="Microsoft JhengHei" w:hAnsi="Microsoft JhengHei" w:eastAsia="Microsoft JhengHei"/>
                <w:b w:val="0"/>
                <w:sz w:val="16"/>
              </w:rPr>
              <w:t>法人與自營商近5日方向，加上融資融券、借券成交及可用的券商分點。分數以50為中性；融資隨股價增加10%標示過熱，借券占量5%標示偏高。分點需 sponsor 權限，缺少時自動降級；目前不改變交易建議。</w:t>
            </w:r>
          </w:p>
          <w:p>
            <w:pPr>
              <w:keepNext w:val="0"/>
              <w:spacing w:before="0" w:after="0" w:line="245" w:lineRule="auto"/>
            </w:pPr>
            <w:r>
              <w:rPr>
                <w:rFonts w:ascii="Microsoft JhengHei" w:hAnsi="Microsoft JhengHei" w:eastAsia="Microsoft JhengHei"/>
                <w:b/>
                <w:color w:val="17365D"/>
                <w:sz w:val="17"/>
              </w:rPr>
              <w:t xml:space="preserve">台股｜FinMind 法人　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外資與投信各自計算近5個交易日淨買賣合計，並延後1個交易日使用。兩者同正＝同步買超；同負＝同步賣超；缺日不補零。法人淨買占成交量比只作詳細參考。</w:t>
            </w:r>
          </w:p>
        </w:tc>
        <w:tc>
          <w:tcPr>
            <w:tcW w:type="dxa" w:w="468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2F4F7"/>
          </w:tcPr>
          <w:p>
            <w:r/>
          </w:p>
          <w:p>
            <w:pPr>
              <w:keepNext w:val="0"/>
              <w:spacing w:before="0" w:after="0" w:line="245" w:lineRule="auto"/>
            </w:pPr>
            <w:r>
              <w:rPr>
                <w:rFonts w:ascii="Microsoft JhengHei" w:hAnsi="Microsoft JhengHei" w:eastAsia="Microsoft JhengHei"/>
                <w:b/>
                <w:color w:val="17365D"/>
                <w:sz w:val="17"/>
              </w:rPr>
              <w:t xml:space="preserve">美股｜Yahoo 量價代理　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20日 CMF＞0.05 且帶方向成交量比＞0＝偏強；兩者反向達門檻＝偏弱。另以 SPY 判斷市場環境。這不是每日機構買賣超，也不是13F。</w:t>
            </w:r>
          </w:p>
        </w:tc>
      </w:tr>
    </w:tbl>
    <w:p>
      <w:pPr>
        <w:keepNext/>
        <w:spacing w:before="100" w:after="40" w:line="240" w:lineRule="auto"/>
      </w:pPr>
      <w:r>
        <w:rPr>
          <w:rFonts w:ascii="Microsoft JhengHei" w:hAnsi="Microsoft JhengHei" w:eastAsia="Microsoft JhengHei"/>
          <w:b/>
          <w:color w:val="17365D"/>
          <w:sz w:val="23"/>
        </w:rPr>
        <w:t>3　風險、ATR 與交易條件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2F4F7"/>
          </w:tcPr>
          <w:p>
            <w:r/>
          </w:p>
          <w:p>
            <w:pPr>
              <w:keepNext w:val="0"/>
              <w:spacing w:before="0" w:after="0" w:line="245" w:lineRule="auto"/>
            </w:pPr>
            <w:r>
              <w:rPr>
                <w:rFonts w:ascii="Microsoft JhengHei" w:hAnsi="Microsoft JhengHei" w:eastAsia="Microsoft JhengHei"/>
                <w:b/>
                <w:color w:val="17365D"/>
                <w:sz w:val="17"/>
              </w:rPr>
              <w:t>風險標籤｜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ATR比例＞6%＝波動偏高；20日均成交金額低於門檻＝流動性偏低；現價高於20日線超過10%＝偏離過大。未觸發門檻不等於無風險。</w:t>
            </w:r>
          </w:p>
        </w:tc>
        <w:tc>
          <w:tcPr>
            <w:tcW w:type="dxa" w:w="468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2F4F7"/>
          </w:tcPr>
          <w:p>
            <w:r/>
          </w:p>
          <w:p>
            <w:pPr>
              <w:keepNext w:val="0"/>
              <w:spacing w:before="0" w:after="0" w:line="245" w:lineRule="auto"/>
            </w:pPr>
            <w:r>
              <w:rPr>
                <w:rFonts w:ascii="Microsoft JhengHei" w:hAnsi="Microsoft JhengHei" w:eastAsia="Microsoft JhengHei"/>
                <w:b/>
                <w:color w:val="17365D"/>
                <w:sz w:val="17"/>
              </w:rPr>
              <w:t>ATR風險參考價｜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現價－2×ATR(14)。表示超出近期一般波動的下方參考區；不是成本停損、支撐價或保證成交價。現行回測仍用固定8%停損。</w:t>
            </w:r>
          </w:p>
        </w:tc>
      </w:tr>
    </w:tbl>
    <w:p>
      <w:pPr>
        <w:keepNext/>
        <w:spacing w:before="100" w:after="40" w:line="240" w:lineRule="auto"/>
      </w:pPr>
      <w:r>
        <w:rPr>
          <w:rFonts w:ascii="Microsoft JhengHei" w:hAnsi="Microsoft JhengHei" w:eastAsia="Microsoft JhengHei"/>
          <w:b/>
          <w:color w:val="17365D"/>
          <w:sz w:val="23"/>
        </w:rPr>
        <w:t>4　AI 與外部指數成分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FFF2CC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sz w:val="17"/>
              </w:rPr>
              <w:t>AI研究機率｜以訊號日ATR(14)固定門檻，觀察未來10個交易日：先到收盤價＋1.5×ATR＝上行先觸；先到收盤價－1.0×ATR＝下行先觸；皆未到＝盤整；同日雙觸保守列為下行。三類機率合計100%。Logistic＋XGBoost為基準集成，LSTM為挑戰模型。所有AI結果只作研究，不改寫交易建議；能產生機率不代表樣本外有效。</w:t>
            </w:r>
          </w:p>
        </w:tc>
        <w:tc>
          <w:tcPr>
            <w:tcW w:type="dxa" w:w="468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8EEF5"/>
          </w:tcPr>
          <w:p>
            <w:r/>
          </w:p>
          <w:p>
            <w:pPr>
              <w:keepNext w:val="0"/>
              <w:spacing w:before="0" w:after="0" w:line="245" w:lineRule="auto"/>
            </w:pPr>
            <w:r>
              <w:rPr>
                <w:rFonts w:ascii="Microsoft JhengHei" w:hAnsi="Microsoft JhengHei" w:eastAsia="Microsoft JhengHei"/>
                <w:b/>
                <w:color w:val="17365D"/>
                <w:sz w:val="17"/>
              </w:rPr>
              <w:t>指數成分建議｜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可加入 MSCI／FTSE、S&amp;P 500、Nasdaq-100、Russell 等成分與調整事件，作為獨立的資金流背景。保留公告日、施行日與新增／刪除；先不納入分數或硬性進場門檻。</w:t>
            </w:r>
          </w:p>
        </w:tc>
      </w:tr>
    </w:tbl>
    <w:p>
      <w:pPr>
        <w:keepNext/>
        <w:spacing w:before="100" w:after="40" w:line="240" w:lineRule="auto"/>
      </w:pPr>
      <w:r>
        <w:rPr>
          <w:rFonts w:ascii="Microsoft JhengHei" w:hAnsi="Microsoft JhengHei" w:eastAsia="Microsoft JhengHei"/>
          <w:b/>
          <w:color w:val="17365D"/>
          <w:sz w:val="23"/>
        </w:rPr>
        <w:t>5　市場情緒、融資壓力與新聞研究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260"/>
        <w:gridCol w:w="4000"/>
        <w:gridCol w:w="2200"/>
      </w:tblGrid>
      <w:tr>
        <w:trPr>
          <w:tblHeader/>
        </w:trPr>
        <w:tc>
          <w:tcPr>
            <w:tcW w:type="dxa" w:w="9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17365D"/>
          </w:tcPr>
          <w:p>
            <w:r>
              <w:t>指標</w:t>
            </w:r>
          </w:p>
        </w:tc>
        <w:tc>
          <w:tcPr>
            <w:tcW w:type="dxa" w:w="226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17365D"/>
          </w:tcPr>
          <w:p>
            <w:r>
              <w:t>判讀定義</w:t>
            </w:r>
          </w:p>
        </w:tc>
        <w:tc>
          <w:tcPr>
            <w:tcW w:type="dxa" w:w="40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17365D"/>
          </w:tcPr>
          <w:p>
            <w:r>
              <w:t>資料來源</w:t>
            </w:r>
          </w:p>
        </w:tc>
        <w:tc>
          <w:tcPr>
            <w:tcW w:type="dxa" w:w="22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17365D"/>
          </w:tcPr>
          <w:p>
            <w:r>
              <w:t>目前用途</w:t>
            </w:r>
          </w:p>
        </w:tc>
      </w:tr>
      <w:tr>
        <w:tc>
          <w:tcPr>
            <w:tcW w:type="dxa" w:w="9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8EEF5"/>
          </w:tcPr>
          <w:p>
            <w:r>
              <w:t>市場情緒</w:t>
            </w:r>
          </w:p>
        </w:tc>
        <w:tc>
          <w:tcPr>
            <w:tcW w:type="dxa" w:w="226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>
              <w:t>TW：TAIEX 20日報酬、60日線與大盤融資金額。US：SPY 20日報酬、60日線、VIX水準與20日變化。形成0–100分。</w:t>
            </w:r>
          </w:p>
        </w:tc>
        <w:tc>
          <w:tcPr>
            <w:tcW w:type="dxa" w:w="40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>
              <w:t>TW FinMind；US Yahoo</w:t>
            </w:r>
          </w:p>
        </w:tc>
        <w:tc>
          <w:tcPr>
            <w:tcW w:type="dxa" w:w="22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>
              <w:t>65以上偏多、35以下偏空；僅研究參考。</w:t>
            </w:r>
          </w:p>
        </w:tc>
      </w:tr>
      <w:tr>
        <w:tc>
          <w:tcPr>
            <w:tcW w:type="dxa" w:w="9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8EEF5"/>
          </w:tcPr>
          <w:p>
            <w:r>
              <w:t>個股情緒／融資壓力</w:t>
            </w:r>
          </w:p>
        </w:tc>
        <w:tc>
          <w:tcPr>
            <w:tcW w:type="dxa" w:w="226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>
              <w:t>TW以籌碼K線、中期趨勢、RSI形成個股情緒，並以融資近5日變化、過熱及限額使用率標示壓力。US以CMF、帶方向成交量、趨勢及相對SPY報酬形成。</w:t>
            </w:r>
          </w:p>
        </w:tc>
        <w:tc>
          <w:tcPr>
            <w:tcW w:type="dxa" w:w="40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>
              <w:t>TW FinMind；US Yahoo</w:t>
            </w:r>
          </w:p>
        </w:tc>
        <w:tc>
          <w:tcPr>
            <w:tcW w:type="dxa" w:w="22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>
              <w:t>不改交易建議。公開資料不能還原實際融資維持率。</w:t>
            </w:r>
          </w:p>
        </w:tc>
      </w:tr>
      <w:tr>
        <w:tc>
          <w:tcPr>
            <w:tcW w:type="dxa" w:w="9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  <w:shd w:fill="E8EEF5"/>
          </w:tcPr>
          <w:p>
            <w:r>
              <w:t>新聞情緒</w:t>
            </w:r>
          </w:p>
        </w:tc>
        <w:tc>
          <w:tcPr>
            <w:tcW w:type="dxa" w:w="226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>
              <w:t>Yahoo近期標題／摘要以透明關鍵字分類，優先統計相關代號包含該股的文章；逐篇保存來源、時間、網址、相關性與分數。</w:t>
            </w:r>
          </w:p>
        </w:tc>
        <w:tc>
          <w:tcPr>
            <w:tcW w:type="dxa" w:w="40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>
              <w:t>Yahoo Finance</w:t>
            </w:r>
          </w:p>
        </w:tc>
        <w:tc>
          <w:tcPr>
            <w:tcW w:type="dxa" w:w="2200"/>
            <w:vAlign w:val="cente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r>
              <w:t>每日封存，30日後以個股報酬減同期TAIEX／SPY報酬驗證；目前不視為因果或AI特徵。</w:t>
            </w:r>
          </w:p>
        </w:tc>
      </w:tr>
    </w:tbl>
    <w:p>
      <w:pPr>
        <w:keepNext w:val="0"/>
        <w:spacing w:before="0" w:after="0" w:line="240" w:lineRule="auto"/>
      </w:pPr>
      <w:r>
        <w:t>讀表原則：短、長期趨勢、籌碼K線、市場／個股／新聞情緒與融資壓力先作研究說明；現行交易建議仍由中期趨勢＋既有籌碼／量價＋風險門檻形成。新增欄位需累積樣本後再決定是否調整。</w:t>
      </w:r>
    </w:p>
    <w:sectPr w:rsidR="00FC693F" w:rsidRPr="0006063C" w:rsidSect="00034616">
      <w:pgSz w:w="12240" w:h="15840"/>
      <w:pgMar w:top="893" w:right="1440" w:bottom="835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Microsoft JhengHei" w:hAnsi="Microsoft JhengHei" w:eastAsia="Microsoft Jheng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WHID 第二階段指標定義與判讀速查</dc:title>
  <dc:subject>台股與美股時機研究版指標說明；含FinMind籌碼K線</dc:subject>
  <dc:creator>WHID Research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