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Microsoft JhengHei" w:hAnsi="Microsoft JhengHei" w:eastAsia="Microsoft JhengHei"/>
          <w:b/>
          <w:color w:val="17365D"/>
          <w:sz w:val="36"/>
        </w:rPr>
        <w:t>WHID 第二階段｜指標定義與判讀速查</w:t>
      </w:r>
    </w:p>
    <w:p>
      <w:pPr>
        <w:keepNext/>
        <w:spacing w:before="0" w:after="120" w:line="240" w:lineRule="auto"/>
      </w:pPr>
      <w:r>
        <w:rPr>
          <w:rFonts w:ascii="Microsoft JhengHei" w:hAnsi="Microsoft JhengHei" w:eastAsia="Microsoft JhengHei"/>
          <w:b w:val="0"/>
          <w:color w:val="595959"/>
          <w:sz w:val="19"/>
        </w:rPr>
        <w:t>台股 TW／美股 US · 時機研究版 · 三層趨勢升級</w:t>
      </w:r>
    </w:p>
    <w:p>
      <w:pPr>
        <w:keepNext/>
        <w:spacing w:before="0" w:after="60" w:line="240" w:lineRule="auto"/>
      </w:pPr>
      <w:r>
        <w:rPr>
          <w:rFonts w:ascii="Microsoft JhengHei" w:hAnsi="Microsoft JhengHei" w:eastAsia="Microsoft JhengHei"/>
          <w:b/>
          <w:color w:val="17365D"/>
          <w:sz w:val="23"/>
        </w:rPr>
        <w:t>1　趨勢：方向如何形成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60"/>
        <w:gridCol w:w="4000"/>
        <w:gridCol w:w="2200"/>
      </w:tblGrid>
      <w:tr>
        <w:trPr>
          <w:tblHeader/>
        </w:trPr>
        <w:tc>
          <w:tcPr>
            <w:tcW w:type="dxa" w:w="9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17365D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層級</w:t>
            </w:r>
          </w:p>
        </w:tc>
        <w:tc>
          <w:tcPr>
            <w:tcW w:type="dxa" w:w="226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17365D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使用資料</w:t>
            </w:r>
          </w:p>
        </w:tc>
        <w:tc>
          <w:tcPr>
            <w:tcW w:type="dxa" w:w="40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17365D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判讀定義</w:t>
            </w:r>
          </w:p>
        </w:tc>
        <w:tc>
          <w:tcPr>
            <w:tcW w:type="dxa" w:w="2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17365D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目前用途</w:t>
            </w:r>
          </w:p>
        </w:tc>
      </w:tr>
      <w:tr>
        <w:tc>
          <w:tcPr>
            <w:tcW w:type="dxa" w:w="9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短期</w:t>
            </w:r>
          </w:p>
        </w:tc>
        <w:tc>
          <w:tcPr>
            <w:tcW w:type="dxa" w:w="226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5日線／20日線；20日線與3個交易日前比較</w:t>
            </w:r>
          </w:p>
        </w:tc>
        <w:tc>
          <w:tcPr>
            <w:tcW w:type="dxa" w:w="40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多頭：收盤＞5日線＞20日線，且20日線上升。轉弱：收盤＜20日線或5日線＜20日線。</w:t>
            </w:r>
          </w:p>
        </w:tc>
        <w:tc>
          <w:tcPr>
            <w:tcW w:type="dxa" w:w="2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觀察進場節奏；目前不改變建議。</w:t>
            </w:r>
          </w:p>
        </w:tc>
      </w:tr>
      <w:tr>
        <w:tc>
          <w:tcPr>
            <w:tcW w:type="dxa" w:w="9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中期</w:t>
            </w:r>
          </w:p>
        </w:tc>
        <w:tc>
          <w:tcPr>
            <w:tcW w:type="dxa" w:w="226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20日線／60日線；60日線與5個交易日前比較</w:t>
            </w:r>
          </w:p>
        </w:tc>
        <w:tc>
          <w:tcPr>
            <w:tcW w:type="dxa" w:w="40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多頭：收盤＞20日線＞60日線，且60日線上升。轉弱：收盤＜60日線或20日線＜60日線。</w:t>
            </w:r>
          </w:p>
        </w:tc>
        <w:tc>
          <w:tcPr>
            <w:tcW w:type="dxa" w:w="2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目前進場、退出與回測核心。</w:t>
            </w:r>
          </w:p>
        </w:tc>
      </w:tr>
      <w:tr>
        <w:tc>
          <w:tcPr>
            <w:tcW w:type="dxa" w:w="9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長期</w:t>
            </w:r>
          </w:p>
        </w:tc>
        <w:tc>
          <w:tcPr>
            <w:tcW w:type="dxa" w:w="226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120日線／240日線；240日線與20個交易日前比較</w:t>
            </w:r>
          </w:p>
        </w:tc>
        <w:tc>
          <w:tcPr>
            <w:tcW w:type="dxa" w:w="40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多頭：收盤＞120日線＞240日線，且240日線上升。轉弱：收盤＜240日線或120日線＜240日線。</w:t>
            </w:r>
          </w:p>
        </w:tc>
        <w:tc>
          <w:tcPr>
            <w:tcW w:type="dxa" w:w="2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辨識長期結構；目前只作參考。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Microsoft JhengHei" w:hAnsi="Microsoft JhengHei" w:eastAsia="Microsoft JhengHei"/>
          <w:b/>
          <w:color w:val="17365D"/>
          <w:sz w:val="23"/>
        </w:rPr>
        <w:t>2　籌碼K線／量價：台美股資料不同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6"/>
              </w:rPr>
              <w:t xml:space="preserve">台股｜FinMind 籌碼K線　</w:t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法人與自營商近5日方向，加上融資融券、借券成交及可用的券商分點。分數以50為中性；融資隨股價增加10%標示過熱，借券占量5%標示偏高。分點需 sponsor 權限，缺少時自動降級；目前不改變交易建議。</w:t>
            </w:r>
          </w:p>
          <w:p>
            <w:pPr>
              <w:keepNext w:val="0"/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7"/>
              </w:rPr>
              <w:t xml:space="preserve">台股｜FinMind 法人　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>外資與投信各自計算近5個交易日淨買賣合計，並延後1個交易日使用。兩者同正＝同步買超；同負＝同步賣超；缺日不補零。法人淨買占成交量比只作詳細參考。</w:t>
            </w:r>
          </w:p>
        </w:tc>
        <w:tc>
          <w:tcPr>
            <w:tcW w:type="dxa" w:w="468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F2F4F7"/>
          </w:tcPr>
          <w:p>
            <w:r/>
          </w:p>
          <w:p>
            <w:pPr>
              <w:keepNext w:val="0"/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7"/>
              </w:rPr>
              <w:t xml:space="preserve">美股｜Yahoo 量價代理　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>20日 CMF＞0.05 且帶方向成交量比＞0＝偏強；兩者反向達門檻＝偏弱。另以 SPY 判斷市場環境。這不是每日機構買賣超，也不是13F。</w:t>
            </w:r>
          </w:p>
        </w:tc>
      </w:tr>
    </w:tbl>
    <w:p>
      <w:pPr>
        <w:keepNext/>
        <w:spacing w:before="100" w:after="40" w:line="240" w:lineRule="auto"/>
      </w:pPr>
      <w:r>
        <w:rPr>
          <w:rFonts w:ascii="Microsoft JhengHei" w:hAnsi="Microsoft JhengHei" w:eastAsia="Microsoft JhengHei"/>
          <w:b/>
          <w:color w:val="17365D"/>
          <w:sz w:val="23"/>
        </w:rPr>
        <w:t>3　風險、ATR 與交易條件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F2F4F7"/>
          </w:tcPr>
          <w:p>
            <w:r/>
          </w:p>
          <w:p>
            <w:pPr>
              <w:keepNext w:val="0"/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7"/>
              </w:rPr>
              <w:t>風險標籤｜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>ATR比例＞6%＝波動偏高；20日均成交金額低於門檻＝流動性偏低；現價高於20日線超過10%＝偏離過大。未觸發門檻不等於無風險。</w:t>
            </w:r>
          </w:p>
        </w:tc>
        <w:tc>
          <w:tcPr>
            <w:tcW w:type="dxa" w:w="468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F2F4F7"/>
          </w:tcPr>
          <w:p>
            <w:r/>
          </w:p>
          <w:p>
            <w:pPr>
              <w:keepNext w:val="0"/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7"/>
              </w:rPr>
              <w:t>ATR風險參考價｜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>現價－2×ATR(14)。表示超出近期一般波動的下方參考區；不是成本停損、支撐價或保證成交價。現行回測仍用固定8%停損。</w:t>
            </w:r>
          </w:p>
        </w:tc>
      </w:tr>
    </w:tbl>
    <w:p>
      <w:pPr>
        <w:keepNext/>
        <w:spacing w:before="100" w:after="40" w:line="240" w:lineRule="auto"/>
      </w:pPr>
      <w:r>
        <w:rPr>
          <w:rFonts w:ascii="Microsoft JhengHei" w:hAnsi="Microsoft JhengHei" w:eastAsia="Microsoft JhengHei"/>
          <w:b/>
          <w:color w:val="17365D"/>
          <w:sz w:val="23"/>
        </w:rPr>
        <w:t>4　AI 與外部指數成分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AI研究機率｜以訊號日ATR(14)固定門檻，觀察未來10個交易日：先到收盤價＋1.5×ATR＝上行先觸；先到收盤價－1.0×ATR＝下行先觸；皆未到＝盤整；同日雙觸保守列為下行。三類機率合計100%。Logistic＋XGBoost為基準集成，LSTM為挑戰模型。所有AI結果只作研究，不改寫交易建議；能產生機率不代表樣本外有效。</w:t>
            </w:r>
          </w:p>
        </w:tc>
        <w:tc>
          <w:tcPr>
            <w:tcW w:type="dxa" w:w="468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8EEF5"/>
          </w:tcPr>
          <w:p>
            <w:r/>
          </w:p>
          <w:p>
            <w:pPr>
              <w:keepNext w:val="0"/>
              <w:spacing w:before="0"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7"/>
              </w:rPr>
              <w:t>指數成分建議｜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>可加入 MSCI／FTSE、S&amp;P 500、Nasdaq-100、Russell 等成分與調整事件，作為獨立的資金流背景。保留公告日、施行日與新增／刪除；先不納入分數或硬性進場門檻。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Microsoft JhengHei" w:hAnsi="Microsoft JhengHei" w:eastAsia="Microsoft JhengHei"/>
          <w:b/>
          <w:color w:val="17365D"/>
          <w:sz w:val="16"/>
        </w:rPr>
        <w:t>讀表原則：短、長期趨勢、籌碼K線與指數成分先作研究說明；現行交易建議仍由中期趨勢＋外資投信＋風險門檻形成。</w:t>
      </w:r>
    </w:p>
    <w:sectPr w:rsidR="00FC693F" w:rsidRPr="0006063C" w:rsidSect="00034616">
      <w:pgSz w:w="12240" w:h="15840"/>
      <w:pgMar w:top="893" w:right="1440" w:bottom="835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WHID 第二階段指標定義與判讀速查</dc:title>
  <dc:subject>台股與美股時機研究版指標說明；含FinMind籌碼K線</dc:subject>
  <dc:creator>WHID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