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34C" w14:textId="0A59E5C4" w:rsidR="004A0E9F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Contractor: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Boeing.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First Flight: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Sept. 25, 2015 (KC-46A).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Delivered: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December 2018-present.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IOC: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FY24 (planned).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Production: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179 (planned).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Inventory: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52 (KC-46A).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Operator: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AFMC, AMC, ANG, Boeing.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Aircraft Location: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Altus AFB, Okla.; Edwards AFB, Calif.; McConnell AFB, Kan.; Paine Field, Wash.; Pease ANGB, N.H. Planned: JB McGuire-</w:t>
      </w:r>
      <w:proofErr w:type="spellStart"/>
      <w:r>
        <w:rPr>
          <w:rFonts w:ascii="Roboto" w:hAnsi="Roboto"/>
          <w:color w:val="616A6D"/>
          <w:sz w:val="27"/>
          <w:szCs w:val="27"/>
          <w:shd w:val="clear" w:color="auto" w:fill="FFFFFF"/>
        </w:rPr>
        <w:t>DixLakehurst</w:t>
      </w:r>
      <w:proofErr w:type="spellEnd"/>
      <w:r>
        <w:rPr>
          <w:rFonts w:ascii="Roboto" w:hAnsi="Roboto"/>
          <w:color w:val="616A6D"/>
          <w:sz w:val="27"/>
          <w:szCs w:val="27"/>
          <w:shd w:val="clear" w:color="auto" w:fill="FFFFFF"/>
        </w:rPr>
        <w:t>, N.J.; Seymour-Johnson AFB, N.C.; Travis AFB, Calif.; others TBD.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Active Variant: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•KC-46A. Modified Boeing 767 designed as a multirole cargo tanker.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Dimensions: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Span 156 ft, length 165.5 ft, height 52.8 ft.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Weight: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Max T-O 415,000 lb.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Power Plant: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 Two Pratt &amp; Whitney PW4062, each 62,000 </w:t>
      </w:r>
      <w:proofErr w:type="spellStart"/>
      <w:r>
        <w:rPr>
          <w:rFonts w:ascii="Roboto" w:hAnsi="Roboto"/>
          <w:color w:val="616A6D"/>
          <w:sz w:val="27"/>
          <w:szCs w:val="27"/>
          <w:shd w:val="clear" w:color="auto" w:fill="FFFFFF"/>
        </w:rPr>
        <w:t>lb</w:t>
      </w:r>
      <w:proofErr w:type="spellEnd"/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 thrust.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Performance: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Speed 650 mph, range 7,350 miles (farther with air refueling).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Ceiling: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43,000 ft.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Fuel Capacity: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 212,299 lb., max transfer load 207,672 </w:t>
      </w:r>
      <w:proofErr w:type="spellStart"/>
      <w:r>
        <w:rPr>
          <w:rFonts w:ascii="Roboto" w:hAnsi="Roboto"/>
          <w:color w:val="616A6D"/>
          <w:sz w:val="27"/>
          <w:szCs w:val="27"/>
          <w:shd w:val="clear" w:color="auto" w:fill="FFFFFF"/>
        </w:rPr>
        <w:t>lb</w:t>
      </w:r>
      <w:proofErr w:type="spellEnd"/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 at 1,200 </w:t>
      </w:r>
      <w:proofErr w:type="spellStart"/>
      <w:r>
        <w:rPr>
          <w:rFonts w:ascii="Roboto" w:hAnsi="Roboto"/>
          <w:color w:val="616A6D"/>
          <w:sz w:val="27"/>
          <w:szCs w:val="27"/>
          <w:shd w:val="clear" w:color="auto" w:fill="FFFFFF"/>
        </w:rPr>
        <w:t>gpm</w:t>
      </w:r>
      <w:proofErr w:type="spellEnd"/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 (boom), 400 </w:t>
      </w:r>
      <w:proofErr w:type="spellStart"/>
      <w:r>
        <w:rPr>
          <w:rFonts w:ascii="Roboto" w:hAnsi="Roboto"/>
          <w:color w:val="616A6D"/>
          <w:sz w:val="27"/>
          <w:szCs w:val="27"/>
          <w:shd w:val="clear" w:color="auto" w:fill="FFFFFF"/>
        </w:rPr>
        <w:t>gpm</w:t>
      </w:r>
      <w:proofErr w:type="spellEnd"/>
      <w:r>
        <w:rPr>
          <w:rFonts w:ascii="Roboto" w:hAnsi="Roboto"/>
          <w:color w:val="616A6D"/>
          <w:sz w:val="27"/>
          <w:szCs w:val="27"/>
          <w:shd w:val="clear" w:color="auto" w:fill="FFFFFF"/>
        </w:rPr>
        <w:t xml:space="preserve"> (drogue).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Accommodation: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Two pilots, boom operator, and up to 12 additional crew; 15 crew seats, incl AE crew.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Passenger Load: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58 or up to 114 for contingency operations. AE load: 58 patients (24 litters and 34 ambulatory).</w:t>
      </w:r>
      <w:r>
        <w:rPr>
          <w:rFonts w:ascii="Roboto" w:hAnsi="Roboto"/>
          <w:color w:val="616A6D"/>
          <w:sz w:val="27"/>
          <w:szCs w:val="27"/>
        </w:rPr>
        <w:br/>
      </w:r>
      <w:r>
        <w:rPr>
          <w:rFonts w:ascii="Roboto" w:hAnsi="Roboto"/>
          <w:b/>
          <w:bCs/>
          <w:color w:val="004889"/>
          <w:sz w:val="27"/>
          <w:szCs w:val="27"/>
          <w:shd w:val="clear" w:color="auto" w:fill="FFFFFF"/>
        </w:rPr>
        <w:t>Cargo Load:</w:t>
      </w:r>
      <w:r>
        <w:rPr>
          <w:rFonts w:ascii="Roboto" w:hAnsi="Roboto"/>
          <w:color w:val="616A6D"/>
          <w:sz w:val="27"/>
          <w:szCs w:val="27"/>
          <w:shd w:val="clear" w:color="auto" w:fill="FFFFFF"/>
        </w:rPr>
        <w:t> 18 pallet positions, max 65,000 lb.</w:t>
      </w:r>
    </w:p>
    <w:p w14:paraId="19006D2C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13E8EAD8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5753611C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7A67B83A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1FA2FE52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27105A50" w14:textId="77777777" w:rsidR="00ED3F67" w:rsidRPr="00ED3F67" w:rsidRDefault="00ED3F67" w:rsidP="00ED3F67">
      <w:pPr>
        <w:shd w:val="clear" w:color="auto" w:fill="FFFFFF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D3F67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Pratt &amp; Whitney PW4000</w:t>
      </w:r>
    </w:p>
    <w:p w14:paraId="59F5B9D1" w14:textId="77777777" w:rsidR="00ED3F67" w:rsidRDefault="00ED3F67" w:rsidP="00ED3F67">
      <w:pPr>
        <w:rPr>
          <w:rFonts w:ascii="Roboto" w:hAnsi="Roboto"/>
          <w:color w:val="616A6D"/>
          <w:sz w:val="27"/>
          <w:szCs w:val="27"/>
          <w:shd w:val="clear" w:color="auto" w:fill="FFFFFF"/>
        </w:rPr>
      </w:pPr>
    </w:p>
    <w:p w14:paraId="1F931D68" w14:textId="2324433A" w:rsidR="00ED3F67" w:rsidRDefault="00ED3F67" w:rsidP="00ED3F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Pratt &amp; Whitney PW4000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family of dual-spool, </w:t>
      </w:r>
      <w:hyperlink r:id="rId4" w:tooltip="Axial-flow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axial-flow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High-bypass turbof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high-bypass turbofan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aircraft engines produced by </w:t>
      </w:r>
      <w:hyperlink r:id="rId6" w:tooltip="Pratt &amp; Whitne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Pratt &amp; Whitney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the successor to the </w:t>
      </w:r>
      <w:hyperlink r:id="rId7" w:tooltip="JT9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JT9D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first run in April 1984, was FAA certified in July 1986, and was introduced in June 1987. With </w:t>
      </w:r>
      <w:hyperlink r:id="rId8" w:tooltip="Thrus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thrust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ranging from 50,000 to 99,040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lbf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(222 to 441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it is used on many </w:t>
      </w:r>
      <w:hyperlink r:id="rId9" w:tooltip="Wide-body aircraf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wide-body aircraft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9D1F866" w14:textId="77777777" w:rsidR="00ED3F67" w:rsidRDefault="00ED3F67" w:rsidP="00ED3F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7EDA0BF" w14:textId="77777777" w:rsidR="00ED3F67" w:rsidRDefault="00ED3F67" w:rsidP="00ED3F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8118BC9" w14:textId="77777777" w:rsidR="00ED3F67" w:rsidRDefault="00ED3F67" w:rsidP="00ED3F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AB114F" w14:textId="77777777" w:rsidR="00ED3F67" w:rsidRPr="00ED3F67" w:rsidRDefault="00ED3F67" w:rsidP="00ED3F67"/>
    <w:sectPr w:rsidR="00ED3F67" w:rsidRPr="00ED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9F"/>
    <w:rsid w:val="0011120B"/>
    <w:rsid w:val="002B50EF"/>
    <w:rsid w:val="00363735"/>
    <w:rsid w:val="004A0E9F"/>
    <w:rsid w:val="004E3D3F"/>
    <w:rsid w:val="00865459"/>
    <w:rsid w:val="00C57478"/>
    <w:rsid w:val="00E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992D"/>
  <w15:chartTrackingRefBased/>
  <w15:docId w15:val="{5E7EDFCA-A515-0A4E-903E-1F0EAD7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F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F6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F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ED3F67"/>
  </w:style>
  <w:style w:type="character" w:customStyle="1" w:styleId="Heading2Char">
    <w:name w:val="Heading 2 Char"/>
    <w:basedOn w:val="DefaultParagraphFont"/>
    <w:link w:val="Heading2"/>
    <w:uiPriority w:val="9"/>
    <w:semiHidden/>
    <w:rsid w:val="00ED3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ru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T9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att_%26_Whitn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igh-bypass_turbofa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Axial-flow" TargetMode="External"/><Relationship Id="rId9" Type="http://schemas.openxmlformats.org/officeDocument/2006/relationships/hyperlink" Target="https://en.wikipedia.org/wiki/Wide-body_airc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Matthew</dc:creator>
  <cp:keywords/>
  <dc:description/>
  <cp:lastModifiedBy>Clarke, Matthew</cp:lastModifiedBy>
  <cp:revision>1</cp:revision>
  <dcterms:created xsi:type="dcterms:W3CDTF">2023-11-22T18:33:00Z</dcterms:created>
  <dcterms:modified xsi:type="dcterms:W3CDTF">2023-11-22T21:26:00Z</dcterms:modified>
</cp:coreProperties>
</file>