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CME Product Support Knowledge Guide</w:t>
      </w:r>
    </w:p>
    <w:p>
      <w:pPr>
        <w:jc w:val="center"/>
      </w:pPr>
      <w:r>
        <w:rPr>
          <w:b/>
        </w:rPr>
        <w:t>Training document for Vertex AI Search grounding</w:t>
      </w:r>
    </w:p>
    <w:p>
      <w:r>
        <w:t>Purpose: This fictional training document provides a small private knowledge base for demonstrating grounded responses with Google ADK and Vertex AI Search. All market-status and incident information below is simulated and must not be treated as live CME data.</w:t>
      </w:r>
    </w:p>
    <w:p>
      <w:pPr>
        <w:pStyle w:val="Heading1"/>
      </w:pPr>
      <w:r>
        <w:t>1. Supported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Exchange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Contract Size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Currency</w:t>
            </w:r>
          </w:p>
        </w:tc>
      </w:tr>
      <w:tr>
        <w:tc>
          <w:tcPr>
            <w:tcW w:type="dxa" w:w="1680"/>
          </w:tcPr>
          <w:p>
            <w:r>
              <w:t>NQ</w:t>
            </w:r>
          </w:p>
        </w:tc>
        <w:tc>
          <w:tcPr>
            <w:tcW w:type="dxa" w:w="1680"/>
          </w:tcPr>
          <w:p>
            <w:r>
              <w:t>E-mini Nasdaq-100 Futures</w:t>
            </w:r>
          </w:p>
        </w:tc>
        <w:tc>
          <w:tcPr>
            <w:tcW w:type="dxa" w:w="1680"/>
          </w:tcPr>
          <w:p>
            <w:r>
              <w:t>CME</w:t>
            </w:r>
          </w:p>
        </w:tc>
        <w:tc>
          <w:tcPr>
            <w:tcW w:type="dxa" w:w="1680"/>
          </w:tcPr>
          <w:p>
            <w:r>
              <w:t>Equity Index</w:t>
            </w:r>
          </w:p>
        </w:tc>
        <w:tc>
          <w:tcPr>
            <w:tcW w:type="dxa" w:w="1680"/>
          </w:tcPr>
          <w:p>
            <w:r>
              <w:t>$20 × Nasdaq-100 Index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ES</w:t>
            </w:r>
          </w:p>
        </w:tc>
        <w:tc>
          <w:tcPr>
            <w:tcW w:type="dxa" w:w="1680"/>
          </w:tcPr>
          <w:p>
            <w:r>
              <w:t>E-mini S&amp;P 500 Futures</w:t>
            </w:r>
          </w:p>
        </w:tc>
        <w:tc>
          <w:tcPr>
            <w:tcW w:type="dxa" w:w="1680"/>
          </w:tcPr>
          <w:p>
            <w:r>
              <w:t>CME</w:t>
            </w:r>
          </w:p>
        </w:tc>
        <w:tc>
          <w:tcPr>
            <w:tcW w:type="dxa" w:w="1680"/>
          </w:tcPr>
          <w:p>
            <w:r>
              <w:t>Equity Index</w:t>
            </w:r>
          </w:p>
        </w:tc>
        <w:tc>
          <w:tcPr>
            <w:tcW w:type="dxa" w:w="1680"/>
          </w:tcPr>
          <w:p>
            <w:r>
              <w:t>$50 × S&amp;P 500 Index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CL</w:t>
            </w:r>
          </w:p>
        </w:tc>
        <w:tc>
          <w:tcPr>
            <w:tcW w:type="dxa" w:w="1680"/>
          </w:tcPr>
          <w:p>
            <w:r>
              <w:t>Crude Oil Futures</w:t>
            </w:r>
          </w:p>
        </w:tc>
        <w:tc>
          <w:tcPr>
            <w:tcW w:type="dxa" w:w="1680"/>
          </w:tcPr>
          <w:p>
            <w:r>
              <w:t>NYMEX</w:t>
            </w:r>
          </w:p>
        </w:tc>
        <w:tc>
          <w:tcPr>
            <w:tcW w:type="dxa" w:w="1680"/>
          </w:tcPr>
          <w:p>
            <w:r>
              <w:t>Energy</w:t>
            </w:r>
          </w:p>
        </w:tc>
        <w:tc>
          <w:tcPr>
            <w:tcW w:type="dxa" w:w="1680"/>
          </w:tcPr>
          <w:p>
            <w:r>
              <w:t>1,000 barrels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  <w:tr>
        <w:tc>
          <w:tcPr>
            <w:tcW w:type="dxa" w:w="1680"/>
          </w:tcPr>
          <w:p>
            <w:r>
              <w:t>GC</w:t>
            </w:r>
          </w:p>
        </w:tc>
        <w:tc>
          <w:tcPr>
            <w:tcW w:type="dxa" w:w="1680"/>
          </w:tcPr>
          <w:p>
            <w:r>
              <w:t>Gold Futures</w:t>
            </w:r>
          </w:p>
        </w:tc>
        <w:tc>
          <w:tcPr>
            <w:tcW w:type="dxa" w:w="1680"/>
          </w:tcPr>
          <w:p>
            <w:r>
              <w:t>COMEX</w:t>
            </w:r>
          </w:p>
        </w:tc>
        <w:tc>
          <w:tcPr>
            <w:tcW w:type="dxa" w:w="1680"/>
          </w:tcPr>
          <w:p>
            <w:r>
              <w:t>Metals</w:t>
            </w:r>
          </w:p>
        </w:tc>
        <w:tc>
          <w:tcPr>
            <w:tcW w:type="dxa" w:w="1680"/>
          </w:tcPr>
          <w:p>
            <w:r>
              <w:t>100 troy ounces</w:t>
            </w:r>
          </w:p>
        </w:tc>
        <w:tc>
          <w:tcPr>
            <w:tcW w:type="dxa" w:w="1680"/>
          </w:tcPr>
          <w:p>
            <w:r>
              <w:t>USD</w:t>
            </w:r>
          </w:p>
        </w:tc>
      </w:tr>
    </w:tbl>
    <w:p>
      <w:pPr>
        <w:pStyle w:val="Heading1"/>
      </w:pPr>
      <w:r>
        <w:t>2. Simulated Market Status</w:t>
      </w:r>
    </w:p>
    <w:p>
      <w:r>
        <w:t>The following statuses exist only for this training exercise. NQ is OPEN with normal trading conditions. ES is OPEN with normal trading conditions. CL is CLOSED for a simulated maintenance window. GC is OPEN with normal trading conditions.</w:t>
      </w:r>
    </w:p>
    <w:p>
      <w:pPr>
        <w:pStyle w:val="Heading1"/>
      </w:pPr>
      <w:r>
        <w:t>3. Simulated Support Incidents</w:t>
      </w:r>
    </w:p>
    <w:p>
      <w:pPr>
        <w:pStyle w:val="ListBullet"/>
      </w:pPr>
      <w:r>
        <w:rPr>
          <w:b/>
        </w:rPr>
        <w:t xml:space="preserve">INC-101 - NQ - Resolved: </w:t>
      </w:r>
      <w:r>
        <w:t>Delayed market-status display in the internal support dashboard. No order-routing impact.</w:t>
      </w:r>
    </w:p>
    <w:p>
      <w:pPr>
        <w:pStyle w:val="ListBullet"/>
      </w:pPr>
      <w:r>
        <w:rPr>
          <w:b/>
        </w:rPr>
        <w:t xml:space="preserve">INC-102 - CL - Open: </w:t>
      </w:r>
      <w:r>
        <w:t>Training environment maintenance is causing the simulated CL market status to show CLOSED.</w:t>
      </w:r>
    </w:p>
    <w:p>
      <w:pPr>
        <w:pStyle w:val="ListBullet"/>
      </w:pPr>
      <w:r>
        <w:rPr>
          <w:b/>
        </w:rPr>
        <w:t xml:space="preserve">INC-103 - GC - Resolved: </w:t>
      </w:r>
      <w:r>
        <w:t>Temporary delay in product metadata refresh. Product details are now available.</w:t>
      </w:r>
    </w:p>
    <w:p>
      <w:pPr>
        <w:pStyle w:val="Heading1"/>
      </w:pPr>
      <w:r>
        <w:t>4. Internal Support Procedures</w:t>
      </w:r>
    </w:p>
    <w:p>
      <w:pPr>
        <w:pStyle w:val="ListBullet"/>
      </w:pPr>
      <w:r>
        <w:t>If an employee asks for a product contract size, answer from the supported-product information in this guide.</w:t>
      </w:r>
    </w:p>
    <w:p>
      <w:pPr>
        <w:pStyle w:val="ListBullet"/>
      </w:pPr>
      <w:r>
        <w:t>If an employee asks whether a product is currently trading, use the simulated market-status section and explicitly state that the information is training data.</w:t>
      </w:r>
    </w:p>
    <w:p>
      <w:pPr>
        <w:pStyle w:val="ListBullet"/>
      </w:pPr>
      <w:r>
        <w:t>If an employee reports a mismatch between product information and market status, check the simulated incident section before suggesting escalation.</w:t>
      </w:r>
    </w:p>
    <w:p>
      <w:pPr>
        <w:pStyle w:val="ListBullet"/>
      </w:pPr>
      <w:r>
        <w:t>If the requested information is not present in this knowledge guide, say that it could not be verified from the approved knowledge source.</w:t>
      </w:r>
    </w:p>
    <w:p>
      <w:pPr>
        <w:pStyle w:val="ListBullet"/>
      </w:pPr>
      <w:r>
        <w:t>Do not provide investment advice, trading recommendations, or claim to place, modify, or cancel orders.</w:t>
      </w:r>
    </w:p>
    <w:p>
      <w:pPr>
        <w:pStyle w:val="Heading1"/>
      </w:pPr>
      <w:r>
        <w:t>5. Escalation Guidance</w:t>
      </w:r>
    </w:p>
    <w:p>
      <w:r>
        <w:t>Escalate to the Market Operations Support team when a simulated market-status issue remains unresolved. Escalate product-reference discrepancies to the Product Reference Data team. When escalating, include the product symbol, observed issue, relevant incident ID if one exists, and a short description of what was already checked.</w:t>
      </w:r>
    </w:p>
    <w:p>
      <w:pPr>
        <w:pStyle w:val="Heading1"/>
      </w:pPr>
      <w:r>
        <w:t>6. Example Grounding Questions</w:t>
      </w:r>
    </w:p>
    <w:p>
      <w:pPr>
        <w:pStyle w:val="ListBullet"/>
      </w:pPr>
      <w:r>
        <w:t>What is the contract size of NQ?</w:t>
      </w:r>
    </w:p>
    <w:p>
      <w:pPr>
        <w:pStyle w:val="ListBullet"/>
      </w:pPr>
      <w:r>
        <w:t>Which exchange lists Gold Futures in this knowledge guide?</w:t>
      </w:r>
    </w:p>
    <w:p>
      <w:pPr>
        <w:pStyle w:val="ListBullet"/>
      </w:pPr>
      <w:r>
        <w:t>Is CL currently trading?</w:t>
      </w:r>
    </w:p>
    <w:p>
      <w:pPr>
        <w:pStyle w:val="ListBullet"/>
      </w:pPr>
      <w:r>
        <w:t>Are there any incidents affecting NQ?</w:t>
      </w:r>
    </w:p>
    <w:p>
      <w:pPr>
        <w:pStyle w:val="ListBullet"/>
      </w:pPr>
      <w:r>
        <w:t>Which team should receive a product-reference discrepancy?</w:t>
      </w:r>
    </w:p>
    <w:p>
      <w:pPr>
        <w:pStyle w:val="ListBullet"/>
      </w:pPr>
      <w:r>
        <w:t>What should I include when escalating a support issue?</w:t>
      </w:r>
    </w:p>
    <w:p/>
    <w:p>
      <w:r>
        <w:rPr>
          <w:b/>
        </w:rPr>
        <w:t xml:space="preserve">Training disclaimer: </w:t>
      </w:r>
      <w:r>
        <w:t>This document is intentionally small and contains simulated operational data so that retrieval and grounding behavior can be demonstrated clearly.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