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CME Exchange Information Knowledge Base</w:t>
      </w:r>
    </w:p>
    <w:p>
      <w:pPr>
        <w:jc w:val="center"/>
      </w:pPr>
      <w:r>
        <w:rPr>
          <w:b/>
          <w:sz w:val="22"/>
        </w:rPr>
        <w:t>Training document for Vertex AI Search / RAG Engine grounding</w:t>
      </w:r>
    </w:p>
    <w:p>
      <w:r>
        <w:rPr>
          <w:b/>
        </w:rPr>
        <w:t xml:space="preserve">Purpose: </w:t>
      </w:r>
      <w:r>
        <w:t>This fictional training document provides concise reference information about CME Group exchanges and selected futures products. It is designed for search, retrieval, and grounding demonstrations. It is not live market data.</w:t>
      </w:r>
    </w:p>
    <w:p>
      <w:pPr>
        <w:pStyle w:val="Heading1"/>
      </w:pPr>
      <w:r>
        <w:t>1. Exchange Overview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Exchange Code</w:t>
            </w:r>
          </w:p>
        </w:tc>
        <w:tc>
          <w:tcPr>
            <w:tcW w:type="dxa" w:w="2484"/>
            <w:vAlign w:val="center"/>
          </w:tcPr>
          <w:p>
            <w:r>
              <w:rPr>
                <w:b/>
              </w:rPr>
              <w:t>Exchange Name</w:t>
            </w:r>
          </w:p>
        </w:tc>
        <w:tc>
          <w:tcPr>
            <w:tcW w:type="dxa" w:w="2484"/>
            <w:vAlign w:val="center"/>
          </w:tcPr>
          <w:p>
            <w:r>
              <w:rPr>
                <w:b/>
              </w:rPr>
              <w:t>Primary Areas</w:t>
            </w:r>
          </w:p>
        </w:tc>
        <w:tc>
          <w:tcPr>
            <w:tcW w:type="dxa" w:w="2484"/>
            <w:vAlign w:val="center"/>
          </w:tcPr>
          <w:p>
            <w:r>
              <w:rPr>
                <w:b/>
              </w:rPr>
              <w:t>Training Notes</w:t>
            </w:r>
          </w:p>
        </w:tc>
      </w:tr>
      <w:tr>
        <w:tc>
          <w:tcPr>
            <w:tcW w:type="dxa" w:w="2484"/>
            <w:vAlign w:val="center"/>
          </w:tcPr>
          <w:p>
            <w:r>
              <w:t>CME</w:t>
            </w:r>
          </w:p>
        </w:tc>
        <w:tc>
          <w:tcPr>
            <w:tcW w:type="dxa" w:w="2484"/>
            <w:vAlign w:val="center"/>
          </w:tcPr>
          <w:p>
            <w:r>
              <w:t>Chicago Mercantile Exchange</w:t>
            </w:r>
          </w:p>
        </w:tc>
        <w:tc>
          <w:tcPr>
            <w:tcW w:type="dxa" w:w="2484"/>
            <w:vAlign w:val="center"/>
          </w:tcPr>
          <w:p>
            <w:r>
              <w:t>Equity Index, FX, Interest Rates and other derivatives</w:t>
            </w:r>
          </w:p>
        </w:tc>
        <w:tc>
          <w:tcPr>
            <w:tcW w:type="dxa" w:w="2484"/>
            <w:vAlign w:val="center"/>
          </w:tcPr>
          <w:p>
            <w:r>
              <w:t>Selected products in this training guide include NQ and ES.</w:t>
            </w:r>
          </w:p>
        </w:tc>
      </w:tr>
      <w:tr>
        <w:tc>
          <w:tcPr>
            <w:tcW w:type="dxa" w:w="2484"/>
            <w:vAlign w:val="center"/>
          </w:tcPr>
          <w:p>
            <w:r>
              <w:t>CBOT</w:t>
            </w:r>
          </w:p>
        </w:tc>
        <w:tc>
          <w:tcPr>
            <w:tcW w:type="dxa" w:w="2484"/>
            <w:vAlign w:val="center"/>
          </w:tcPr>
          <w:p>
            <w:r>
              <w:t>Chicago Board of Trade</w:t>
            </w:r>
          </w:p>
        </w:tc>
        <w:tc>
          <w:tcPr>
            <w:tcW w:type="dxa" w:w="2484"/>
            <w:vAlign w:val="center"/>
          </w:tcPr>
          <w:p>
            <w:r>
              <w:t>Agriculture, Interest Rates and other derivatives</w:t>
            </w:r>
          </w:p>
        </w:tc>
        <w:tc>
          <w:tcPr>
            <w:tcW w:type="dxa" w:w="2484"/>
            <w:vAlign w:val="center"/>
          </w:tcPr>
          <w:p>
            <w:r>
              <w:t>Commonly associated with products such as grains and U.S. Treasury futures.</w:t>
            </w:r>
          </w:p>
        </w:tc>
      </w:tr>
      <w:tr>
        <w:tc>
          <w:tcPr>
            <w:tcW w:type="dxa" w:w="2484"/>
            <w:vAlign w:val="center"/>
          </w:tcPr>
          <w:p>
            <w:r>
              <w:t>NYMEX</w:t>
            </w:r>
          </w:p>
        </w:tc>
        <w:tc>
          <w:tcPr>
            <w:tcW w:type="dxa" w:w="2484"/>
            <w:vAlign w:val="center"/>
          </w:tcPr>
          <w:p>
            <w:r>
              <w:t>New York Mercantile Exchange</w:t>
            </w:r>
          </w:p>
        </w:tc>
        <w:tc>
          <w:tcPr>
            <w:tcW w:type="dxa" w:w="2484"/>
            <w:vAlign w:val="center"/>
          </w:tcPr>
          <w:p>
            <w:r>
              <w:t>Energy and related commodity derivatives</w:t>
            </w:r>
          </w:p>
        </w:tc>
        <w:tc>
          <w:tcPr>
            <w:tcW w:type="dxa" w:w="2484"/>
            <w:vAlign w:val="center"/>
          </w:tcPr>
          <w:p>
            <w:r>
              <w:t>Selected product in this training guide: CL Crude Oil Futures.</w:t>
            </w:r>
          </w:p>
        </w:tc>
      </w:tr>
      <w:tr>
        <w:tc>
          <w:tcPr>
            <w:tcW w:type="dxa" w:w="2484"/>
            <w:vAlign w:val="center"/>
          </w:tcPr>
          <w:p>
            <w:r>
              <w:t>COMEX</w:t>
            </w:r>
          </w:p>
        </w:tc>
        <w:tc>
          <w:tcPr>
            <w:tcW w:type="dxa" w:w="2484"/>
            <w:vAlign w:val="center"/>
          </w:tcPr>
          <w:p>
            <w:r>
              <w:t>Commodity Exchange</w:t>
            </w:r>
          </w:p>
        </w:tc>
        <w:tc>
          <w:tcPr>
            <w:tcW w:type="dxa" w:w="2484"/>
            <w:vAlign w:val="center"/>
          </w:tcPr>
          <w:p>
            <w:r>
              <w:t>Metals derivatives</w:t>
            </w:r>
          </w:p>
        </w:tc>
        <w:tc>
          <w:tcPr>
            <w:tcW w:type="dxa" w:w="2484"/>
            <w:vAlign w:val="center"/>
          </w:tcPr>
          <w:p>
            <w:r>
              <w:t>Selected product in this training guide: GC Gold Futures.</w:t>
            </w:r>
          </w:p>
        </w:tc>
      </w:tr>
    </w:tbl>
    <w:p>
      <w:pPr>
        <w:pStyle w:val="Heading1"/>
      </w:pPr>
      <w:r>
        <w:t>2. Product-to-Exchange Reference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rPr>
              <w:t>Symbol</w:t>
            </w:r>
          </w:p>
        </w:tc>
        <w:tc>
          <w:tcPr>
            <w:tcW w:type="dxa" w:w="1656"/>
          </w:tcPr>
          <w:p>
            <w:r>
              <w:rPr>
                <w:b/>
              </w:rPr>
              <w:t>Product</w:t>
            </w:r>
          </w:p>
        </w:tc>
        <w:tc>
          <w:tcPr>
            <w:tcW w:type="dxa" w:w="1656"/>
          </w:tcPr>
          <w:p>
            <w:r>
              <w:rPr>
                <w:b/>
              </w:rPr>
              <w:t>Exchange</w:t>
            </w:r>
          </w:p>
        </w:tc>
        <w:tc>
          <w:tcPr>
            <w:tcW w:type="dxa" w:w="1656"/>
          </w:tcPr>
          <w:p>
            <w:r>
              <w:rPr>
                <w:b/>
              </w:rPr>
              <w:t>Asset Class</w:t>
            </w:r>
          </w:p>
        </w:tc>
        <w:tc>
          <w:tcPr>
            <w:tcW w:type="dxa" w:w="1656"/>
          </w:tcPr>
          <w:p>
            <w:r>
              <w:rPr>
                <w:b/>
              </w:rPr>
              <w:t>Contract Size</w:t>
            </w:r>
          </w:p>
        </w:tc>
        <w:tc>
          <w:tcPr>
            <w:tcW w:type="dxa" w:w="1656"/>
          </w:tcPr>
          <w:p>
            <w:r>
              <w:rPr>
                <w:b/>
              </w:rPr>
              <w:t>Currency</w:t>
            </w:r>
          </w:p>
        </w:tc>
      </w:tr>
      <w:tr>
        <w:tc>
          <w:tcPr>
            <w:tcW w:type="dxa" w:w="1656"/>
          </w:tcPr>
          <w:p>
            <w:r>
              <w:t>NQ</w:t>
            </w:r>
          </w:p>
        </w:tc>
        <w:tc>
          <w:tcPr>
            <w:tcW w:type="dxa" w:w="1656"/>
          </w:tcPr>
          <w:p>
            <w:r>
              <w:t>E-mini Nasdaq-100 Futures</w:t>
            </w:r>
          </w:p>
        </w:tc>
        <w:tc>
          <w:tcPr>
            <w:tcW w:type="dxa" w:w="1656"/>
          </w:tcPr>
          <w:p>
            <w:r>
              <w:t>CME</w:t>
            </w:r>
          </w:p>
        </w:tc>
        <w:tc>
          <w:tcPr>
            <w:tcW w:type="dxa" w:w="1656"/>
          </w:tcPr>
          <w:p>
            <w:r>
              <w:t>Equity Index</w:t>
            </w:r>
          </w:p>
        </w:tc>
        <w:tc>
          <w:tcPr>
            <w:tcW w:type="dxa" w:w="1656"/>
          </w:tcPr>
          <w:p>
            <w:r>
              <w:t>$20 x Nasdaq-100 Index</w:t>
            </w:r>
          </w:p>
        </w:tc>
        <w:tc>
          <w:tcPr>
            <w:tcW w:type="dxa" w:w="1656"/>
          </w:tcPr>
          <w:p>
            <w:r>
              <w:t>USD</w:t>
            </w:r>
          </w:p>
        </w:tc>
      </w:tr>
      <w:tr>
        <w:tc>
          <w:tcPr>
            <w:tcW w:type="dxa" w:w="1656"/>
          </w:tcPr>
          <w:p>
            <w:r>
              <w:t>ES</w:t>
            </w:r>
          </w:p>
        </w:tc>
        <w:tc>
          <w:tcPr>
            <w:tcW w:type="dxa" w:w="1656"/>
          </w:tcPr>
          <w:p>
            <w:r>
              <w:t>E-mini S&amp;P 500 Futures</w:t>
            </w:r>
          </w:p>
        </w:tc>
        <w:tc>
          <w:tcPr>
            <w:tcW w:type="dxa" w:w="1656"/>
          </w:tcPr>
          <w:p>
            <w:r>
              <w:t>CME</w:t>
            </w:r>
          </w:p>
        </w:tc>
        <w:tc>
          <w:tcPr>
            <w:tcW w:type="dxa" w:w="1656"/>
          </w:tcPr>
          <w:p>
            <w:r>
              <w:t>Equity Index</w:t>
            </w:r>
          </w:p>
        </w:tc>
        <w:tc>
          <w:tcPr>
            <w:tcW w:type="dxa" w:w="1656"/>
          </w:tcPr>
          <w:p>
            <w:r>
              <w:t>$50 x S&amp;P 500 Index</w:t>
            </w:r>
          </w:p>
        </w:tc>
        <w:tc>
          <w:tcPr>
            <w:tcW w:type="dxa" w:w="1656"/>
          </w:tcPr>
          <w:p>
            <w:r>
              <w:t>USD</w:t>
            </w:r>
          </w:p>
        </w:tc>
      </w:tr>
      <w:tr>
        <w:tc>
          <w:tcPr>
            <w:tcW w:type="dxa" w:w="1656"/>
          </w:tcPr>
          <w:p>
            <w:r>
              <w:t>CL</w:t>
            </w:r>
          </w:p>
        </w:tc>
        <w:tc>
          <w:tcPr>
            <w:tcW w:type="dxa" w:w="1656"/>
          </w:tcPr>
          <w:p>
            <w:r>
              <w:t>Crude Oil Futures</w:t>
            </w:r>
          </w:p>
        </w:tc>
        <w:tc>
          <w:tcPr>
            <w:tcW w:type="dxa" w:w="1656"/>
          </w:tcPr>
          <w:p>
            <w:r>
              <w:t>NYMEX</w:t>
            </w:r>
          </w:p>
        </w:tc>
        <w:tc>
          <w:tcPr>
            <w:tcW w:type="dxa" w:w="1656"/>
          </w:tcPr>
          <w:p>
            <w:r>
              <w:t>Energy</w:t>
            </w:r>
          </w:p>
        </w:tc>
        <w:tc>
          <w:tcPr>
            <w:tcW w:type="dxa" w:w="1656"/>
          </w:tcPr>
          <w:p>
            <w:r>
              <w:t>1,000 barrels</w:t>
            </w:r>
          </w:p>
        </w:tc>
        <w:tc>
          <w:tcPr>
            <w:tcW w:type="dxa" w:w="1656"/>
          </w:tcPr>
          <w:p>
            <w:r>
              <w:t>USD</w:t>
            </w:r>
          </w:p>
        </w:tc>
      </w:tr>
      <w:tr>
        <w:tc>
          <w:tcPr>
            <w:tcW w:type="dxa" w:w="1656"/>
          </w:tcPr>
          <w:p>
            <w:r>
              <w:t>GC</w:t>
            </w:r>
          </w:p>
        </w:tc>
        <w:tc>
          <w:tcPr>
            <w:tcW w:type="dxa" w:w="1656"/>
          </w:tcPr>
          <w:p>
            <w:r>
              <w:t>Gold Futures</w:t>
            </w:r>
          </w:p>
        </w:tc>
        <w:tc>
          <w:tcPr>
            <w:tcW w:type="dxa" w:w="1656"/>
          </w:tcPr>
          <w:p>
            <w:r>
              <w:t>COMEX</w:t>
            </w:r>
          </w:p>
        </w:tc>
        <w:tc>
          <w:tcPr>
            <w:tcW w:type="dxa" w:w="1656"/>
          </w:tcPr>
          <w:p>
            <w:r>
              <w:t>Metals</w:t>
            </w:r>
          </w:p>
        </w:tc>
        <w:tc>
          <w:tcPr>
            <w:tcW w:type="dxa" w:w="1656"/>
          </w:tcPr>
          <w:p>
            <w:r>
              <w:t>100 troy ounces</w:t>
            </w:r>
          </w:p>
        </w:tc>
        <w:tc>
          <w:tcPr>
            <w:tcW w:type="dxa" w:w="1656"/>
          </w:tcPr>
          <w:p>
            <w:r>
              <w:t>USD</w:t>
            </w:r>
          </w:p>
        </w:tc>
      </w:tr>
    </w:tbl>
    <w:p>
      <w:pPr>
        <w:pStyle w:val="Heading1"/>
      </w:pPr>
      <w:r>
        <w:t>3. Exchange Details</w:t>
      </w:r>
    </w:p>
    <w:p>
      <w:pPr>
        <w:pStyle w:val="Heading2"/>
      </w:pPr>
      <w:r>
        <w:t>CME - Chicago Mercantile Exchange</w:t>
      </w:r>
    </w:p>
    <w:p>
      <w:r>
        <w:t>In this training knowledge base, CME is the exchange associated with the NQ (E-mini Nasdaq-100 Futures) and ES (E-mini S&amp;P 500 Futures) products. Both are categorized as Equity Index futures.</w:t>
      </w:r>
    </w:p>
    <w:p>
      <w:pPr>
        <w:pStyle w:val="Heading2"/>
      </w:pPr>
      <w:r>
        <w:t>CBOT - Chicago Board of Trade</w:t>
      </w:r>
    </w:p>
    <w:p>
      <w:r>
        <w:t>CBOT is included as an exchange reference for training. It is commonly associated with agricultural and interest-rate derivatives. This document does not define a specific CBOT product for the sample agent.</w:t>
      </w:r>
    </w:p>
    <w:p>
      <w:pPr>
        <w:pStyle w:val="Heading2"/>
      </w:pPr>
      <w:r>
        <w:t>NYMEX - New York Mercantile Exchange</w:t>
      </w:r>
    </w:p>
    <w:p>
      <w:r>
        <w:t>In this training knowledge base, NYMEX is the exchange associated with CL (Crude Oil Futures). CL belongs to the Energy asset class and has a contract size of 1,000 barrels.</w:t>
      </w:r>
    </w:p>
    <w:p>
      <w:pPr>
        <w:pStyle w:val="Heading2"/>
      </w:pPr>
      <w:r>
        <w:t>COMEX - Commodity Exchange</w:t>
      </w:r>
    </w:p>
    <w:p>
      <w:r>
        <w:t>In this training knowledge base, COMEX is the exchange associated with GC (Gold Futures). GC belongs to the Metals asset class and has a contract size of 100 troy ounces.</w:t>
      </w:r>
    </w:p>
    <w:p>
      <w:pPr>
        <w:pStyle w:val="Heading1"/>
      </w:pPr>
      <w:r>
        <w:t>4. Internal Support Guidance</w:t>
      </w:r>
    </w:p>
    <w:p>
      <w:pPr>
        <w:pStyle w:val="ListBullet"/>
      </w:pPr>
      <w:r>
        <w:t>For exchange identification questions, retrieve the exchange associated with the requested product symbol.</w:t>
      </w:r>
    </w:p>
    <w:p>
      <w:pPr>
        <w:pStyle w:val="ListBullet"/>
      </w:pPr>
      <w:r>
        <w:t>For contract specification questions, use the product-to-exchange reference in this document.</w:t>
      </w:r>
    </w:p>
    <w:p>
      <w:pPr>
        <w:pStyle w:val="ListBullet"/>
      </w:pPr>
      <w:r>
        <w:t>If a requested product or exchange relationship is not present in the knowledge base, state that it cannot be verified from the approved document.</w:t>
      </w:r>
    </w:p>
    <w:p>
      <w:pPr>
        <w:pStyle w:val="ListBullet"/>
      </w:pPr>
      <w:r>
        <w:t>Do not infer live market status, trading availability, prices, or incidents from this exchange reference document.</w:t>
      </w:r>
    </w:p>
    <w:p>
      <w:pPr>
        <w:pStyle w:val="ListBullet"/>
      </w:pPr>
      <w:r>
        <w:t>Do not provide investment advice or execute, modify, or cancel trades.</w:t>
      </w:r>
    </w:p>
    <w:p>
      <w:pPr>
        <w:pStyle w:val="Heading1"/>
      </w:pPr>
      <w:r>
        <w:t>5. Example Questions for Search and Grounding</w:t>
      </w:r>
    </w:p>
    <w:p>
      <w:pPr>
        <w:pStyle w:val="ListBullet"/>
      </w:pPr>
      <w:r>
        <w:t>Which exchange does NQ trade on in this knowledge base?</w:t>
      </w:r>
    </w:p>
    <w:p>
      <w:pPr>
        <w:pStyle w:val="ListBullet"/>
      </w:pPr>
      <w:r>
        <w:t>What is the full name of NYMEX?</w:t>
      </w:r>
    </w:p>
    <w:p>
      <w:pPr>
        <w:pStyle w:val="ListBullet"/>
      </w:pPr>
      <w:r>
        <w:t>Which exchange is associated with Gold Futures?</w:t>
      </w:r>
    </w:p>
    <w:p>
      <w:pPr>
        <w:pStyle w:val="ListBullet"/>
      </w:pPr>
      <w:r>
        <w:t>What asset class does CL belong to?</w:t>
      </w:r>
    </w:p>
    <w:p>
      <w:pPr>
        <w:pStyle w:val="ListBullet"/>
      </w:pPr>
      <w:r>
        <w:t>What is the contract size of GC?</w:t>
      </w:r>
    </w:p>
    <w:p>
      <w:pPr>
        <w:pStyle w:val="ListBullet"/>
      </w:pPr>
      <w:r>
        <w:t>Which sample products are associated with CME?</w:t>
      </w:r>
    </w:p>
    <w:p>
      <w:pPr>
        <w:pStyle w:val="ListBullet"/>
      </w:pPr>
      <w:r>
        <w:t>Does this knowledge base define a specific CBOT product?</w:t>
      </w:r>
    </w:p>
    <w:p>
      <w:pPr>
        <w:pStyle w:val="Heading1"/>
      </w:pPr>
      <w:r>
        <w:t>6. Training Disclaimer</w:t>
      </w:r>
    </w:p>
    <w:p>
      <w:r>
        <w:t>This document is intentionally simplified for Google Cloud training labs involving Vertex AI Search, RAG Engine, vector retrieval, and grounded AI agents. It should not be treated as a complete exchange rulebook, source of live market information, or investment/trading guidance.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