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/>
      </w:pPr>
      <w:r>
        <w:rPr>
          <w:rFonts w:ascii="Arial" w:hAnsi="Arial"/>
          <w:b/>
          <w:color w:val="1F3864"/>
          <w:sz w:val="40"/>
        </w:rPr>
        <w:t>استراتيجية بوت التنبيهات — شرح تفصيلي</w:t>
      </w:r>
    </w:p>
    <w:p>
      <w:pPr>
        <w:jc w:val="right"/>
        <w:bidi/>
      </w:pPr>
      <w:r>
        <w:rPr>
          <w:rFonts w:ascii="Arial" w:hAnsi="Arial"/>
          <w:b w:val="0"/>
          <w:sz w:val="20"/>
        </w:rPr>
        <w:t>الأدوات: XAUUSD (ذهب) · US500 · US100 · US30</w:t>
      </w:r>
    </w:p>
    <w:p/>
    <w:p>
      <w:pPr>
        <w:pStyle w:val="Heading1"/>
        <w:jc w:val="right"/>
        <w:bidi/>
      </w:pPr>
      <w:r>
        <w:rPr>
          <w:color w:val="1F3864"/>
        </w:rPr>
        <w:t>أولاً: نظرة عامة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البوت نظام تنبيهات آلي يعمل 24/5 ويمسح 4 أدوات كل 15 دقيقة. لا يُنفّذ صفقات — يُرسل تنبيهات عبر تيليغرام فقط عند توافر شروط دخول عالية الجودة.</w:t>
      </w:r>
    </w:p>
    <w:p>
      <w:pPr>
        <w:jc w:val="right"/>
        <w:bidi/>
      </w:pPr>
      <w:r>
        <w:rPr>
          <w:rFonts w:ascii="Arial" w:hAnsi="Arial"/>
          <w:b/>
          <w:sz w:val="22"/>
        </w:rPr>
        <w:t>📅 جدول التداول: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الحدث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التوقيت (UTC)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التوقيت (دبي)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فتح الأسواق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الأحد 22:00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الاثنين 2:00 فجراً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إغلاق الأسواق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الجمعة 21:00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السبت 1:00 فجراً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صيانة يومية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21:00 – 22:00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1:00 – 2:00 فجراً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ملخص يومي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20:30 – 21:00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12:30 – 1:00 فجراً</w:t>
            </w:r>
          </w:p>
        </w:tc>
      </w:tr>
    </w:tbl>
    <w:p/>
    <w:p>
      <w:pPr>
        <w:pStyle w:val="Heading1"/>
        <w:jc w:val="right"/>
        <w:bidi/>
      </w:pPr>
      <w:r>
        <w:rPr>
          <w:color w:val="1F3864"/>
        </w:rPr>
        <w:t>ثانياً: الأنماط التي يبحث عنها البوت (5 استراتيجيات)</w:t>
      </w:r>
    </w:p>
    <w:p>
      <w:pPr>
        <w:jc w:val="right"/>
        <w:bidi/>
      </w:pPr>
      <w:r>
        <w:rPr>
          <w:rFonts w:ascii="Arial" w:hAnsi="Arial"/>
          <w:b/>
          <w:sz w:val="22"/>
        </w:rPr>
        <w:t>1. رفض منطقة العرض أو الطلب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السعر يصل لمنطقة سبق أن تفاعل معها السوق وارتد منها. عند ظهور فتيل رفض واضح يُسجَّل كإشارة محتملة.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2. اصطياد السيولة + كسر الهيكل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السعر يخترق قمة أو قاع مهم لاصطياد أوامر الوقف، ثم يرتد بسرعة ويكسر الهيكل — إشارة قوية على انعكاس حقيقي.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3. القمة المزدوجة / القاع المزدوج / الرأس والكتفين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أنماط انعكاس كلاسيكية تُشير إلى نهاية اتجاه وبداية اتجاه جديد.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4. الراية الصاعدة / الراية الهابطة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بعد حركة سعرية قوية، يدخل السوق في تصحيح هادئ (الراية)، ثم يستمر في نفس الاتجاه عند الاختراق.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5. إعادة الاختبار بعد الأخبار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بعد خبر اقتصادي كبير، ينتظر البوت عودة السعر لإعادة اختبار المستوى قبل الاستمرار في الاتجاه.</w:t>
      </w:r>
    </w:p>
    <w:p/>
    <w:p>
      <w:pPr>
        <w:pStyle w:val="Heading1"/>
        <w:jc w:val="right"/>
        <w:bidi/>
      </w:pPr>
      <w:r>
        <w:rPr>
          <w:color w:val="1F3864"/>
        </w:rPr>
        <w:t>ثالثاً: كيف يتخذ البوت قرار الإرسال؟ (نظام النقاط)</w:t>
      </w:r>
    </w:p>
    <w:p>
      <w:pPr>
        <w:pStyle w:val="Heading2"/>
        <w:jc w:val="right"/>
        <w:bidi/>
      </w:pPr>
      <w:r>
        <w:t>العامل 1 — جودة النمط (النقاط الأساسية)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النمط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النقاط الأساسية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مكافأة إضافية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اصطياد السيولة + كسر الهيكل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38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+10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رفض منطقة العرض/الطلب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37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+8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رأس وكتفين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37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+10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راية صاعدة/هابطة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36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+8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إعادة اختبار بعد الأخبار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34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+8</w:t>
            </w:r>
          </w:p>
        </w:tc>
      </w:tr>
    </w:tbl>
    <w:p/>
    <w:p>
      <w:pPr>
        <w:pStyle w:val="Heading2"/>
        <w:jc w:val="right"/>
        <w:bidi/>
      </w:pPr>
      <w:r>
        <w:t>العامل 2 — التأكيد الفني (RSI + MACD + EMA)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ثلاثة مؤشرات تقنية تؤكد اتجاه الحركة: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التوافق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النقاط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 أو 3 مؤشرات متوافقة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+10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مؤشر واحد فقط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+4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توافق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</w:t>
            </w:r>
          </w:p>
        </w:tc>
      </w:tr>
    </w:tbl>
    <w:p/>
    <w:p>
      <w:pPr>
        <w:pStyle w:val="Heading2"/>
        <w:jc w:val="right"/>
        <w:bidi/>
      </w:pPr>
      <w:r>
        <w:t>العامل 3 — الاتجاه على الإطار الأعلى (Daily Bias)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البوت يقرأ الشارت اليومي عبر المتوسطات المتحركة EMA 50 و EMA 200: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الحالة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النقاط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الإشارة في نفس اتجاه الترند اليومي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+15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السوق محايد (لا ترند واضح)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+5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الإشارة عكس الترند اليومي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-8</w:t>
            </w:r>
          </w:p>
        </w:tc>
      </w:tr>
    </w:tbl>
    <w:p/>
    <w:p>
      <w:pPr>
        <w:pStyle w:val="Heading2"/>
        <w:jc w:val="right"/>
        <w:bidi/>
      </w:pPr>
      <w:r>
        <w:t>العامل 4 — توقيت الجلسة (مُعاير لكل أداة)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الجلسة</w:t>
            </w:r>
          </w:p>
        </w:tc>
        <w:tc>
          <w:tcPr>
            <w:tcW w:type="dxa" w:w="2196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الذهب</w:t>
            </w:r>
          </w:p>
        </w:tc>
        <w:tc>
          <w:tcPr>
            <w:tcW w:type="dxa" w:w="2196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S&amp;P 500 / داو</w:t>
            </w:r>
          </w:p>
        </w:tc>
        <w:tc>
          <w:tcPr>
            <w:tcW w:type="dxa" w:w="2196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ناسداك</w:t>
            </w:r>
          </w:p>
        </w:tc>
      </w:tr>
      <w:tr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نيويورك (12:30–16:00 UTC)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+8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+10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+10</w:t>
            </w:r>
          </w:p>
        </w:tc>
      </w:tr>
      <w:tr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لندن (7:00–12:30 UTC)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+8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+4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+3</w:t>
            </w:r>
          </w:p>
        </w:tc>
      </w:tr>
      <w:tr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آسيا (0:00–7:00 UTC)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+2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+2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+2</w:t>
            </w:r>
          </w:p>
        </w:tc>
      </w:tr>
    </w:tbl>
    <w:p/>
    <w:p>
      <w:pPr>
        <w:pStyle w:val="Heading2"/>
        <w:jc w:val="right"/>
        <w:bidi/>
      </w:pPr>
      <w:r>
        <w:t>العوامل الإضافية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العامل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النقاط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السعر قريب من رقم مستدير (مثل 4200)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+5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سوق متقلب جداً (ATR مرتفع)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-10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سوق عشوائي بلا اتجاه (Choppy)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-10</w:t>
            </w:r>
          </w:p>
        </w:tc>
      </w:tr>
    </w:tbl>
    <w:p/>
    <w:p>
      <w:pPr>
        <w:pStyle w:val="Heading1"/>
        <w:jc w:val="right"/>
        <w:bidi/>
      </w:pPr>
      <w:r>
        <w:rPr>
          <w:color w:val="1F3864"/>
        </w:rPr>
        <w:t>رابعاً: قرار الإرسال النهائي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المجموع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القرار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المعنى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أقل من 62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يُرسل شيء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الإشارة ضعيفة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62 – 74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WATCH ⚡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تنبيه للمراقبة فقط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75 فأكثر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A+ 🟢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إشارة تداول كاملة</w:t>
            </w:r>
          </w:p>
        </w:tc>
      </w:tr>
    </w:tbl>
    <w:p/>
    <w:p>
      <w:pPr>
        <w:pStyle w:val="Heading2"/>
        <w:jc w:val="right"/>
        <w:bidi/>
      </w:pPr>
      <w:r>
        <w:t>ما يحتويه تنبيه A+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اتجاه الصفقة (شراء أو بيع)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سعر الدخول المقترح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وقف الخسارة (Stop Loss)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الهدف الأول والثاني (TP1 / TP2)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نسبة المخاطرة للعائد (لا تقل عن 1:2)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شرح الأسباب التي أدت لهذه الإشارة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وقت انتهاء صلاحية الصفقة</w:t>
      </w:r>
    </w:p>
    <w:p/>
    <w:p>
      <w:pPr>
        <w:pStyle w:val="Heading1"/>
        <w:jc w:val="right"/>
        <w:bidi/>
      </w:pPr>
      <w:r>
        <w:rPr>
          <w:color w:val="1F3864"/>
        </w:rPr>
        <w:t>خامساً: دوائر الأمان (Risk Management)</w:t>
      </w:r>
    </w:p>
    <w:p>
      <w:pPr>
        <w:pStyle w:val="Heading2"/>
        <w:jc w:val="right"/>
        <w:bidi/>
      </w:pPr>
      <w:r>
        <w:t>فلتر الارتباط بين المؤشرات الأمريكية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US500 و US100 و US30 مترابطة بشكل كبير (تتقاسم نفس أسهم التكنولوجيا الكبرى). إذا أطلق البوت إشارة على أكثر من مؤشر في نفس الوقت، يُرسل الأقوى فقط — لتجنب مضاعفة المخاطرة.</w:t>
      </w:r>
    </w:p>
    <w:p>
      <w:pPr>
        <w:pStyle w:val="Heading2"/>
        <w:jc w:val="right"/>
        <w:bidi/>
      </w:pPr>
      <w:r>
        <w:t>حدود الإشارات اليومية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النوع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الحد اليومي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إشارات A+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 كحد أقصى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إشارات WATCH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كحد أقصى</w:t>
            </w:r>
          </w:p>
        </w:tc>
      </w:tr>
    </w:tbl>
    <w:p/>
    <w:p>
      <w:pPr>
        <w:pStyle w:val="Heading2"/>
        <w:jc w:val="right"/>
        <w:bidi/>
      </w:pPr>
      <w:r>
        <w:t>توقف تلقائي عند الخسائر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الشرط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الإجراء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 خسائر متتالية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توقف مؤقت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خسارة 3% من الحساب في يوم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توقف بقية اليوم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خسارة 6% في الأسبوع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توقف أسبوعي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 أيام متتالية بحد الخسارة اليومي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توقف يومين</w:t>
            </w:r>
          </w:p>
        </w:tc>
      </w:tr>
    </w:tbl>
    <w:p/>
    <w:p>
      <w:pPr>
        <w:pStyle w:val="Heading2"/>
        <w:jc w:val="right"/>
        <w:bidi/>
      </w:pPr>
      <w:r>
        <w:t>نافذة الأخبار الكبرى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البوت لا يُرسل تنبيهات خلال: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النافذة (UTC)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التوقيت (دبي)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12:25 – 13:05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4:25 – 5:05 مساءً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13:25 – 14:05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5:25 – 6:05 مساءً</w:t>
            </w:r>
          </w:p>
        </w:tc>
      </w:tr>
    </w:tbl>
    <w:p/>
    <w:p>
      <w:pPr>
        <w:pStyle w:val="Heading2"/>
        <w:jc w:val="right"/>
        <w:bidi/>
      </w:pPr>
      <w:r>
        <w:t>العتبة التكيفية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إذا مرت 3 أيام بدون إشارات → البوت يخفّف العتبة تلقائياً من 75 إلى 73 ثم 71 (حد أدنى 65).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إذا كانت الإشارات كثيرة → يرفع العتبة حتى 85 للحفاظ على الجودة.</w:t>
      </w:r>
    </w:p>
    <w:p>
      <w:pPr>
        <w:pStyle w:val="Heading1"/>
        <w:jc w:val="right"/>
        <w:bidi/>
      </w:pPr>
      <w:r>
        <w:rPr>
          <w:color w:val="1F3864"/>
        </w:rPr>
        <w:t>سادساً: وقف الخسارة والأهداف (مُعاير لكل أداة)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الأداة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أقصى وقف خسارة (ATR×)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أدنى وقف خسارة (ATR×)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الذهب (XAUUSD)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1.5×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0.40×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S&amp;P 500 (US500)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1.8×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0.50×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داو جونز (US30)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1.8×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0.50×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ناسداك (US100)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2.0×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0.55×</w:t>
            </w:r>
          </w:p>
        </w:tc>
      </w:tr>
    </w:tbl>
    <w:p/>
    <w:p>
      <w:pPr>
        <w:jc w:val="right"/>
        <w:bidi/>
      </w:pPr>
      <w:r>
        <w:rPr>
          <w:rFonts w:ascii="Arial" w:hAnsi="Arial"/>
          <w:b w:val="0"/>
          <w:sz w:val="22"/>
        </w:rPr>
        <w:t>ATR = متوسط المدى الحقيقي — مقياس موضوعي لتذبذب السوق. الناسداك يسمح بوقف خسارة أوسع لأنه الأعنف تذبذباً.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