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E3A8A"/>
          <w:sz w:val="56"/>
          <w:szCs w:val="56"/>
        </w:rPr>
        <w:t xml:space="preserve">ShieldAU</w:t>
      </w:r>
    </w:p>
    <w:p>
      <w:pPr>
        <w:spacing w:after="400"/>
        <w:jc w:val="center"/>
      </w:pPr>
      <w:r>
        <w:rPr>
          <w:color w:val="64748B"/>
          <w:sz w:val="28"/>
          <w:szCs w:val="28"/>
        </w:rPr>
        <w:t xml:space="preserve">Business Plan — June 2026</w:t>
      </w:r>
    </w:p>
    <w:p>
      <w:pPr>
        <w:pStyle w:val="Heading1"/>
        <w:spacing w:after="120" w:before="240"/>
      </w:pPr>
      <w:r>
        <w:t xml:space="preserve">Executive Summary</w:t>
      </w:r>
    </w:p>
    <w:p>
      <w:pPr>
        <w:spacing w:after="120"/>
      </w:pPr>
      <w:r>
        <w:rPr>
          <w:sz w:val="22"/>
          <w:szCs w:val="22"/>
        </w:rPr>
        <w:t xml:space="preserve">ShieldAU is an Australian technology and referral platform that connects people experiencing police interactions with independent, qualified legal practitioners — fast. Inspired by US models like Attorney Shield, ShieldAU is built specifically for Australian law, regulatory compliance, and state-by-state rights education.</w:t>
      </w:r>
    </w:p>
    <w:p>
      <w:pPr>
        <w:spacing w:after="120"/>
      </w:pPr>
      <w:r>
        <w:rPr>
          <w:sz w:val="22"/>
          <w:szCs w:val="22"/>
        </w:rPr>
        <w:t xml:space="preserve">The platform does not provide legal advice. It pre-funds lawyer access through a subscription credit model (Shield Credit), holds funds in trust, and pays panel lawyers using a transparent billing structure: first 15 minutes as a block, per-minute to 60 minutes, then hourly blocks.</w:t>
      </w:r>
    </w:p>
    <w:p>
      <w:pPr>
        <w:spacing w:after="120"/>
      </w:pPr>
      <w:r>
        <w:rPr>
          <w:sz w:val="22"/>
          <w:szCs w:val="22"/>
        </w:rPr>
        <w:t xml:space="preserve">Launch focus: Queensland, with NSW and Victoria rights modules from day one. Aboriginal and Torres Strait Islander Legal Services are prominently linked — ShieldAU complements, never replaces, ATSILS.</w:t>
      </w:r>
    </w:p>
    <w:p>
      <w:pPr>
        <w:pStyle w:val="Heading1"/>
        <w:spacing w:after="120" w:before="240"/>
      </w:pPr>
      <w:r>
        <w:t xml:space="preserve">Problem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near-instant lawyer connection service exists specifically for police interaction scenarios in Australia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 Aid and community legal centres have limited after-hours and regional capacity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Medicinal cannabis patients face confusing, strict drug-driving laws (especially QLD zero-tolerance)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Aboriginal and Torres Strait Islander communities face disproportionate police contact with uneven access to rapid legal support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People do not know their rights during high-stress police stops</w:t>
      </w:r>
    </w:p>
    <w:p>
      <w:pPr>
        <w:pStyle w:val="Heading1"/>
        <w:spacing w:after="120" w:before="240"/>
      </w:pPr>
      <w:r>
        <w:t xml:space="preserve">Solution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One-tap lawyer matching by issue category (traffic, criminal, complaints, cannabis, general)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Subscription Shield Credit — monthly fee pre-funds lawyer payments so users never scramble for payment during a stop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State-specific Know Your Rights modules (QLD, NSW, VIC) — general information only, lawyer-reviewed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Secure incident documentation with optional lawyer sharing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Official complaint channel guides (QPS/CCC, LECC, IBAC)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Prominent ATSILS / ALS / VALS referral links</w:t>
      </w:r>
    </w:p>
    <w:p>
      <w:pPr>
        <w:pStyle w:val="Heading1"/>
        <w:spacing w:after="120" w:before="240"/>
      </w:pPr>
      <w:r>
        <w:t xml:space="preserve">Regulatory &amp; Compliance Structure</w:t>
      </w:r>
    </w:p>
    <w:p>
      <w:pPr>
        <w:spacing w:after="120"/>
      </w:pPr>
      <w:r>
        <w:rPr>
          <w:sz w:val="22"/>
          <w:szCs w:val="22"/>
        </w:rPr>
        <w:t xml:space="preserve">ShieldAU Pty Ltd operates as a technology and referral service only — not a law firm.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legal advice provided solely by independent practitioners with current Australian practising certificates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Educational content labelled "general information only" — never personalised advice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Prominent disclaimers on every screen; users must comply with lawful police directions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Act 1988 (Cth) compliance — APPs, sensitive information protections, Australia-hosted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Platform PI + public liability insurance; each panel lawyer carries own PII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Formal panel agreements with established Queensland law firms (recommended lowest-risk model)</w:t>
      </w:r>
    </w:p>
    <w:p>
      <w:pPr>
        <w:pStyle w:val="Heading1"/>
        <w:spacing w:after="120" w:before="240"/>
      </w:pPr>
      <w:r>
        <w:t xml:space="preserve">Revenue Model — Shield Credit Subscriptions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Plan</w:t>
            </w:r>
          </w:p>
        </w:tc>
        <w:tc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Monthly fee</w:t>
            </w:r>
          </w:p>
        </w:tc>
        <w:tc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Shield Credit</w:t>
            </w:r>
          </w:p>
        </w:tc>
      </w:tr>
      <w:tr>
        <w:tc>
          <w:p>
            <w:pPr>
              <w:spacing w:after="120"/>
            </w:pPr>
            <w:r>
              <w:rPr>
                <w:sz w:val="22"/>
                <w:szCs w:val="22"/>
              </w:rPr>
              <w:t xml:space="preserve">Shield Basic</w:t>
            </w:r>
          </w:p>
        </w:tc>
        <w:tc>
          <w:p>
            <w:pPr>
              <w:spacing w:after="120"/>
            </w:pPr>
            <w:r>
              <w:rPr>
                <w:sz w:val="22"/>
                <w:szCs w:val="22"/>
              </w:rPr>
              <w:t xml:space="preserve">$29/mo</w:t>
            </w:r>
          </w:p>
        </w:tc>
        <w:tc>
          <w:p>
            <w:pPr>
              <w:spacing w:after="120"/>
            </w:pPr>
            <w:r>
              <w:rPr>
                <w:sz w:val="22"/>
                <w:szCs w:val="22"/>
              </w:rPr>
              <w:t xml:space="preserve">$25 credit</w:t>
            </w:r>
          </w:p>
        </w:tc>
      </w:tr>
      <w:tr>
        <w:tc>
          <w:p>
            <w:pPr>
              <w:spacing w:after="120"/>
            </w:pPr>
            <w:r>
              <w:rPr>
                <w:sz w:val="22"/>
                <w:szCs w:val="22"/>
              </w:rPr>
              <w:t xml:space="preserve">Shield Plus</w:t>
            </w:r>
          </w:p>
        </w:tc>
        <w:tc>
          <w:p>
            <w:pPr>
              <w:spacing w:after="120"/>
            </w:pPr>
            <w:r>
              <w:rPr>
                <w:sz w:val="22"/>
                <w:szCs w:val="22"/>
              </w:rPr>
              <w:t xml:space="preserve">$49/mo</w:t>
            </w:r>
          </w:p>
        </w:tc>
        <w:tc>
          <w:p>
            <w:pPr>
              <w:spacing w:after="120"/>
            </w:pPr>
            <w:r>
              <w:rPr>
                <w:sz w:val="22"/>
                <w:szCs w:val="22"/>
              </w:rPr>
              <w:t xml:space="preserve">$45 credit</w:t>
            </w:r>
          </w:p>
        </w:tc>
      </w:tr>
      <w:tr>
        <w:tc>
          <w:p>
            <w:pPr>
              <w:spacing w:after="120"/>
            </w:pPr>
            <w:r>
              <w:rPr>
                <w:sz w:val="22"/>
                <w:szCs w:val="22"/>
              </w:rPr>
              <w:t xml:space="preserve">Shield Pro</w:t>
            </w:r>
          </w:p>
        </w:tc>
        <w:tc>
          <w:p>
            <w:pPr>
              <w:spacing w:after="120"/>
            </w:pPr>
            <w:r>
              <w:rPr>
                <w:sz w:val="22"/>
                <w:szCs w:val="22"/>
              </w:rPr>
              <w:t xml:space="preserve">$99/mo</w:t>
            </w:r>
          </w:p>
        </w:tc>
        <w:tc>
          <w:p>
            <w:pPr>
              <w:spacing w:after="120"/>
            </w:pPr>
            <w:r>
              <w:rPr>
                <w:sz w:val="22"/>
                <w:szCs w:val="22"/>
              </w:rPr>
              <w:t xml:space="preserve">$90 credit + priority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Unused credit rolls over. Top-ups available. Platform margin = subscription fee minus credit allocated + any platform/referral fee on connections.</w:t>
      </w:r>
    </w:p>
    <w:p>
      <w:pPr>
        <w:pStyle w:val="Heading1"/>
        <w:spacing w:after="120" w:before="240"/>
      </w:pPr>
      <w:r>
        <w:t xml:space="preserve">Lawyer Billing Structure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First 15 minutes: charged as one block (25% of lawyer hourly rate), even if call is shorter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Minutes 16–60: billed per minute at hourly rate ÷ 60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60 minutes: billed in full hourly blocks</w:t>
      </w:r>
    </w:p>
    <w:p>
      <w:pPr>
        <w:spacing w:after="120"/>
      </w:pPr>
      <w:r>
        <w:rPr>
          <w:sz w:val="22"/>
          <w:szCs w:val="22"/>
        </w:rPr>
        <w:t xml:space="preserve">Example at $360/hr: 4 min call = $90 | 25 min = $150 | 75 min = $720</w:t>
      </w:r>
    </w:p>
    <w:p>
      <w:pPr>
        <w:spacing w:after="120"/>
      </w:pPr>
      <w:r>
        <w:rPr>
          <w:sz w:val="22"/>
          <w:szCs w:val="22"/>
        </w:rPr>
        <w:t xml:space="preserve">ShieldAU deducts from user Shield Credit at end of call and pays the independent lawyer from the pre-funded pool. This enables subscription economics and ensures lawyers are paid promptly.</w:t>
      </w:r>
    </w:p>
    <w:p>
      <w:pPr>
        <w:pStyle w:val="Heading1"/>
        <w:spacing w:after="120" w:before="240"/>
      </w:pPr>
      <w:r>
        <w:t xml:space="preserve">Lawyer Compensation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Rostered panel — lawyers sign up for shifts (evenings, weekends)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Paid from Shield Credit pool after each completed call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Typical urgent criminal lawyer rates: $300–$450/hr depending on seniority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After-hours premium built into hourly rates</w:t>
      </w:r>
    </w:p>
    <w:p>
      <w:pPr>
        <w:spacing w:after="120"/>
      </w:pPr>
      <w:r>
        <w:rPr>
          <w:sz w:val="22"/>
          <w:szCs w:val="22"/>
        </w:rPr>
        <w:t xml:space="preserve">Expect $150–$400+ effective cost per consultation depending on duration and lawyer seniority.</w:t>
      </w:r>
    </w:p>
    <w:p>
      <w:pPr>
        <w:pStyle w:val="Heading1"/>
        <w:spacing w:after="120" w:before="240"/>
      </w:pPr>
      <w:r>
        <w:t xml:space="preserve">Target Market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General public — moderate demand, spikes after high-profile incidents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Medicinal cannabis patients — high demand in QLD, WA (strict zero-tolerance)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Aboriginal &amp; Torres Strait Islander communities — culturally appropriate rapid support (alongside ATSILS)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CALD communities and young people — language barriers, rights knowledge gaps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People with prior police contact — repeat demand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Regional Queensland — limited after-hours legal access</w:t>
      </w:r>
    </w:p>
    <w:p>
      <w:pPr>
        <w:pStyle w:val="Heading1"/>
        <w:spacing w:after="120" w:before="240"/>
      </w:pPr>
      <w:r>
        <w:t xml:space="preserve">Go-to-Market (Phase 1 — Queensland)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 with 1–2 established Gold Coast / Brisbane criminal law firms for panel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Launch MVP app with QLD rights, cannabis module, ATSILS links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Marketing: "Know your rights" + "Fast lawyer access" — never "beat the system"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Community partnerships: medicinal cannabis patient groups, youth legal education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Phase 2: NSW/VIC panel expansion; Phase 3: national</w:t>
      </w:r>
    </w:p>
    <w:p>
      <w:pPr>
        <w:pStyle w:val="Heading1"/>
        <w:spacing w:after="120" w:before="240"/>
      </w:pPr>
      <w:r>
        <w:t xml:space="preserve">Competitive Landscape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Legal Aid Queensland — duty lawyers, limited scope and hours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Community legal centres (Caxton, Southside) — excellent but capacity-constrained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General legal apps (Lawpath, etc.) — not police-interaction focused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Attorney Shield (US) — proven model, not adapted for Australian law</w:t>
      </w:r>
    </w:p>
    <w:p>
      <w:pPr>
        <w:spacing w:after="120"/>
      </w:pPr>
      <w:r>
        <w:rPr>
          <w:sz w:val="22"/>
          <w:szCs w:val="22"/>
        </w:rPr>
        <w:t xml:space="preserve">Gap: No Australian service offers near-instant, police-interaction-specific lawyer connection with pre-funded subscription credit.</w:t>
      </w:r>
    </w:p>
    <w:p>
      <w:pPr>
        <w:pStyle w:val="Heading1"/>
        <w:spacing w:after="120" w:before="240"/>
      </w:pPr>
      <w:r>
        <w:t xml:space="preserve">Financial Projections (Year 1 — Illustrative)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 1–3: 200 subscribers avg $45/mo = $9,000/mo gross; 40% margin on credit pool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 6: 800 subscribers = $36,000/mo; 120 lawyer connections/mo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Month 12: 2,500 subscribers = $112,500/mo; break-even on ops + panel costs</w:t>
      </w:r>
    </w:p>
    <w:p>
      <w:pPr>
        <w:spacing w:after="120"/>
      </w:pPr>
      <w:r>
        <w:rPr>
          <w:sz w:val="22"/>
          <w:szCs w:val="22"/>
        </w:rPr>
        <w:t xml:space="preserve">Initial capital required: lawyer payment float ($20–50k), platform build ($30–80k), legal/compliance ($15–25k), insurance ($5–10k/yr).</w:t>
      </w:r>
    </w:p>
    <w:p>
      <w:pPr>
        <w:pStyle w:val="Heading1"/>
        <w:spacing w:after="120" w:before="240"/>
      </w:pPr>
      <w:r>
        <w:t xml:space="preserve">Risks &amp; Mitigations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Regulatory — mitigated by technology-only model, lawyer panel, legal review of all content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breach — mitigated by encryption, AU hosting, minimal data collection, privacy lawyer engagement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Lawyer availability — mitigated by rostered shifts, fair compensation, multiple panel firms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Reputational — mitigated by transparent disclaimers, no over-promising, ATSILS partnership respect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Subscription regulatory scrutiny — mitigated by clear separation: credit pays technology + lawyer referral, not "legal advice subscription"</w:t>
      </w:r>
    </w:p>
    <w:p>
      <w:pPr>
        <w:pStyle w:val="Heading1"/>
        <w:spacing w:after="120" w:before="240"/>
      </w:pPr>
      <w:r>
        <w:t xml:space="preserve">Next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Engage Queensland commercial lawyer for platform structure review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 MOU with pilot law firm panel (Gold Coast criminal/traffic)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Privacy impact assessment and APP-compliant privacy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production MVP (encrypted calls via Twilio/Vonage AU)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Apply for platform PI insurance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 launch Gold Coast — 100 beta users</w:t>
      </w:r>
    </w:p>
    <w:p>
      <w:pPr>
        <w:spacing w:before="400"/>
        <w:jc w:val="center"/>
      </w:pPr>
      <w:r>
        <w:rPr>
          <w:i/>
          <w:iCs/>
          <w:color w:val="94A3B8"/>
          <w:sz w:val="20"/>
          <w:szCs w:val="20"/>
        </w:rPr>
        <w:t xml:space="preserve">— End of Business Plan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2026-06-25T01:50:01.436Z</dcterms:created>
  <dcterms:modified xsi:type="dcterms:W3CDTF">2026-06-25T01:50:01.438Z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