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8E4" w:rsidRDefault="005B38E4" w:rsidP="001A1447">
      <w:pPr>
        <w:pStyle w:val="ListParagraph"/>
        <w:spacing w:after="0" w:line="240" w:lineRule="auto"/>
        <w:ind w:left="806"/>
        <w:rPr>
          <w:rFonts w:ascii="Arial" w:hAnsi="Arial"/>
          <w:b/>
        </w:rPr>
      </w:pPr>
      <w:r w:rsidRPr="009E2CBF">
        <w:rPr>
          <w:rFonts w:ascii="Arial" w:hAnsi="Arial"/>
          <w:b/>
        </w:rPr>
        <w:t>Quantitative Literacy Skills Rubric</w:t>
      </w:r>
    </w:p>
    <w:p w:rsidR="005B38E4" w:rsidRPr="009E2CBF" w:rsidRDefault="005B38E4" w:rsidP="005B38E4">
      <w:pPr>
        <w:pStyle w:val="ListParagraph"/>
        <w:spacing w:after="0" w:line="240" w:lineRule="auto"/>
        <w:ind w:left="810"/>
        <w:rPr>
          <w:rFonts w:ascii="Arial" w:hAnsi="Arial"/>
          <w:b/>
        </w:rPr>
      </w:pPr>
      <w:r w:rsidRPr="009E2CBF">
        <w:rPr>
          <w:rFonts w:ascii="Arial" w:hAnsi="Arial" w:cs="Arial"/>
          <w:b/>
          <w:sz w:val="20"/>
          <w:szCs w:val="18"/>
        </w:rPr>
        <w:t xml:space="preserve">Learning Objective: </w:t>
      </w:r>
      <w:r w:rsidRPr="009E2CBF">
        <w:rPr>
          <w:rFonts w:ascii="Arial" w:hAnsi="Arial" w:cs="Arial"/>
          <w:sz w:val="20"/>
          <w:szCs w:val="18"/>
        </w:rPr>
        <w:t>Quantitative Literacy (QL) – also known as Numeracy or Quantitative Reasoning (QR) – is a "habit of mind," competency, and comfort in working with numerical data. Individuals with strong QL skills possess the ability to reason and solve quantitative problems from a wide array of authentic contexts and everyday life situations. They understand and can create sophisticated arguments supported by quantitative evidence and they can clearly communicate those arguments in a variety of formats (using words, tables, graphs, mathematical equations, etc., as appropriate).</w:t>
      </w:r>
    </w:p>
    <w:p w:rsidR="005B38E4" w:rsidRPr="009E2CBF" w:rsidRDefault="005B38E4" w:rsidP="005B38E4">
      <w:pPr>
        <w:tabs>
          <w:tab w:val="left" w:pos="12885"/>
        </w:tabs>
        <w:rPr>
          <w:rFonts w:ascii="Arial" w:hAnsi="Arial"/>
          <w:b/>
          <w:sz w:val="10"/>
          <w:szCs w:val="10"/>
        </w:rPr>
      </w:pPr>
    </w:p>
    <w:tbl>
      <w:tblPr>
        <w:tblStyle w:val="TableGrid"/>
        <w:tblW w:w="9090" w:type="dxa"/>
        <w:tblInd w:w="805" w:type="dxa"/>
        <w:tblLayout w:type="fixed"/>
        <w:tblLook w:val="04A0" w:firstRow="1" w:lastRow="0" w:firstColumn="1" w:lastColumn="0" w:noHBand="0" w:noVBand="1"/>
      </w:tblPr>
      <w:tblGrid>
        <w:gridCol w:w="1620"/>
        <w:gridCol w:w="1620"/>
        <w:gridCol w:w="2790"/>
        <w:gridCol w:w="3060"/>
      </w:tblGrid>
      <w:tr w:rsidR="001A1447" w:rsidRPr="0042226A" w:rsidTr="001A1447">
        <w:trPr>
          <w:trHeight w:val="119"/>
        </w:trPr>
        <w:tc>
          <w:tcPr>
            <w:tcW w:w="3240" w:type="dxa"/>
            <w:gridSpan w:val="2"/>
            <w:shd w:val="clear" w:color="auto" w:fill="44546A" w:themeFill="text2"/>
            <w:vAlign w:val="center"/>
          </w:tcPr>
          <w:p w:rsidR="001A1447" w:rsidRPr="0042226A" w:rsidRDefault="001A1447" w:rsidP="001A1447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2226A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Traits</w:t>
            </w:r>
          </w:p>
        </w:tc>
        <w:tc>
          <w:tcPr>
            <w:tcW w:w="5850" w:type="dxa"/>
            <w:gridSpan w:val="2"/>
            <w:shd w:val="clear" w:color="auto" w:fill="44546A" w:themeFill="text2"/>
            <w:vAlign w:val="center"/>
          </w:tcPr>
          <w:p w:rsidR="001A1447" w:rsidRDefault="001A1447" w:rsidP="001A1447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9229E">
              <w:rPr>
                <w:rFonts w:ascii="Arial" w:hAnsi="Arial" w:cs="Arial"/>
                <w:b/>
                <w:color w:val="FFFFFF" w:themeColor="background1"/>
                <w:sz w:val="18"/>
              </w:rPr>
              <w:t>Performance</w:t>
            </w:r>
          </w:p>
          <w:p w:rsidR="001A1447" w:rsidRDefault="001A1447" w:rsidP="001A1447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</w:p>
          <w:p w:rsidR="001A1447" w:rsidRPr="009C71A7" w:rsidRDefault="001A1447" w:rsidP="001A1447">
            <w:pPr>
              <w:jc w:val="center"/>
              <w:rPr>
                <w:rFonts w:ascii="Arial" w:hAnsi="Arial" w:cs="Arial"/>
                <w:color w:val="FFFFFF" w:themeColor="background1"/>
                <w:sz w:val="18"/>
              </w:rPr>
            </w:pPr>
            <w:r w:rsidRPr="009C71A7">
              <w:rPr>
                <w:rFonts w:ascii="Arial" w:hAnsi="Arial" w:cs="Arial"/>
                <w:color w:val="FFFFFF" w:themeColor="background1"/>
                <w:sz w:val="16"/>
              </w:rPr>
              <w:t>Evaluation:  Not Yet   1   2   3   4   5   6   7   8   9   10   Substantially Developed</w:t>
            </w:r>
          </w:p>
        </w:tc>
      </w:tr>
      <w:tr w:rsidR="001A1447" w:rsidRPr="0042226A" w:rsidTr="001A1447">
        <w:tc>
          <w:tcPr>
            <w:tcW w:w="1620" w:type="dxa"/>
            <w:vAlign w:val="center"/>
          </w:tcPr>
          <w:p w:rsidR="001A1447" w:rsidRPr="00545F61" w:rsidRDefault="001A1447" w:rsidP="001A1447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</w:tc>
        <w:tc>
          <w:tcPr>
            <w:tcW w:w="1620" w:type="dxa"/>
            <w:vAlign w:val="center"/>
          </w:tcPr>
          <w:p w:rsidR="001A1447" w:rsidRDefault="001A1447" w:rsidP="001A1447">
            <w:pPr>
              <w:tabs>
                <w:tab w:val="left" w:pos="3541"/>
              </w:tabs>
              <w:rPr>
                <w:rFonts w:ascii="Arial" w:hAnsi="Arial" w:cs="Arial"/>
                <w:b/>
                <w:bCs/>
                <w:iCs/>
                <w:sz w:val="18"/>
                <w:szCs w:val="20"/>
              </w:rPr>
            </w:pPr>
          </w:p>
        </w:tc>
        <w:tc>
          <w:tcPr>
            <w:tcW w:w="2790" w:type="dxa"/>
            <w:vAlign w:val="center"/>
          </w:tcPr>
          <w:p w:rsidR="001A1447" w:rsidRDefault="001A1447" w:rsidP="001A1447">
            <w:pPr>
              <w:tabs>
                <w:tab w:val="left" w:pos="3541"/>
              </w:tabs>
              <w:jc w:val="center"/>
              <w:rPr>
                <w:rFonts w:ascii="Arial" w:hAnsi="Arial" w:cs="Arial"/>
                <w:b/>
                <w:bCs/>
                <w:iCs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sz w:val="18"/>
                <w:szCs w:val="20"/>
              </w:rPr>
              <w:t>Not Yet</w:t>
            </w:r>
          </w:p>
        </w:tc>
        <w:tc>
          <w:tcPr>
            <w:tcW w:w="3060" w:type="dxa"/>
            <w:vAlign w:val="center"/>
          </w:tcPr>
          <w:p w:rsidR="001A1447" w:rsidRPr="00545F61" w:rsidRDefault="001A1447" w:rsidP="001A1447">
            <w:pPr>
              <w:tabs>
                <w:tab w:val="left" w:pos="3541"/>
              </w:tabs>
              <w:jc w:val="center"/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 w:rsidRPr="00545F61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Substantially Developed</w:t>
            </w:r>
          </w:p>
        </w:tc>
      </w:tr>
      <w:tr w:rsidR="005B38E4" w:rsidRPr="0042226A" w:rsidTr="001A1447">
        <w:trPr>
          <w:trHeight w:val="477"/>
        </w:trPr>
        <w:tc>
          <w:tcPr>
            <w:tcW w:w="1620" w:type="dxa"/>
            <w:vAlign w:val="center"/>
          </w:tcPr>
          <w:p w:rsidR="005B38E4" w:rsidRPr="00545F61" w:rsidRDefault="005B38E4" w:rsidP="001A1447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  <w:p w:rsidR="005B38E4" w:rsidRPr="00545F61" w:rsidRDefault="005B38E4" w:rsidP="001A1447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545F61">
              <w:rPr>
                <w:rFonts w:ascii="Arial" w:hAnsi="Arial" w:cs="Arial"/>
                <w:b/>
                <w:sz w:val="18"/>
                <w:szCs w:val="18"/>
                <w:u w:val="single"/>
              </w:rPr>
              <w:t>Interpretation</w:t>
            </w:r>
          </w:p>
        </w:tc>
        <w:tc>
          <w:tcPr>
            <w:tcW w:w="1620" w:type="dxa"/>
            <w:vAlign w:val="center"/>
          </w:tcPr>
          <w:p w:rsidR="005B38E4" w:rsidRPr="00545F61" w:rsidRDefault="005B38E4" w:rsidP="001A1447">
            <w:pPr>
              <w:rPr>
                <w:rFonts w:ascii="Arial" w:hAnsi="Arial" w:cs="Arial"/>
                <w:sz w:val="18"/>
                <w:szCs w:val="18"/>
              </w:rPr>
            </w:pPr>
            <w:r w:rsidRPr="00545F61">
              <w:rPr>
                <w:rFonts w:ascii="Arial" w:hAnsi="Arial" w:cs="Arial"/>
                <w:sz w:val="18"/>
                <w:szCs w:val="18"/>
              </w:rPr>
              <w:t>Ability to explain information presented in mathematical forms (e.g., equations, graphs, diagrams, tables, words).</w:t>
            </w:r>
          </w:p>
        </w:tc>
        <w:tc>
          <w:tcPr>
            <w:tcW w:w="2790" w:type="dxa"/>
            <w:vAlign w:val="center"/>
          </w:tcPr>
          <w:p w:rsidR="005B38E4" w:rsidRPr="00545F61" w:rsidRDefault="005B38E4" w:rsidP="001A1447">
            <w:pPr>
              <w:tabs>
                <w:tab w:val="left" w:pos="3541"/>
              </w:tabs>
              <w:rPr>
                <w:rFonts w:ascii="Arial" w:hAnsi="Arial" w:cs="Arial"/>
                <w:bCs/>
                <w:iCs/>
                <w:sz w:val="18"/>
                <w:szCs w:val="18"/>
              </w:rPr>
            </w:pPr>
            <w:r w:rsidRPr="00545F61">
              <w:rPr>
                <w:rFonts w:ascii="Arial" w:hAnsi="Arial" w:cs="Arial"/>
                <w:bCs/>
                <w:iCs/>
                <w:sz w:val="18"/>
                <w:szCs w:val="18"/>
              </w:rPr>
              <w:t xml:space="preserve">Attempts to explain information presented in mathematical forms, but draws incorrect conclusions about what the information means. </w:t>
            </w:r>
          </w:p>
        </w:tc>
        <w:tc>
          <w:tcPr>
            <w:tcW w:w="3060" w:type="dxa"/>
            <w:vAlign w:val="center"/>
          </w:tcPr>
          <w:p w:rsidR="005B38E4" w:rsidRPr="00545F61" w:rsidRDefault="005B38E4" w:rsidP="001A1447">
            <w:pPr>
              <w:rPr>
                <w:rFonts w:ascii="Arial" w:hAnsi="Arial" w:cs="Arial"/>
                <w:sz w:val="18"/>
                <w:szCs w:val="18"/>
              </w:rPr>
            </w:pPr>
            <w:r w:rsidRPr="00545F61">
              <w:rPr>
                <w:rFonts w:ascii="Arial" w:hAnsi="Arial" w:cs="Arial"/>
                <w:sz w:val="18"/>
                <w:szCs w:val="18"/>
              </w:rPr>
              <w:t xml:space="preserve">Provides accurate explanations of information presented in mathematical forms. Makes appropriate inferences based on that information. </w:t>
            </w:r>
          </w:p>
        </w:tc>
      </w:tr>
      <w:tr w:rsidR="005B38E4" w:rsidRPr="0042226A" w:rsidTr="001A1447">
        <w:trPr>
          <w:trHeight w:val="978"/>
        </w:trPr>
        <w:tc>
          <w:tcPr>
            <w:tcW w:w="1620" w:type="dxa"/>
            <w:vAlign w:val="center"/>
          </w:tcPr>
          <w:p w:rsidR="005B38E4" w:rsidRPr="00545F61" w:rsidRDefault="005B38E4" w:rsidP="001A1447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545F61">
              <w:rPr>
                <w:rFonts w:ascii="Arial" w:hAnsi="Arial" w:cs="Arial"/>
                <w:b/>
                <w:sz w:val="18"/>
                <w:szCs w:val="18"/>
                <w:u w:val="single"/>
              </w:rPr>
              <w:t>Representation</w:t>
            </w:r>
          </w:p>
        </w:tc>
        <w:tc>
          <w:tcPr>
            <w:tcW w:w="1620" w:type="dxa"/>
            <w:vAlign w:val="center"/>
          </w:tcPr>
          <w:p w:rsidR="005B38E4" w:rsidRPr="00545F61" w:rsidRDefault="005B38E4" w:rsidP="001A1447">
            <w:pPr>
              <w:rPr>
                <w:rFonts w:ascii="Arial" w:hAnsi="Arial" w:cs="Arial"/>
                <w:sz w:val="18"/>
                <w:szCs w:val="18"/>
              </w:rPr>
            </w:pPr>
            <w:r w:rsidRPr="00545F61">
              <w:rPr>
                <w:rFonts w:ascii="Arial" w:hAnsi="Arial" w:cs="Arial"/>
                <w:sz w:val="18"/>
                <w:szCs w:val="18"/>
              </w:rPr>
              <w:t>Ability to convert relevant information into various mathematical forms (e.g., equations, graphs, diagrams, tables, words).</w:t>
            </w:r>
          </w:p>
        </w:tc>
        <w:tc>
          <w:tcPr>
            <w:tcW w:w="2790" w:type="dxa"/>
            <w:vAlign w:val="center"/>
          </w:tcPr>
          <w:p w:rsidR="005B38E4" w:rsidRPr="00545F61" w:rsidRDefault="005B38E4" w:rsidP="001A1447">
            <w:pPr>
              <w:tabs>
                <w:tab w:val="left" w:pos="3541"/>
              </w:tabs>
              <w:rPr>
                <w:rFonts w:ascii="Arial" w:hAnsi="Arial" w:cs="Arial"/>
                <w:bCs/>
                <w:iCs/>
                <w:sz w:val="18"/>
                <w:szCs w:val="18"/>
              </w:rPr>
            </w:pPr>
            <w:r w:rsidRPr="00545F61">
              <w:rPr>
                <w:rFonts w:ascii="Arial" w:hAnsi="Arial" w:cs="Arial"/>
                <w:bCs/>
                <w:iCs/>
                <w:sz w:val="18"/>
                <w:szCs w:val="18"/>
              </w:rPr>
              <w:t>Completes conversion of information but resulting mathematical portrayal is inappropriate or inaccurate.</w:t>
            </w:r>
          </w:p>
        </w:tc>
        <w:tc>
          <w:tcPr>
            <w:tcW w:w="3060" w:type="dxa"/>
            <w:vAlign w:val="center"/>
          </w:tcPr>
          <w:p w:rsidR="005B38E4" w:rsidRPr="00545F61" w:rsidRDefault="005B38E4" w:rsidP="001A1447">
            <w:pPr>
              <w:rPr>
                <w:rFonts w:ascii="Arial" w:hAnsi="Arial" w:cs="Arial"/>
                <w:sz w:val="18"/>
                <w:szCs w:val="18"/>
              </w:rPr>
            </w:pPr>
            <w:r w:rsidRPr="00545F61">
              <w:rPr>
                <w:rFonts w:ascii="Arial" w:hAnsi="Arial" w:cs="Arial"/>
                <w:sz w:val="18"/>
                <w:szCs w:val="18"/>
              </w:rPr>
              <w:t>Skillfully converts relevant information into an insightful mathematical portrayal in a way that contributes to a further or deeper understanding.</w:t>
            </w:r>
          </w:p>
        </w:tc>
      </w:tr>
      <w:tr w:rsidR="005B38E4" w:rsidRPr="0042226A" w:rsidTr="001A1447">
        <w:trPr>
          <w:trHeight w:val="1232"/>
        </w:trPr>
        <w:tc>
          <w:tcPr>
            <w:tcW w:w="1620" w:type="dxa"/>
            <w:vAlign w:val="center"/>
          </w:tcPr>
          <w:p w:rsidR="005B38E4" w:rsidRPr="00545F61" w:rsidRDefault="005B38E4" w:rsidP="001A1447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545F61">
              <w:rPr>
                <w:rFonts w:ascii="Arial" w:hAnsi="Arial" w:cs="Arial"/>
                <w:b/>
                <w:sz w:val="18"/>
                <w:szCs w:val="18"/>
                <w:u w:val="single"/>
              </w:rPr>
              <w:t>Calculation</w:t>
            </w:r>
          </w:p>
        </w:tc>
        <w:tc>
          <w:tcPr>
            <w:tcW w:w="1620" w:type="dxa"/>
            <w:vAlign w:val="center"/>
          </w:tcPr>
          <w:p w:rsidR="005B38E4" w:rsidRPr="00545F61" w:rsidRDefault="005B38E4" w:rsidP="001A1447">
            <w:pPr>
              <w:rPr>
                <w:rFonts w:ascii="Arial" w:hAnsi="Arial" w:cs="Arial"/>
                <w:sz w:val="18"/>
                <w:szCs w:val="18"/>
              </w:rPr>
            </w:pPr>
            <w:r w:rsidRPr="00545F61">
              <w:rPr>
                <w:rFonts w:ascii="Arial" w:hAnsi="Arial" w:cs="Arial"/>
                <w:sz w:val="18"/>
                <w:szCs w:val="18"/>
              </w:rPr>
              <w:t>Ability to perform calculations.</w:t>
            </w:r>
          </w:p>
        </w:tc>
        <w:tc>
          <w:tcPr>
            <w:tcW w:w="2790" w:type="dxa"/>
            <w:vAlign w:val="center"/>
          </w:tcPr>
          <w:p w:rsidR="005B38E4" w:rsidRPr="00545F61" w:rsidRDefault="005B38E4" w:rsidP="001A1447">
            <w:pPr>
              <w:rPr>
                <w:rFonts w:ascii="Arial" w:hAnsi="Arial" w:cs="Arial"/>
                <w:sz w:val="18"/>
                <w:szCs w:val="18"/>
              </w:rPr>
            </w:pPr>
            <w:r w:rsidRPr="00545F61">
              <w:rPr>
                <w:rFonts w:ascii="Arial" w:hAnsi="Arial" w:cs="Arial"/>
                <w:sz w:val="18"/>
                <w:szCs w:val="18"/>
              </w:rPr>
              <w:t xml:space="preserve">Calculations are attempted but are both unsuccessful and are not comprehensive. </w:t>
            </w:r>
          </w:p>
        </w:tc>
        <w:tc>
          <w:tcPr>
            <w:tcW w:w="3060" w:type="dxa"/>
            <w:vAlign w:val="center"/>
          </w:tcPr>
          <w:p w:rsidR="005B38E4" w:rsidRPr="00545F61" w:rsidRDefault="005B38E4" w:rsidP="001A1447">
            <w:pPr>
              <w:rPr>
                <w:rFonts w:ascii="Arial" w:hAnsi="Arial" w:cs="Arial"/>
                <w:sz w:val="18"/>
                <w:szCs w:val="18"/>
              </w:rPr>
            </w:pPr>
            <w:r w:rsidRPr="00545F61">
              <w:rPr>
                <w:rFonts w:ascii="Arial" w:hAnsi="Arial" w:cs="Arial"/>
                <w:sz w:val="18"/>
                <w:szCs w:val="18"/>
              </w:rPr>
              <w:t>Calculations attempted are essentially all successful and sufficiently comprehensive to solve the problem. Calculations are also presented elegantly (clearly, concisely, etc.).</w:t>
            </w:r>
          </w:p>
        </w:tc>
      </w:tr>
      <w:tr w:rsidR="005B38E4" w:rsidRPr="0042226A" w:rsidTr="001A1447">
        <w:trPr>
          <w:trHeight w:val="979"/>
        </w:trPr>
        <w:tc>
          <w:tcPr>
            <w:tcW w:w="1620" w:type="dxa"/>
            <w:vAlign w:val="center"/>
          </w:tcPr>
          <w:p w:rsidR="005B38E4" w:rsidRPr="00545F61" w:rsidRDefault="005B38E4" w:rsidP="001A1447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545F61">
              <w:rPr>
                <w:rFonts w:ascii="Arial" w:hAnsi="Arial" w:cs="Arial"/>
                <w:b/>
                <w:sz w:val="18"/>
                <w:szCs w:val="18"/>
                <w:u w:val="single"/>
              </w:rPr>
              <w:t>Application/ Analysis</w:t>
            </w:r>
          </w:p>
        </w:tc>
        <w:tc>
          <w:tcPr>
            <w:tcW w:w="1620" w:type="dxa"/>
            <w:vAlign w:val="center"/>
          </w:tcPr>
          <w:p w:rsidR="005B38E4" w:rsidRPr="00545F61" w:rsidRDefault="005B38E4" w:rsidP="001A1447">
            <w:pPr>
              <w:rPr>
                <w:rFonts w:ascii="Arial" w:hAnsi="Arial" w:cs="Arial"/>
                <w:sz w:val="18"/>
                <w:szCs w:val="18"/>
              </w:rPr>
            </w:pPr>
            <w:r w:rsidRPr="00545F61">
              <w:rPr>
                <w:rFonts w:ascii="Arial" w:hAnsi="Arial" w:cs="Arial"/>
                <w:sz w:val="18"/>
                <w:szCs w:val="18"/>
              </w:rPr>
              <w:t>Ability to make judgments and draw appropriate conclusions based on the quantitative analysis of data, while recognizing the limits of this analysis.</w:t>
            </w:r>
          </w:p>
        </w:tc>
        <w:tc>
          <w:tcPr>
            <w:tcW w:w="2790" w:type="dxa"/>
            <w:vAlign w:val="center"/>
          </w:tcPr>
          <w:p w:rsidR="005B38E4" w:rsidRPr="00545F61" w:rsidRDefault="005B38E4" w:rsidP="001A1447">
            <w:pPr>
              <w:tabs>
                <w:tab w:val="left" w:pos="3541"/>
              </w:tabs>
              <w:rPr>
                <w:rFonts w:ascii="Arial" w:hAnsi="Arial" w:cs="Arial"/>
                <w:bCs/>
                <w:iCs/>
                <w:sz w:val="18"/>
                <w:szCs w:val="18"/>
              </w:rPr>
            </w:pPr>
            <w:r w:rsidRPr="00545F61">
              <w:rPr>
                <w:rFonts w:ascii="Arial" w:hAnsi="Arial" w:cs="Arial"/>
                <w:bCs/>
                <w:iCs/>
                <w:sz w:val="18"/>
                <w:szCs w:val="18"/>
              </w:rPr>
              <w:t>Uses the quantitative analysis of data as the basis for tentative, basic judgments, although is uncertain about drawing conclusions from this work.</w:t>
            </w:r>
          </w:p>
        </w:tc>
        <w:tc>
          <w:tcPr>
            <w:tcW w:w="3060" w:type="dxa"/>
            <w:vAlign w:val="center"/>
          </w:tcPr>
          <w:p w:rsidR="005B38E4" w:rsidRPr="00545F61" w:rsidRDefault="005B38E4" w:rsidP="001A1447">
            <w:pPr>
              <w:tabs>
                <w:tab w:val="left" w:pos="3541"/>
              </w:tabs>
              <w:rPr>
                <w:rFonts w:ascii="Arial" w:hAnsi="Arial" w:cs="Arial"/>
                <w:bCs/>
                <w:iCs/>
                <w:sz w:val="18"/>
                <w:szCs w:val="18"/>
              </w:rPr>
            </w:pPr>
            <w:r w:rsidRPr="00545F61">
              <w:rPr>
                <w:rFonts w:ascii="Arial" w:hAnsi="Arial" w:cs="Arial"/>
                <w:bCs/>
                <w:iCs/>
                <w:sz w:val="18"/>
                <w:szCs w:val="18"/>
              </w:rPr>
              <w:t>Uses the quantitative analysis of data as the basis for deep and thoughtful judgments, drawing insightful, carefully qualified conclusions from this work.</w:t>
            </w:r>
          </w:p>
        </w:tc>
      </w:tr>
      <w:tr w:rsidR="005B38E4" w:rsidRPr="0042226A" w:rsidTr="001A1447">
        <w:trPr>
          <w:trHeight w:val="1097"/>
        </w:trPr>
        <w:tc>
          <w:tcPr>
            <w:tcW w:w="1620" w:type="dxa"/>
            <w:vAlign w:val="center"/>
          </w:tcPr>
          <w:p w:rsidR="005B38E4" w:rsidRPr="00545F61" w:rsidRDefault="005B38E4" w:rsidP="001A1447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</w:pPr>
            <w:r w:rsidRPr="00545F6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  <w:t>Presentation</w:t>
            </w:r>
          </w:p>
        </w:tc>
        <w:tc>
          <w:tcPr>
            <w:tcW w:w="1620" w:type="dxa"/>
            <w:vAlign w:val="center"/>
          </w:tcPr>
          <w:p w:rsidR="005B38E4" w:rsidRPr="00545F61" w:rsidRDefault="005B38E4" w:rsidP="001A1447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545F61">
              <w:rPr>
                <w:rFonts w:ascii="Arial" w:hAnsi="Arial" w:cs="Arial"/>
                <w:bCs/>
                <w:color w:val="000000"/>
                <w:sz w:val="18"/>
                <w:szCs w:val="18"/>
              </w:rPr>
              <w:t>Expressing quantitative evidence in support of the argument or purpose of the work (in terms of what evidence is used and how it is formatted, presented, and contextualized).</w:t>
            </w:r>
          </w:p>
        </w:tc>
        <w:tc>
          <w:tcPr>
            <w:tcW w:w="2790" w:type="dxa"/>
            <w:vAlign w:val="center"/>
          </w:tcPr>
          <w:p w:rsidR="005B38E4" w:rsidRPr="00545F61" w:rsidRDefault="005B38E4" w:rsidP="001A1447">
            <w:pPr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  <w:r w:rsidRPr="00545F61">
              <w:rPr>
                <w:rFonts w:ascii="Arial" w:hAnsi="Arial" w:cs="Arial"/>
                <w:sz w:val="18"/>
                <w:szCs w:val="18"/>
              </w:rPr>
              <w:t xml:space="preserve">Presents an argument for which quantitative evidence is pertinent, but does not provide adequate explicit numerical support. </w:t>
            </w:r>
          </w:p>
        </w:tc>
        <w:tc>
          <w:tcPr>
            <w:tcW w:w="3060" w:type="dxa"/>
            <w:vAlign w:val="center"/>
          </w:tcPr>
          <w:p w:rsidR="005B38E4" w:rsidRPr="00545F61" w:rsidRDefault="005B38E4" w:rsidP="001A1447">
            <w:pPr>
              <w:rPr>
                <w:rFonts w:ascii="Arial" w:hAnsi="Arial" w:cs="Arial"/>
                <w:sz w:val="18"/>
                <w:szCs w:val="18"/>
              </w:rPr>
            </w:pPr>
            <w:r w:rsidRPr="00545F61">
              <w:rPr>
                <w:rFonts w:ascii="Arial" w:hAnsi="Arial" w:cs="Arial"/>
                <w:sz w:val="18"/>
                <w:szCs w:val="18"/>
              </w:rPr>
              <w:t>Uses quantitative information in connection with the argument or purpose of the work, presents it in an effective format, and explicates it with consistently high quality.</w:t>
            </w:r>
          </w:p>
        </w:tc>
      </w:tr>
    </w:tbl>
    <w:p w:rsidR="002219CD" w:rsidRDefault="002219CD" w:rsidP="001A1447"/>
    <w:sectPr w:rsidR="00221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45E22"/>
    <w:multiLevelType w:val="hybridMultilevel"/>
    <w:tmpl w:val="AEB62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9401860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1D9"/>
    <w:rsid w:val="001141D9"/>
    <w:rsid w:val="001A1447"/>
    <w:rsid w:val="002219CD"/>
    <w:rsid w:val="00452BF3"/>
    <w:rsid w:val="005B38E4"/>
    <w:rsid w:val="005B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B346F9-A793-4B28-9C46-EF5726580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41D9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eading2">
    <w:name w:val="heading 2"/>
    <w:basedOn w:val="Normal"/>
    <w:next w:val="Normal"/>
    <w:link w:val="Heading2Char"/>
    <w:unhideWhenUsed/>
    <w:qFormat/>
    <w:rsid w:val="001141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141D9"/>
    <w:pPr>
      <w:keepNext/>
      <w:jc w:val="center"/>
      <w:outlineLvl w:val="2"/>
    </w:pPr>
    <w:rPr>
      <w:rFonts w:eastAsia="Times New Roman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141D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rsid w:val="001141D9"/>
    <w:rPr>
      <w:rFonts w:ascii="Times New Roman" w:eastAsia="Times New Roman" w:hAnsi="Times New Roman" w:cs="Times New Roman"/>
      <w:b/>
      <w:sz w:val="24"/>
      <w:szCs w:val="20"/>
    </w:rPr>
  </w:style>
  <w:style w:type="table" w:styleId="TableGrid">
    <w:name w:val="Table Grid"/>
    <w:basedOn w:val="TableNormal"/>
    <w:uiPriority w:val="59"/>
    <w:rsid w:val="001141D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1141D9"/>
    <w:rPr>
      <w:rFonts w:eastAsia="Times New Roman"/>
      <w:b/>
      <w:bCs/>
      <w:color w:val="000000"/>
      <w:sz w:val="22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1141D9"/>
    <w:rPr>
      <w:rFonts w:ascii="Times New Roman" w:eastAsia="Times New Roman" w:hAnsi="Times New Roman" w:cs="Times New Roman"/>
      <w:b/>
      <w:bCs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5B38E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Melvyn Tan Gim Seng</dc:creator>
  <cp:keywords/>
  <dc:description/>
  <cp:lastModifiedBy>Melvyn Tan Gim Seng</cp:lastModifiedBy>
  <cp:revision>5</cp:revision>
  <dcterms:created xsi:type="dcterms:W3CDTF">2019-02-11T07:26:00Z</dcterms:created>
  <dcterms:modified xsi:type="dcterms:W3CDTF">2020-02-21T09:08:00Z</dcterms:modified>
</cp:coreProperties>
</file>