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  <w:bidiVisual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  <w:bidi/>
              <w:jc w:val="right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  <w:rtl w:val="1"/>
              </w:rPr>
              <w:t xml:space="preserve">التواصل</w:t>
            </w:r>
          </w:p>
          <w:p>
            <w:pPr>
              <w:spacing w:after="60"/>
              <w:bidi/>
              <w:jc w:val="right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  <w:rtl w:val="0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  <w:rtl w:val="0"/>
              </w:rPr>
              <w:t xml:space="preserve">000 000 0000</w:t>
            </w:r>
          </w:p>
          <w:p>
            <w:pPr>
              <w:spacing w:after="60"/>
              <w:bidi/>
              <w:jc w:val="right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  <w:rtl w:val="0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  <w:rtl w:val="0"/>
              </w:rPr>
              <w:t xml:space="preserve">person@example.org</w:t>
            </w:r>
          </w:p>
          <w:p>
            <w:pPr>
              <w:spacing w:after="60"/>
              <w:bidi/>
              <w:jc w:val="right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  <w:rtl w:val="0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مدينة افتراضية</w:t>
            </w:r>
          </w:p>
          <w:p>
            <w:pPr>
              <w:spacing w:after="60"/>
              <w:bidi/>
              <w:jc w:val="right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  <w:rtl w:val="0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مثال افتراضي — استبدل هذه البيانات.</w:t>
            </w:r>
          </w:p>
          <w:p>
            <w:pPr>
              <w:pBdr>
                <w:bottom w:val="single" w:sz="6" w:space="2" w:color="90CAF9"/>
              </w:pBdr>
              <w:spacing w:before="240" w:after="80"/>
              <w:bidi/>
              <w:jc w:val="right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  <w:rtl w:val="1"/>
              </w:rPr>
              <w:t xml:space="preserve">المهارات</w:t>
            </w:r>
          </w:p>
          <w:p>
            <w:pPr>
              <w:tabs>
                <w:tab w:val="left" w:pos="7484"/>
              </w:tabs>
              <w:spacing w:after="40"/>
              <w:bidi/>
              <w:jc w:val="right"/>
            </w:pP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تخطيط المشاريع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</w:p>
          <w:p>
            <w:pPr>
              <w:tabs>
                <w:tab w:val="left" w:pos="7484"/>
              </w:tabs>
              <w:spacing w:after="40"/>
              <w:bidi/>
              <w:jc w:val="right"/>
            </w:pP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تنظيم الاجتماعات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○</w:t>
            </w:r>
          </w:p>
          <w:p>
            <w:pPr>
              <w:tabs>
                <w:tab w:val="left" w:pos="7484"/>
              </w:tabs>
              <w:spacing w:after="40"/>
              <w:bidi/>
              <w:jc w:val="right"/>
            </w:pP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إعداد الوثائق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○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○</w:t>
            </w:r>
          </w:p>
          <w:p>
            <w:pPr>
              <w:tabs>
                <w:tab w:val="left" w:pos="7484"/>
              </w:tabs>
              <w:spacing w:after="40"/>
              <w:bidi/>
              <w:jc w:val="right"/>
            </w:pP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العمل الجماعي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○</w:t>
            </w:r>
          </w:p>
          <w:p>
            <w:pPr>
              <w:tabs>
                <w:tab w:val="left" w:pos="7484"/>
              </w:tabs>
              <w:spacing w:after="40"/>
              <w:bidi/>
              <w:jc w:val="right"/>
            </w:pP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برامج المكتب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</w:p>
          <w:p>
            <w:pPr>
              <w:pBdr>
                <w:bottom w:val="single" w:sz="6" w:space="2" w:color="90CAF9"/>
              </w:pBdr>
              <w:spacing w:before="240" w:after="80"/>
              <w:bidi/>
              <w:jc w:val="right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  <w:rtl w:val="1"/>
              </w:rPr>
              <w:t xml:space="preserve">اللغات</w:t>
            </w:r>
          </w:p>
          <w:p>
            <w:pPr>
              <w:spacing w:after="40"/>
              <w:bidi/>
              <w:jc w:val="right"/>
            </w:pP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الإنجليزية: متقدم</w:t>
            </w:r>
          </w:p>
          <w:p>
            <w:pPr>
              <w:spacing w:after="40"/>
              <w:bidi/>
              <w:jc w:val="right"/>
            </w:pP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الإسبانية: متوسط</w:t>
            </w:r>
          </w:p>
          <w:p>
            <w:pPr>
              <w:spacing w:after="40"/>
              <w:bidi/>
              <w:jc w:val="right"/>
            </w:pP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اللغات — بانتظار التأكيد</w:t>
            </w:r>
          </w:p>
          <w:p>
            <w:pPr>
              <w:pBdr>
                <w:bottom w:val="single" w:sz="6" w:space="2" w:color="90CAF9"/>
              </w:pBdr>
              <w:spacing w:before="240" w:after="80"/>
              <w:bidi/>
              <w:jc w:val="right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  <w:rtl w:val="1"/>
              </w:rPr>
              <w:t xml:space="preserve">الاهتمامات</w:t>
            </w:r>
          </w:p>
          <w:p>
            <w:pPr>
              <w:bidi/>
              <w:jc w:val="right"/>
            </w:pP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المشي والقراءة والتصوير.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  <w:bidi/>
              <w:jc w:val="right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  <w:rtl w:val="1"/>
              </w:rPr>
              <w:t xml:space="preserve">شخص افتراضي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  <w:rtl w:val="0"/>
              </w:rPr>
              <w:t xml:space="preserve"/>
            </w:r>
          </w:p>
          <w:p>
            <w:pPr>
              <w:spacing w:after="200"/>
              <w:bidi/>
              <w:jc w:val="right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  <w:rtl w:val="1"/>
              </w:rPr>
              <w:t xml:space="preserve">منسق مشاريع</w:t>
            </w:r>
          </w:p>
          <w:p>
            <w:pPr>
              <w:jc w:val="both"/>
              <w:bidi/>
            </w:pPr>
            <w:r>
              <w:rPr>
                <w:i w:val="0"/>
                <w:iCs w:val="0"/>
                <w:color w:val="404040"/>
                <w:rFonts w:ascii="DejaVu Sans" w:hAnsi="DejaVu Sans" w:eastAsia="DejaVu Sans" w:cs="DejaVu Sans"/>
                <w:rtl w:val="1"/>
              </w:rPr>
              <w:t xml:space="preserve">الملف الشخصي: تخطيط المشاريع; العمل الجماعي; إعداد الوثائق.</w:t>
            </w:r>
          </w:p>
          <w:p>
            <w:pPr>
              <w:pBdr>
                <w:bottom w:val="single" w:sz="12" w:space="2" w:color="2E75B6"/>
              </w:pBdr>
              <w:spacing w:before="240" w:after="100"/>
              <w:bidi/>
              <w:jc w:val="right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  <w:rtl w:val="1"/>
              </w:rPr>
              <w:t xml:space="preserve">الخبرة المهنية</w:t>
            </w:r>
          </w:p>
          <w:p>
            <w:pPr>
              <w:keepNext/>
              <w:tabs>
                <w:tab w:val="left" w:pos="3685"/>
              </w:tabs>
              <w:spacing w:after="40"/>
              <w:bidi/>
              <w:jc w:val="right"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منسق متطوعين — فريق افتراضي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  <w:rtl w:val="0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تخطيط المشاريع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العمل الجماعي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الأنشطة المجتمعية</w:t>
            </w:r>
          </w:p>
          <w:p>
            <w:pPr>
              <w:spacing w:after="40" w:line="120" w:lineRule="auto"/>
              <w:bidi/>
              <w:jc w:val="right"/>
            </w:pPr>
          </w:p>
          <w:p>
            <w:pPr>
              <w:keepNext/>
              <w:tabs>
                <w:tab w:val="left" w:pos="3685"/>
              </w:tabs>
              <w:spacing w:after="40"/>
              <w:bidi/>
              <w:jc w:val="right"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مساعد إداري — فريق افتراضي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  <w:rtl w:val="0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تنظيم الاجتماعات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إعداد الوثائق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برامج المكتب</w:t>
            </w:r>
          </w:p>
          <w:p>
            <w:pPr>
              <w:spacing w:after="40" w:line="120" w:lineRule="auto"/>
              <w:bidi/>
              <w:jc w:val="right"/>
            </w:pPr>
          </w:p>
          <w:p>
            <w:pPr>
              <w:keepNext/>
              <w:tabs>
                <w:tab w:val="left" w:pos="3685"/>
              </w:tabs>
              <w:spacing w:after="40"/>
              <w:bidi/>
              <w:jc w:val="right"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مساعد إداري — فريق افتراضي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  <w:rtl w:val="0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التواصل</w:t>
            </w:r>
          </w:p>
          <w:p>
            <w:pPr>
              <w:spacing w:after="40" w:line="120" w:lineRule="auto"/>
              <w:bidi/>
              <w:jc w:val="right"/>
            </w:pPr>
          </w:p>
          <w:p>
            <w:pPr>
              <w:pBdr>
                <w:bottom w:val="single" w:sz="12" w:space="2" w:color="2E75B6"/>
              </w:pBdr>
              <w:spacing w:before="240" w:after="100"/>
              <w:bidi/>
              <w:jc w:val="right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  <w:rtl w:val="1"/>
              </w:rPr>
              <w:t xml:space="preserve">التعليم</w:t>
            </w:r>
          </w:p>
          <w:p>
            <w:pPr>
              <w:tabs>
                <w:tab w:val="left" w:pos="3685"/>
              </w:tabs>
              <w:spacing w:after="6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شهادة تدريب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  <w:rtl w:val="0"/>
              </w:rPr>
              <w:t xml:space="preserve">2024</w:t>
            </w:r>
          </w:p>
          <w:p>
            <w:pPr>
              <w:tabs>
                <w:tab w:val="left" w:pos="3685"/>
              </w:tabs>
              <w:spacing w:after="6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المؤهلات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  <w:rtl w:val="0"/>
              </w:rPr>
              <w:t xml:space="preserve">2011</w:t>
            </w:r>
          </w:p>
          <w:p>
            <w:pPr>
              <w:tabs>
                <w:tab w:val="left" w:pos="3685"/>
              </w:tabs>
              <w:spacing w:after="6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شهادة تدريب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  <w:rtl w:val="0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  <w:bidi/>
              <w:jc w:val="right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  <w:rtl w:val="1"/>
              </w:rPr>
              <w:t xml:space="preserve">الأنشطة المجتمعية</w:t>
            </w:r>
          </w:p>
          <w:p>
            <w:pPr>
              <w:jc w:val="both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منسق متطوعين — العمل الجماعي</w:t>
            </w:r>
          </w:p>
        </w:tc>
      </w:tr>
    </w:tbl>
    <w:sectPr>
      <w:pgSz w:w="11906" w:h="16838"/>
      <w:pgMar w:top="567" w:right="567" w:bottom="567" w:left="680" w:header="284" w:footer="284" w:gutter="0"/>
      <w:cols w:space="708"/>
      <w:docGrid w:linePitch="360"/>
      <w:rtlGutter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right"/>
      <w:pPr>
        <w:ind w:hanging="227" w:right="227"/>
        <w:bidi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right"/>
      <w:pPr>
        <w:ind w:hanging="227" w:right="947"/>
        <w:bidi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right"/>
      <w:pPr>
        <w:ind w:hanging="227" w:right="1667"/>
        <w:bidi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right"/>
      <w:pPr>
        <w:ind w:hanging="227" w:right="2387"/>
        <w:bidi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right"/>
      <w:pPr>
        <w:ind w:hanging="227" w:right="3107"/>
        <w:bidi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right"/>
      <w:pPr>
        <w:ind w:hanging="227" w:right="3827"/>
        <w:bidi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right"/>
      <w:pPr>
        <w:ind w:hanging="227" w:right="4547"/>
        <w:bidi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right"/>
      <w:pPr>
        <w:ind w:hanging="227" w:right="5267"/>
        <w:bidi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right"/>
      <w:pPr>
        <w:ind w:hanging="227" w:right="5987"/>
        <w:bidi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ar-SA" w:bidi="ar-SA" w:eastAsia="ar-SA"/>
        <w:rtl/>
      </w:rPr>
    </w:rPrDefault>
    <w:pPrDefault>
      <w:pPr>
        <w:spacing w:after="60" w:line="252" w:lineRule="auto"/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  <w:bidiVisual/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  <w:bidi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  <w:bidi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  <w:bidi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bidi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  <w:bidi/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right="720"/>
      <w:contextualSpacing/>
      <w:bidi/>
    </w:pPr>
  </w:style>
  <w:style w:type="paragraph" w:styleId="Sansinterligne">
    <w:name w:val="No Spacing"/>
    <w:uiPriority w:val="1"/>
    <w:qFormat/>
    <w:pPr>
      <w:spacing w:after="0" w:line="240" w:lineRule="auto"/>
      <w:bidi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824"/>
        <w:tab w:val="left" w:pos="288"/>
      </w:tabs>
      <w:spacing w:after="0" w:line="240" w:lineRule="auto"/>
      <w:bidi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824"/>
        <w:tab w:val="left" w:pos="288"/>
      </w:tabs>
      <w:spacing w:after="0" w:line="240" w:lineRule="auto"/>
      <w:bidi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  <w:bidi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bidi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ind w:right="220"/>
      <w:bidi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ind w:right="440"/>
      <w:bidi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  <w:bidi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  <w:bidi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  <w:bidi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  <w:bidi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  <w:bidi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  <w:bidi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bidiVisual/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  <w:bidi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  <w:bidiVisual/>
    </w:tblPr>
    <w:tblStylePr w:type="firstRow">
      <w:rPr>
        <w:b/>
        <w:bCs/>
        <w:color w:val="FFFFFF" w:themeColor="background1"/>
      </w:rPr>
      <w:tblPr>
        <w:bidiVisual/>
      </w:tblPr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>
        <w:bidiVisual/>
      </w:tblPr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>
        <w:bidiVisual/>
      </w:tblPr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  <w:bidi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  <w:bidiVisual/>
    </w:tblPr>
    <w:tblStylePr w:type="firstRow">
      <w:rPr>
        <w:b/>
        <w:bCs/>
      </w:rPr>
    </w:tblStylePr>
    <w:tblStylePr w:type="band1Horz">
      <w:tblPr>
        <w:bidiVisual/>
      </w:tblPr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