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20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6691"/>
        <w:gridCol w:w="2155"/>
      </w:tblGrid>
      <w:tr>
        <w:tc>
          <w:tcPr>
            <w:tcW w:w="1361" w:type="dxa"/>
            <w:vMerge w:val="restart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648000" cy="648000"/>
                  <wp:effectExtent l="0" t="0" r="0" b="0"/>
                  <wp:docPr id="1" name="Logo 1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1" w:type="dxa"/>
            <w:vAlign w:val="center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  <w:rFonts w:ascii="DejaVu Sans" w:hAnsi="DejaVu Sans" w:eastAsia="DejaVu Sans" w:cs="DejaVu Sans"/>
              </w:rPr>
              <w:t xml:space="preserve">Esimerkkikoulu</w:t>
            </w:r>
          </w:p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Luonnontieteet — A</w:t>
            </w:r>
          </w:p>
        </w:tc>
        <w:tc>
          <w:tcPr>
            <w:tcW w:w="2155" w:type="dxa"/>
            <w:vMerge w:val="restart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Pisteet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40"/>
                <w:szCs w:val="40"/>
                <w:rFonts w:ascii="DejaVu Sans" w:hAnsi="DejaVu Sans" w:eastAsia="DejaVu Sans" w:cs="DejaVu Sans"/>
              </w:rPr>
              <w:t xml:space="preserve">/ 20</w:t>
            </w:r>
          </w:p>
        </w:tc>
      </w:tr>
      <w:tr>
        <w:trPr>
          <w:trHeight w:val="510" w:hRule="atLeast"/>
        </w:trPr>
        <w:tc>
          <w:tcPr>
            <w:tcW w:w="1361" w:type="dxa"/>
            <w:vMerge/>
          </w:tcPr>
          <w:p/>
        </w:tc>
        <w:tc>
          <w:tcPr>
            <w:tcW w:w="6691" w:type="dxa"/>
          </w:tcPr>
          <w:p>
            <w:pPr>
              <w:tabs>
                <w:tab w:val="left" w:leader="dot" w:pos="3118"/>
                <w:tab w:val="left" w:leader="dot" w:pos="6407"/>
              </w:tabs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Nimi: 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 Päivämäärä: 9. maaliskuuta 2026</w:t>
            </w:r>
            <w:r>
              <w:rPr>
                <w:rFonts w:ascii="DejaVu Sans" w:hAnsi="DejaVu Sans" w:eastAsia="DejaVu Sans" w:cs="DejaVu Sans"/>
              </w:rPr>
              <w:tab/>
            </w:r>
          </w:p>
        </w:tc>
        <w:tc>
          <w:tcPr>
            <w:tcW w:w="2155" w:type="dxa"/>
            <w:vMerge/>
          </w:tcPr>
          <w:p/>
        </w:tc>
      </w:tr>
    </w:tbl>
    <w:p>
      <w:pPr>
        <w:spacing w:before="200" w:after="40"/>
        <w:jc w:val="center"/>
      </w:pPr>
      <w:r>
        <w:rPr>
          <w:b/>
          <w:bCs/>
          <w:sz w:val="32"/>
          <w:szCs w:val="32"/>
          <w:rFonts w:ascii="DejaVu Sans" w:hAnsi="DejaVu Sans" w:eastAsia="DejaVu Sans" w:cs="DejaVu Sans"/>
        </w:rPr>
        <w:t xml:space="preserve">Arviointi: Kasvit</w:t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  <w:rFonts w:ascii="DejaVu Sans" w:hAnsi="DejaVu Sans" w:eastAsia="DejaVu Sans" w:cs="DejaVu Sans"/>
        </w:rPr>
        <w:t xml:space="preserve">Aika: 45 minuuttia Selitä vastauksesi.</w:t>
      </w:r>
    </w:p>
    <w:tbl>
      <w:tblPr>
        <w:tblW w:w="10206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4309"/>
        <w:gridCol w:w="794"/>
        <w:gridCol w:w="652"/>
        <w:gridCol w:w="652"/>
        <w:gridCol w:w="652"/>
        <w:gridCol w:w="652"/>
      </w:tblGrid>
      <w:tr>
        <w:trPr>
          <w:trHeight w:val="1474" w:hRule="exact"/>
          <w:tblHeader/>
        </w:trPr>
        <w:tc>
          <w:tcPr>
            <w:tcW w:w="2495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Oppimisalue</w:t>
            </w:r>
          </w:p>
        </w:tc>
        <w:tc>
          <w:tcPr>
            <w:tcW w:w="4309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Taito</w:t>
            </w:r>
          </w:p>
        </w:tc>
        <w:tc>
          <w:tcPr>
            <w:tcW w:w="794" w:type="dxa"/>
            <w:shd w:val="clear" w:color="auto" w:fill="D9D9D9"/>
            <w:textDirection w:val="btLr"/>
            <w:vAlign w:val="bottom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Harjoitus</w:t>
            </w:r>
          </w:p>
        </w:tc>
        <w:tc>
          <w:tcPr>
            <w:tcW w:w="652" w:type="dxa"/>
            <w:shd w:val="clear" w:color="auto" w:fill="F8CBAD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Ei vielä</w:t>
            </w:r>
          </w:p>
        </w:tc>
        <w:tc>
          <w:tcPr>
            <w:tcW w:w="652" w:type="dxa"/>
            <w:shd w:val="clear" w:color="auto" w:fill="FFE699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Kehittyvä</w:t>
            </w:r>
          </w:p>
        </w:tc>
        <w:tc>
          <w:tcPr>
            <w:tcW w:w="652" w:type="dxa"/>
            <w:shd w:val="clear" w:color="auto" w:fill="C6E0B4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Saavutettu</w:t>
            </w:r>
          </w:p>
        </w:tc>
        <w:tc>
          <w:tcPr>
            <w:tcW w:w="652" w:type="dxa"/>
            <w:shd w:val="clear" w:color="auto" w:fill="BDD7EE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Edistynyt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Luonnontieteet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Esitä hypoteesi.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Luonnontieteet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Tulkitse tulokset.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Luonnontieteet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Nimeä kuvan osat.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Luonnontieteet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Lue taulukko.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Luonnontieteet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Sanasto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1, 2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Luonnontieteet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Selitä vastauksesi.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</w:tbl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Harjoitus 1 — Nimeä kuvan osat.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4</w:t>
      </w:r>
    </w:p>
    <w:p>
      <w:pPr>
        <w:spacing w:after="60"/>
      </w:pPr>
      <w:r>
        <w:rPr>
          <w:rFonts w:ascii="DejaVu Sans" w:hAnsi="DejaVu Sans" w:eastAsia="DejaVu Sans" w:cs="DejaVu Sans"/>
        </w:rPr>
        <w:t xml:space="preserve">Kukka; Lehti; Varsi; Juuret; Ruukku; Multa.</w:t>
      </w:r>
    </w:p>
    <w:p>
      <w:pPr>
        <w:spacing w:after="0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1944000</wp:posOffset>
            </wp:positionH>
            <wp:positionV relativeFrom="paragraph">
              <wp:posOffset>72000</wp:posOffset>
            </wp:positionV>
            <wp:extent cx="1800000" cy="2160000"/>
            <wp:effectExtent l="0" t="0" r="0" b="0"/>
            <wp:wrapTopAndBottom/>
            <wp:docPr id="12" name="Schéma plante 12" descr="Plante en p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chéma plante 12" descr="Plante en po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216000</wp:posOffset>
                </wp:positionV>
                <wp:extent cx="1296000" cy="288000"/>
                <wp:effectExtent l="0" t="0" r="0" b="0"/>
                <wp:wrapNone/>
                <wp:docPr id="2" name="Zone de text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306.1pt;margin-top:17.0pt;width:102.0pt;height:22.7pt;z-index:251659264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360000</wp:posOffset>
                </wp:positionV>
                <wp:extent cx="360000" cy="3600"/>
                <wp:effectExtent l="0" t="0" r="0" b="0"/>
                <wp:wrapNone/>
                <wp:docPr id="3" name="Connecteur droit 3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936000</wp:posOffset>
                </wp:positionV>
                <wp:extent cx="1296000" cy="288000"/>
                <wp:effectExtent l="0" t="0" r="0" b="0"/>
                <wp:wrapNone/>
                <wp:docPr id="4" name="Zone de texte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0.0pt;margin-top:73.7pt;width:102.0pt;height:22.7pt;z-index:251661312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1080000</wp:posOffset>
                </wp:positionV>
                <wp:extent cx="468000" cy="3600"/>
                <wp:effectExtent l="0" t="0" r="0" b="0"/>
                <wp:wrapNone/>
                <wp:docPr id="5" name="Connecteur droit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1296000</wp:posOffset>
                </wp:positionV>
                <wp:extent cx="1296000" cy="288000"/>
                <wp:effectExtent l="0" t="0" r="0" b="0"/>
                <wp:wrapNone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position:absolute;margin-left:306.1pt;margin-top:102.0pt;width:102.0pt;height:22.7pt;z-index:251663360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1440000</wp:posOffset>
                </wp:positionV>
                <wp:extent cx="360000" cy="3600"/>
                <wp:effectExtent l="0" t="0" r="0" b="0"/>
                <wp:wrapNone/>
                <wp:docPr id="7" name="Connecteur droit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1944000</wp:posOffset>
                </wp:positionV>
                <wp:extent cx="1296000" cy="288000"/>
                <wp:effectExtent l="0" t="0" r="0" b="0"/>
                <wp:wrapNone/>
                <wp:docPr id="8" name="Zone de texte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3" style="position:absolute;margin-left:306.1pt;margin-top:153.1pt;width:102.0pt;height:22.7pt;z-index:251665408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2088000</wp:posOffset>
                </wp:positionV>
                <wp:extent cx="360000" cy="3600"/>
                <wp:effectExtent l="0" t="0" r="0" b="0"/>
                <wp:wrapNone/>
                <wp:docPr id="9" name="Connecteur droit 9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2232000</wp:posOffset>
                </wp:positionV>
                <wp:extent cx="1296000" cy="288000"/>
                <wp:effectExtent l="0" t="0" r="0" b="0"/>
                <wp:wrapNone/>
                <wp:docPr id="10" name="Zone de texte 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position:absolute;margin-left:0.0pt;margin-top:175.7pt;width:102.0pt;height:22.7pt;z-index:251667456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2376000</wp:posOffset>
                </wp:positionV>
                <wp:extent cx="468000" cy="3600"/>
                <wp:effectExtent l="0" t="0" r="0" b="0"/>
                <wp:wrapNone/>
                <wp:docPr id="11" name="Connecteur droit 11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after="0"/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Harjoitus 2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6</w:t>
      </w:r>
    </w:p>
    <w:p>
      <w:pPr>
        <w:spacing w:after="0" w:line="120" w:lineRule="auto"/>
        <w:sectPr>
          <w:footerReference w:type="default" r:id="rId4"/>
          <w:pgSz w:w="11906" w:h="16838"/>
          <w:pgMar w:top="850" w:right="850" w:bottom="850" w:left="850" w:header="397" w:footer="397" w:gutter="0"/>
          <w:cols w:space="708"/>
          <w:docGrid w:linePitch="360"/>
        </w:sectPr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1. </w:t>
      </w:r>
      <w:r>
        <w:rPr>
          <w:b/>
          <w:bCs/>
          <w:rFonts w:ascii="DejaVu Sans" w:hAnsi="DejaVu Sans" w:eastAsia="DejaVu Sans" w:cs="DejaVu Sans"/>
        </w:rPr>
        <w:t xml:space="preserve">Mitä kasvi tarvitsee kasvaakseen?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Valo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Sokeri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Vesi ja mineraalit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Multa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2. </w:t>
      </w:r>
      <w:r>
        <w:rPr>
          <w:b/>
          <w:bCs/>
          <w:rFonts w:ascii="DejaVu Sans" w:hAnsi="DejaVu Sans" w:eastAsia="DejaVu Sans" w:cs="DejaVu Sans"/>
        </w:rPr>
        <w:t xml:space="preserve">Mikä osa ottaa vettä?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Lehti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Juuret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Kukka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3. </w:t>
      </w:r>
      <w:r>
        <w:rPr>
          <w:b/>
          <w:bCs/>
          <w:rFonts w:ascii="DejaVu Sans" w:hAnsi="DejaVu Sans" w:eastAsia="DejaVu Sans" w:cs="DejaVu Sans"/>
        </w:rPr>
        <w:t xml:space="preserve">Mitä tapahtuu pimeässä?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Kasvu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Keltainen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Ennallaan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4. </w:t>
      </w:r>
      <w:r>
        <w:rPr>
          <w:b/>
          <w:bCs/>
          <w:rFonts w:ascii="DejaVu Sans" w:hAnsi="DejaVu Sans" w:eastAsia="DejaVu Sans" w:cs="DejaVu Sans"/>
        </w:rPr>
        <w:t xml:space="preserve">Mitä kaasua vapautuu valossa?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CO₂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N₂</w:t>
      </w:r>
    </w:p>
    <w:p>
      <w:pPr>
        <w:spacing w:after="60"/>
      </w:pPr>
    </w:p>
    <w:p>
      <w:pPr>
        <w:spacing w:after="0"/>
        <w:sectPr>
          <w:footerReference w:type="default" r:id="rId4"/>
          <w:type w:val="continuous"/>
          <w:pgSz w:w="11906" w:h="16838"/>
          <w:pgMar w:top="850" w:right="850" w:bottom="850" w:left="850" w:header="397" w:footer="397" w:gutter="0"/>
          <w:cols w:num="2" w:space="567" w:sep="1"/>
          <w:docGrid w:linePitch="360"/>
        </w:sectPr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Harjoitus 3 — Selitä vastauksesi.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10</w:t>
      </w:r>
    </w:p>
    <w:p>
      <w:r>
        <w:rPr>
          <w:rFonts w:ascii="DejaVu Sans" w:hAnsi="DejaVu Sans" w:eastAsia="DejaVu Sans" w:cs="DejaVu Sans"/>
        </w:rPr>
        <w:t xml:space="preserve">Kasvit: </w:t>
      </w:r>
      <w:r>
        <w:rPr>
          <w:b/>
          <w:bCs/>
          <w:rFonts w:ascii="DejaVu Sans" w:hAnsi="DejaVu Sans" w:eastAsia="DejaVu Sans" w:cs="DejaVu Sans"/>
        </w:rPr>
        <w:t xml:space="preserve">A</w:t>
      </w:r>
      <w:r>
        <w:rPr>
          <w:rFonts w:ascii="DejaVu Sans" w:hAnsi="DejaVu Sans" w:eastAsia="DejaVu Sans" w:cs="DejaVu Sans"/>
        </w:rPr>
        <w:t xml:space="preserve"> — Valo; </w:t>
      </w:r>
      <w:r>
        <w:rPr>
          <w:b/>
          <w:bCs/>
          <w:rFonts w:ascii="DejaVu Sans" w:hAnsi="DejaVu Sans" w:eastAsia="DejaVu Sans" w:cs="DejaVu Sans"/>
        </w:rPr>
        <w:t xml:space="preserve">B</w:t>
      </w:r>
      <w:r>
        <w:rPr>
          <w:rFonts w:ascii="DejaVu Sans" w:hAnsi="DejaVu Sans" w:eastAsia="DejaVu Sans" w:cs="DejaVu Sans"/>
        </w:rPr>
        <w:t xml:space="preserve"> — Pimeys; </w:t>
      </w:r>
      <w:r>
        <w:rPr>
          <w:b/>
          <w:bCs/>
          <w:rFonts w:ascii="DejaVu Sans" w:hAnsi="DejaVu Sans" w:eastAsia="DejaVu Sans" w:cs="DejaVu Sans"/>
        </w:rPr>
        <w:t xml:space="preserve">C</w:t>
      </w:r>
      <w:r>
        <w:rPr>
          <w:rFonts w:ascii="DejaVu Sans" w:hAnsi="DejaVu Sans" w:eastAsia="DejaVu Sans" w:cs="DejaVu Sans"/>
        </w:rPr>
        <w:t xml:space="preserve"> — Kylmyys. Lue taulukko.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835"/>
        <w:gridCol w:w="2268"/>
        <w:gridCol w:w="2835"/>
      </w:tblGrid>
      <w:tr>
        <w:trPr>
          <w:tblHeader/>
        </w:trPr>
        <w:tc>
          <w:tcPr>
            <w:tcW w:w="1134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Ruukku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Paikka</w:t>
            </w:r>
          </w:p>
        </w:tc>
        <w:tc>
          <w:tcPr>
            <w:tcW w:w="2268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Korkeus (cm)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Lehti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Valo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12,5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Vihreä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B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Pimeys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15,0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Keltainen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Kylmyys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1,2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Vihreä</w:t>
            </w:r>
          </w:p>
        </w:tc>
      </w:tr>
    </w:tbl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a) Esitä hypoteesi.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b) Tulkitse tulokset. Selitä vastauksesi.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c) Tee johtopäätös.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pBdr>
          <w:top w:val="dashed" w:sz="4" w:space="6" w:color="7F7F7F"/>
          <w:left w:val="dashed" w:sz="4" w:space="6" w:color="7F7F7F"/>
          <w:bottom w:val="dashed" w:sz="4" w:space="6" w:color="7F7F7F"/>
          <w:right w:val="dashed" w:sz="4" w:space="6" w:color="7F7F7F"/>
        </w:pBdr>
        <w:tabs>
          <w:tab w:val="left" w:leader="underscore" w:pos="10206"/>
        </w:tabs>
        <w:spacing w:before="240"/>
      </w:pPr>
      <w:r>
        <w:rPr>
          <w:b/>
          <w:bCs/>
          <w:i/>
          <w:iCs/>
          <w:rFonts w:ascii="DejaVu Sans" w:hAnsi="DejaVu Sans" w:eastAsia="DejaVu Sans" w:cs="DejaVu Sans"/>
        </w:rPr>
        <w:t xml:space="preserve">Opettajan huomautukset: </w:t>
      </w:r>
      <w:r>
        <w:rPr>
          <w:rFonts w:ascii="DejaVu Sans" w:hAnsi="DejaVu Sans" w:eastAsia="DejaVu Sans" w:cs="DejaVu Sans"/>
        </w:rPr>
        <w:tab/>
      </w:r>
    </w:p>
    <w:sectPr>
      <w:footerReference w:type="default" r:id="rId4"/>
      <w:type w:val="continuous"/>
      <w:pgSz w:w="11906" w:h="16838"/>
      <w:pgMar w:top="850" w:right="850" w:bottom="850" w:left="850" w:header="397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Liberation Sans">
    <w:panose1 w:val="020B06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i/>
        <w:iCs/>
        <w:sz w:val="16"/>
        <w:szCs w:val="16"/>
        <w:rFonts w:ascii="DejaVu Sans" w:hAnsi="DejaVu Sans" w:eastAsia="DejaVu Sans" w:cs="DejaVu Sans"/>
      </w:rPr>
      <w:t xml:space="preserve">Arviointi — Kasvit</w:t>
    </w:r>
    <w:r>
      <w:rPr>
        <w:rFonts w:ascii="DejaVu Sans" w:hAnsi="DejaVu Sans" w:eastAsia="DejaVu Sans" w:cs="DejaVu Sans"/>
      </w:rPr>
      <w:tab/>
    </w:r>
    <w:fldSimple w:instr=" PAGE ">
      <w:r>
        <w:rPr>
          <w:sz w:val="16"/>
          <w:szCs w:val="16"/>
          <w:rFonts w:ascii="DejaVu Sans" w:hAnsi="DejaVu Sans" w:eastAsia="DejaVu Sans" w:cs="DejaVu Sans"/>
        </w:rPr>
        <w:t xml:space="preserve">1</w:t>
      </w:r>
    </w:fldSimple>
    <w:r>
      <w:rPr>
        <w:sz w:val="16"/>
        <w:szCs w:val="16"/>
        <w:rFonts w:ascii="DejaVu Sans" w:hAnsi="DejaVu Sans" w:eastAsia="DejaVu Sans" w:cs="DejaVu Sans"/>
      </w:rPr>
      <w:t xml:space="preserve">/</w:t>
    </w:r>
    <w:fldSimple w:instr=" NUMPAGES ">
      <w:r>
        <w:rPr>
          <w:sz w:val="16"/>
          <w:szCs w:val="16"/>
          <w:rFonts w:ascii="DejaVu Sans" w:hAnsi="DejaVu Sans" w:eastAsia="DejaVu Sans" w:cs="DejaVu Sans"/>
        </w:rPr>
        <w:t xml:space="preserve">2</w:t>
      </w:r>
    </w:fldSimple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/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Liberation Sans" w:eastAsia="DejaVu Sans" w:hAnsi="Liberation Sans" w:cs="DejaVu Sans"/>
        <w:kern w:val="2"/>
        <w:sz w:val="21"/>
        <w:szCs w:val="21"/>
        <w:lang w:val="fi-FI" w:bidi="fi-FI" w:eastAsia="fi-FI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bottom w:val="single" w:sz="6" w:space="1" w:color="000000"/>
      </w:pBdr>
      <w:spacing w:before="200" w:after="80"/>
      <w:outlineLvl w:val="0"/>
    </w:pPr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character" w:styleId="Titre1Car">
    <w:name w:val="Titre 1 Car"/>
    <w:basedOn w:val="Policepardfaut"/>
    <w:link w:val="Titre1"/>
    <w:uiPriority w:val="9"/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png"/><Relationship Id="rId4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