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  <w:bidiVisual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  <w:bidi/>
            </w:pPr>
            <w:r>
              <w:rPr>
                <w:rFonts w:ascii="DejaVu Sans" w:hAnsi="DejaVu Sans" w:eastAsia="DejaVu Sans" w:cs="DejaVu Sans"/>
                <w:rtl w:val="0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التواصل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  <w:rtl w:val="0"/>
              </w:rPr>
              <w:t xml:space="preserve">000 000 0000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  <w:rtl w:val="0"/>
              </w:rPr>
              <w:t xml:space="preserve">person@example.org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مدينة افتراضية</w:t>
            </w:r>
          </w:p>
          <w:p>
            <w:pPr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  <w:rtl w:val="0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مثال افتراضي — استبدل هذه البيانات.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المهارات</w:t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تخطيط المشاريع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تنظيم الاجتماعات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إعداد الوثائق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العمل الجماعي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A1"/>
            </w:r>
          </w:p>
          <w:p>
            <w:pPr>
              <w:tabs>
                <w:tab w:val="left" w:pos="7484"/>
              </w:tabs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برامج المكتب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rtl w:val="0"/>
              </w:rPr>
              <w:sym w:font="DejaVu Sans" w:char="F06C"/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اللغات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الإنجليزية: متقدم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الإسبانية: متوسط</w:t>
            </w:r>
          </w:p>
          <w:p>
            <w:pPr>
              <w:spacing w:after="40"/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اللغات — بانتظار التأكيد</w:t>
            </w:r>
          </w:p>
          <w:p>
            <w:pPr>
              <w:pBdr>
                <w:bottom w:val="single" w:sz="6" w:space="2" w:color="90CAF9"/>
              </w:pBdr>
              <w:spacing w:before="240" w:after="80"/>
              <w:bidi/>
              <w:jc w:val="right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  <w:rtl w:val="1"/>
              </w:rPr>
              <w:t xml:space="preserve">الاهتمامات</w:t>
            </w:r>
          </w:p>
          <w:p>
            <w:pPr>
              <w:bidi/>
              <w:jc w:val="right"/>
            </w:pPr>
            <w:r>
              <w:rPr>
                <w:color w:val="FFFFFF"/>
                <w:rFonts w:ascii="DejaVu Sans" w:hAnsi="DejaVu Sans" w:eastAsia="DejaVu Sans" w:cs="DejaVu Sans"/>
                <w:rtl w:val="1"/>
              </w:rPr>
              <w:t xml:space="preserve">المشي والقراءة والتصوير.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  <w:bidi/>
              <w:jc w:val="right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  <w:rtl w:val="1"/>
              </w:rPr>
              <w:t xml:space="preserve">شخص افتراضي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  <w:rtl w:val="0"/>
              </w:rPr>
              <w:t xml:space="preserve"/>
            </w:r>
          </w:p>
          <w:p>
            <w:pPr>
              <w:spacing w:after="200"/>
              <w:bidi/>
              <w:jc w:val="right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  <w:rtl w:val="1"/>
              </w:rPr>
              <w:t xml:space="preserve">منسق مشاريع</w:t>
            </w:r>
          </w:p>
          <w:p>
            <w:pPr>
              <w:jc w:val="both"/>
              <w:bidi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  <w:rtl w:val="1"/>
              </w:rPr>
              <w:t xml:space="preserve">الملف الشخصي: تخطيط المشاريع; العمل الجماعي; إعداد الوثائق.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الخبرة المهنية</w:t>
            </w: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منسق متطوعين — فريق افتراضي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تخطيط المشاريع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العمل الجماعي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الأنشطة المجتمعية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مساعد إداري — فريق افتراضي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تنظيم الاجتماعات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إعداد الوثائق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برامج المكتب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keepNext/>
              <w:tabs>
                <w:tab w:val="left" w:pos="3685"/>
              </w:tabs>
              <w:spacing w:after="40"/>
              <w:bidi/>
              <w:jc w:val="right"/>
            </w:pPr>
            <w:r>
              <w:rPr>
                <w:b/>
                <w:bCs/>
                <w:rFonts w:ascii="DejaVu Sans" w:hAnsi="DejaVu Sans" w:eastAsia="DejaVu Sans" w:cs="DejaVu Sans"/>
                <w:rtl w:val="1"/>
              </w:rPr>
              <w:t xml:space="preserve">مساعد إداري — فريق افتراضي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التواصل</w:t>
            </w:r>
          </w:p>
          <w:p>
            <w:pPr>
              <w:spacing w:after="40" w:line="120" w:lineRule="auto"/>
              <w:bidi/>
              <w:jc w:val="right"/>
            </w:pP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التعليم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شهادة تدريب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2024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المؤهلات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2011</w:t>
            </w:r>
          </w:p>
          <w:p>
            <w:pPr>
              <w:tabs>
                <w:tab w:val="left" w:pos="3685"/>
              </w:tabs>
              <w:spacing w:after="60"/>
              <w:bidi/>
              <w:jc w:val="right"/>
            </w:pPr>
            <w:r>
              <w:rPr>
                <w:rFonts w:ascii="DejaVu Sans" w:hAnsi="DejaVu Sans" w:eastAsia="DejaVu Sans" w:cs="DejaVu Sans"/>
                <w:rtl w:val="1"/>
              </w:rPr>
              <w:t xml:space="preserve">شهادة تدريب</w:t>
            </w:r>
            <w:r>
              <w:rPr>
                <w:rFonts w:ascii="DejaVu Sans" w:hAnsi="DejaVu Sans" w:eastAsia="DejaVu Sans" w:cs="DejaVu Sans"/>
                <w:rtl w:val="0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  <w:rtl w:val="0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  <w:bidi/>
              <w:jc w:val="right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  <w:rtl w:val="1"/>
              </w:rPr>
              <w:t xml:space="preserve">الأنشطة المجتمعية</w:t>
            </w:r>
          </w:p>
          <w:p>
            <w:pPr>
              <w:jc w:val="both"/>
              <w:bidi/>
            </w:pPr>
            <w:r>
              <w:rPr>
                <w:rFonts w:ascii="DejaVu Sans" w:hAnsi="DejaVu Sans" w:eastAsia="DejaVu Sans" w:cs="DejaVu Sans"/>
                <w:rtl w:val="1"/>
              </w:rPr>
              <w:t xml:space="preserve">منسق متطوعين — العمل الجماعي</w:t>
            </w:r>
          </w:p>
        </w:tc>
      </w:tr>
    </w:tbl>
    <w:sectPr>
      <w:pgSz w:w="11906" w:h="16838"/>
      <w:pgMar w:top="567" w:right="567" w:bottom="567" w:left="680" w:header="284" w:footer="284" w:gutter="0"/>
      <w:cols w:space="708"/>
      <w:docGrid w:linePitch="360"/>
      <w:rtlGutter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right"/>
      <w:pPr>
        <w:ind w:hanging="227" w:right="227"/>
        <w:bidi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right"/>
      <w:pPr>
        <w:ind w:hanging="227" w:right="947"/>
        <w:bidi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right"/>
      <w:pPr>
        <w:ind w:hanging="227" w:right="1667"/>
        <w:bidi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right"/>
      <w:pPr>
        <w:ind w:hanging="227" w:right="2387"/>
        <w:bidi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right"/>
      <w:pPr>
        <w:ind w:hanging="227" w:right="3107"/>
        <w:bidi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right"/>
      <w:pPr>
        <w:ind w:hanging="227" w:right="3827"/>
        <w:bidi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right"/>
      <w:pPr>
        <w:ind w:hanging="227" w:right="4547"/>
        <w:bidi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right"/>
      <w:pPr>
        <w:ind w:hanging="227" w:right="5267"/>
        <w:bidi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right"/>
      <w:pPr>
        <w:ind w:hanging="227" w:right="5987"/>
        <w:bidi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ar-SA" w:bidi="ar-SA" w:eastAsia="ar-SA"/>
        <w:rtl/>
      </w:rPr>
    </w:rPrDefault>
    <w:pPrDefault>
      <w:pPr>
        <w:spacing w:after="60" w:line="252" w:lineRule="auto"/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  <w:bidiVisual/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  <w:bidi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  <w:bidi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  <w:bidi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bidi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  <w:bidi/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right="720"/>
      <w:contextualSpacing/>
      <w:bidi/>
    </w:pPr>
  </w:style>
  <w:style w:type="paragraph" w:styleId="Sansinterligne">
    <w:name w:val="No Spacing"/>
    <w:uiPriority w:val="1"/>
    <w:qFormat/>
    <w:pPr>
      <w:spacing w:after="0" w:line="240" w:lineRule="auto"/>
      <w:bidi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824"/>
        <w:tab w:val="left" w:pos="288"/>
      </w:tabs>
      <w:spacing w:after="0" w:line="240" w:lineRule="auto"/>
      <w:bidi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  <w:bidi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bidi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220"/>
      <w:bidi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left" w:leader="dot" w:pos="298"/>
      </w:tabs>
      <w:spacing w:after="100"/>
      <w:ind w:right="440"/>
      <w:bidi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  <w:bidi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  <w:bidi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  <w:bidi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  <w:bidi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  <w:bidi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bidiVisual/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  <w:bidi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bidiVisual/>
    </w:tblPr>
    <w:tblStylePr w:type="firstRow">
      <w:rPr>
        <w:b/>
        <w:bCs/>
        <w:color w:val="FFFFFF" w:themeColor="background1"/>
      </w:rPr>
      <w:tblPr>
        <w:bidiVisual/>
      </w:tblPr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>
        <w:bidiVisual/>
      </w:tblPr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>
        <w:bidiVisual/>
      </w:tblPr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  <w:bidi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  <w:bidiVisual/>
    </w:tblPr>
    <w:tblStylePr w:type="firstRow">
      <w:rPr>
        <w:b/>
        <w:bCs/>
      </w:rPr>
    </w:tblStylePr>
    <w:tblStylePr w:type="band1Horz">
      <w:tblPr>
        <w:bidiVisual/>
      </w:tblPr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