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eastAsia="DejaVu Sans" w:cs="DejaVu Sans"/>
              </w:rPr>
              <w:t xml:space="preserve">Contact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eastAsia="DejaVu Sans" w:cs="DejaVu Sans"/>
              </w:rPr>
              <w:t xml:space="preserve">Ville exemple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eastAsia="DejaVu Sans" w:cs="DejaVu Sans"/>
              </w:rPr>
              <w:t xml:space="preserve">Exemple fictif — remplacez ces coordonnées.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eastAsia="DejaVu Sans" w:cs="DejaVu Sans"/>
              </w:rPr>
              <w:t xml:space="preserve">Compétences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eastAsia="DejaVu Sans" w:cs="DejaVu Sans"/>
              </w:rPr>
              <w:t xml:space="preserve">Planification de projets</w:t>
            </w:r>
            <w:r>
              <w:rPr>
                <w:rFonts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eastAsia="DejaVu Sans" w:cs="DejaVu Sans"/>
              </w:rPr>
              <w:t xml:space="preserve">Organisation de réunions</w:t>
            </w:r>
            <w:r>
              <w:rPr>
                <w:rFonts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eastAsia="DejaVu Sans" w:cs="DejaVu Sans"/>
              </w:rPr>
              <w:t xml:space="preserve">Préparation de documents</w:t>
            </w:r>
            <w:r>
              <w:rPr>
                <w:rFonts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A1"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eastAsia="DejaVu Sans" w:cs="DejaVu Sans"/>
              </w:rPr>
              <w:t xml:space="preserve">Travail en équipe</w:t>
            </w:r>
            <w:r>
              <w:rPr>
                <w:rFonts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eastAsia="DejaVu Sans" w:cs="DejaVu Sans"/>
              </w:rPr>
              <w:t xml:space="preserve">Outils bureautiques</w:t>
            </w:r>
            <w:r>
              <w:rPr>
                <w:rFonts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eastAsia="DejaVu Sans" w:cs="DejaVu Sans"/>
              </w:rPr>
              <w:sym w:font="DejaVu San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eastAsia="DejaVu Sans" w:cs="DejaVu Sans"/>
              </w:rPr>
              <w:t xml:space="preserve">Langues</w:t>
            </w:r>
          </w:p>
          <w:p>
            <w:pPr>
              <w:spacing w:after="40"/>
            </w:pPr>
            <w:r>
              <w:rPr>
                <w:color w:val="FFFFFF"/>
                <w:rFonts w:eastAsia="DejaVu Sans" w:cs="DejaVu Sans"/>
              </w:rPr>
              <w:t xml:space="preserve">Anglais : avancé</w:t>
            </w:r>
          </w:p>
          <w:p>
            <w:pPr>
              <w:spacing w:after="40"/>
            </w:pPr>
            <w:r>
              <w:rPr>
                <w:color w:val="FFFFFF"/>
                <w:rFonts w:eastAsia="DejaVu Sans" w:cs="DejaVu Sans"/>
              </w:rPr>
              <w:t xml:space="preserve">Espagnol : intermédiaire</w:t>
            </w:r>
          </w:p>
          <w:p>
            <w:pPr>
              <w:spacing w:after="40"/>
            </w:pPr>
            <w:r>
              <w:rPr>
                <w:color w:val="FFFFFF"/>
                <w:rFonts w:eastAsia="DejaVu Sans" w:cs="DejaVu Sans"/>
              </w:rPr>
              <w:t xml:space="preserve">Langues — À confirmer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eastAsia="DejaVu Sans" w:cs="DejaVu Sans"/>
              </w:rPr>
              <w:t xml:space="preserve">Centres d’intérêt</w:t>
            </w:r>
          </w:p>
          <w:p>
            <w:r>
              <w:rPr>
                <w:color w:val="FFFFFF"/>
                <w:rFonts w:eastAsia="DejaVu Sans" w:cs="DejaVu Sans"/>
              </w:rPr>
              <w:t xml:space="preserve">Marche, lecture, photographie.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URW Gothic Metric" w:hAnsi="URW Gothic Metric" w:eastAsia="DejaVu Sans" w:cs="DejaVu Sans"/>
                <w:color w:val="1F3864"/>
                <w:sz w:val="60"/>
                <w:szCs w:val="60"/>
              </w:rPr>
              <w:t xml:space="preserve">Personne exemple </w:t>
            </w:r>
            <w:r>
              <w:rPr>
                <w:rFonts w:ascii="URW Gothic Metric" w:hAnsi="URW Gothic Metric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eastAsia="DejaVu Sans" w:cs="DejaVu Sans"/>
              </w:rPr>
              <w:t xml:space="preserve">Responsable de projets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eastAsia="DejaVu Sans" w:cs="DejaVu Sans"/>
              </w:rPr>
              <w:t xml:space="preserve">Profil: Planification de projets; Travail en équipe; Préparation de documents.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eastAsia="DejaVu Sans" w:cs="DejaVu Sans"/>
              </w:rPr>
              <w:t xml:space="preserve">Expérience professionnelle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eastAsia="DejaVu Sans" w:cs="DejaVu Sans"/>
              </w:rPr>
              <w:t xml:space="preserve">Responsable bénévole — Équipe exemple</w:t>
            </w:r>
            <w:r>
              <w:rPr>
                <w:rFonts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eastAsia="DejaVu Sans" w:cs="DejaVu Sans"/>
              </w:rPr>
              <w:t xml:space="preserve">Planification de projets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eastAsia="DejaVu Sans" w:cs="DejaVu Sans"/>
              </w:rPr>
              <w:t xml:space="preserve">Travail en équipe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eastAsia="DejaVu Sans" w:cs="DejaVu Sans"/>
              </w:rPr>
              <w:t xml:space="preserve">Engagements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eastAsia="DejaVu Sans" w:cs="DejaVu Sans"/>
              </w:rPr>
              <w:t xml:space="preserve">Assistance administrative — Équipe exemple</w:t>
            </w:r>
            <w:r>
              <w:rPr>
                <w:rFonts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eastAsia="DejaVu Sans" w:cs="DejaVu Sans"/>
              </w:rPr>
              <w:t xml:space="preserve">Organisation de réunions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eastAsia="DejaVu Sans" w:cs="DejaVu Sans"/>
              </w:rPr>
              <w:t xml:space="preserve">Préparation de documents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eastAsia="DejaVu Sans" w:cs="DejaVu Sans"/>
              </w:rPr>
              <w:t xml:space="preserve">Outils bureautiques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eastAsia="DejaVu Sans" w:cs="DejaVu Sans"/>
              </w:rPr>
              <w:t xml:space="preserve">Assistance administrative — Équipe exemple</w:t>
            </w:r>
            <w:r>
              <w:rPr>
                <w:rFonts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eastAsia="DejaVu Sans" w:cs="DejaVu Sans"/>
              </w:rPr>
              <w:t xml:space="preserve">Contact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eastAsia="DejaVu Sans" w:cs="DejaVu Sans"/>
              </w:rPr>
              <w:t xml:space="preserve">Formation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eastAsia="DejaVu Sans" w:cs="DejaVu Sans"/>
              </w:rPr>
              <w:t xml:space="preserve">Certificat de formation</w:t>
            </w:r>
            <w:r>
              <w:rPr>
                <w:rFonts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eastAsia="DejaVu Sans" w:cs="DejaVu Sans"/>
              </w:rPr>
              <w:t xml:space="preserve">Qualifications</w:t>
            </w:r>
            <w:r>
              <w:rPr>
                <w:rFonts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eastAsia="DejaVu Sans" w:cs="DejaVu Sans"/>
              </w:rPr>
              <w:t xml:space="preserve">Certificat de formation</w:t>
            </w:r>
            <w:r>
              <w:rPr>
                <w:rFonts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eastAsia="DejaVu Sans" w:cs="DejaVu Sans"/>
              </w:rPr>
              <w:t xml:space="preserve">Engagements</w:t>
            </w:r>
          </w:p>
          <w:p>
            <w:pPr>
              <w:jc w:val="both"/>
            </w:pPr>
            <w:r>
              <w:rPr>
                <w:rFonts w:eastAsia="DejaVu Sans" w:cs="DejaVu Sans"/>
              </w:rPr>
              <w:t xml:space="preserve">Responsable bénévole — Travail en équipe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fr-FR" w:bidi="fr-FR" w:eastAsia="fr-FR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