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tbl>
      <w:tblPr>
        <w:tblW w:w="1077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lastRow="0" w:firstColumn="1" w:lastColumn="0" w:noHBand="0" w:noVBand="1"/>
      </w:tblPr>
      <w:tblGrid>
        <w:gridCol w:w="3629"/>
        <w:gridCol w:w="7144"/>
      </w:tblGrid>
      <w:tr>
        <w:trPr>
          <w:trHeight w:val="15536" w:hRule="atLeast"/>
        </w:trPr>
        <w:tc>
          <w:tcPr>
            <w:tcW w:w="3629" w:type="dxa"/>
            <w:shd w:val="clear" w:color="auto" w:fill="1F3864"/>
            <w:tcMar>
              <w:top w:w="113" w:type="dxa"/>
              <w:left w:w="284" w:type="dxa"/>
              <w:bottom w:w="113" w:type="dxa"/>
              <w:right w:w="284" w:type="dxa"/>
            </w:tcMar>
          </w:tcPr>
          <w:p>
            <w:pPr>
              <w:spacing w:before="240" w:after="24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296000" cy="1296000"/>
                  <wp:effectExtent l="0" t="0" r="0" b="0"/>
                  <wp:docPr id="1" name="Photo 1" descr="Photo (silhouette)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Photo 1" descr="Photo (silhouette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/>
                          <a:srcRect l="0" t="0" r="0" b="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6000" cy="1296000"/>
                          </a:xfrm>
                          <a:prstGeom prst="ellipse">
                            <a:avLst/>
                          </a:prstGeom>
                          <a:noFill/>
                          <a:ln w="38100">
                            <a:solidFill>
                              <a:srgbClr val="FFFFFF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Контакти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☎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000 000 0000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✉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person@example.org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⌂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Умовне місто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★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Вигаданий приклад — замініть ці дані.</w:t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Навички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Планування проєктів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Організація зустрічей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A1"/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Підготовка документів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A1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A1"/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Командна робота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A1"/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Офісні програми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Мови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Англійська: просунутий рівень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Іспанська: середній рівень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Мови — Потребує підтвердження</w:t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Інтереси</w:t>
            </w:r>
          </w:p>
          <w:p>
            <w:r>
              <w:rPr>
                <w:color w:val="FFFFFF"/>
                <w:rFonts w:ascii="DejaVu Sans" w:hAnsi="DejaVu Sans" w:eastAsia="DejaVu Sans" w:cs="DejaVu Sans"/>
              </w:rPr>
              <w:t xml:space="preserve">Прогулянки, читання, фотографія.</w:t>
            </w:r>
          </w:p>
        </w:tc>
        <w:tc>
          <w:tcPr>
            <w:tcW w:w="7144" w:type="dxa"/>
            <w:tcMar>
              <w:top w:w="0" w:type="dxa"/>
              <w:left w:w="400" w:type="dxa"/>
              <w:bottom w:w="0" w:type="dxa"/>
              <w:right w:w="200" w:type="dxa"/>
            </w:tcMar>
          </w:tcPr>
          <w:p>
            <w:pPr>
              <w:spacing w:before="200" w:after="0"/>
            </w:pPr>
            <w:r>
              <w:rPr>
                <w:rFonts w:ascii="DejaVu Sans" w:hAnsi="DejaVu Sans" w:eastAsia="DejaVu Sans" w:cs="DejaVu Sans"/>
                <w:color w:val="1F3864"/>
                <w:sz w:val="60"/>
                <w:szCs w:val="60"/>
              </w:rPr>
              <w:t xml:space="preserve">Умовна особа </w:t>
            </w:r>
            <w:r>
              <w:rPr>
                <w:rFonts w:ascii="DejaVu Sans" w:hAnsi="DejaVu Sans" w:eastAsia="DejaVu Sans" w:cs="DejaVu Sans"/>
                <w:b/>
                <w:bCs/>
                <w:color w:val="1F3864"/>
                <w:sz w:val="60"/>
                <w:szCs w:val="60"/>
              </w:rPr>
              <w:t xml:space="preserve"/>
            </w:r>
          </w:p>
          <w:p>
            <w:pPr>
              <w:spacing w:after="200"/>
            </w:pPr>
            <w:r>
              <w:rPr>
                <w:smallCaps/>
                <w:color w:val="2E75B6"/>
                <w:spacing w:val="20"/>
                <w:sz w:val="26"/>
                <w:szCs w:val="26"/>
                <w:rFonts w:ascii="DejaVu Sans" w:hAnsi="DejaVu Sans" w:eastAsia="DejaVu Sans" w:cs="DejaVu Sans"/>
              </w:rPr>
              <w:t xml:space="preserve">Координатор проєктів</w:t>
            </w:r>
          </w:p>
          <w:p>
            <w:pPr>
              <w:jc w:val="both"/>
            </w:pPr>
            <w:r>
              <w:rPr>
                <w:i/>
                <w:iCs/>
                <w:color w:val="404040"/>
                <w:rFonts w:ascii="DejaVu Sans" w:hAnsi="DejaVu Sans" w:eastAsia="DejaVu Sans" w:cs="DejaVu Sans"/>
              </w:rPr>
              <w:t xml:space="preserve">Профіль: Планування проєктів; Командна робота; Підготовка документів.</w:t>
            </w: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Досвід роботи</w:t>
            </w: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Координатор волонтерів — Умовна команда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2021–2026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Планування проєктів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Командна робота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Громадська діяльність</w:t>
            </w:r>
          </w:p>
          <w:p>
            <w:pPr>
              <w:spacing w:after="40" w:line="120" w:lineRule="auto"/>
            </w:pP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Адміністративний помічник — Умовна команда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2014–2025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Організація зустрічей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Підготовка документів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Офісні програми</w:t>
            </w:r>
          </w:p>
          <w:p>
            <w:pPr>
              <w:spacing w:after="40" w:line="120" w:lineRule="auto"/>
            </w:pP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Адміністративний помічник — Умовна команда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2012–2014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Контакти</w:t>
            </w:r>
          </w:p>
          <w:p>
            <w:pPr>
              <w:spacing w:after="40" w:line="120" w:lineRule="auto"/>
            </w:pP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Освіта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Сертифікат навчання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2024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Кваліфікація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2011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Сертифікат навчання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2009</w:t>
            </w: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Громадська діяльність</w:t>
            </w:r>
          </w:p>
          <w:p>
            <w:pPr>
              <w:jc w:val="both"/>
            </w:pPr>
            <w:r>
              <w:rPr>
                <w:rFonts w:ascii="DejaVu Sans" w:hAnsi="DejaVu Sans" w:eastAsia="DejaVu Sans" w:cs="DejaVu Sans"/>
              </w:rPr>
              <w:t xml:space="preserve">Координатор волонтерів — Командна робота</w:t>
            </w:r>
          </w:p>
        </w:tc>
      </w:tr>
    </w:tbl>
    <w:sectPr>
      <w:pgSz w:w="11906" w:h="16838"/>
      <w:pgMar w:top="567" w:right="680" w:bottom="567" w:left="567" w:header="284" w:footer="284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Caladea Math">
    <w:panose1 w:val="02040503050406030204"/>
    <w:charset w:val="00"/>
    <w:family w:val="roman"/>
    <w:pitch w:val="variable"/>
  </w:font>
  <w:font w:name="URW Gothic Metric">
    <w:panose1 w:val="020B0502020202020204"/>
    <w:charset w:val="00"/>
    <w:family w:val="swiss"/>
    <w:pitch w:val="variable"/>
  </w:font>
  <w:font w:name="Liberation Mono">
    <w:panose1 w:val="02070309020205020404"/>
    <w:charset w:val="00"/>
    <w:family w:val="modern"/>
    <w:pitch w:val="fixed"/>
  </w:font>
  <w:font w:name="DejaVu Sans">
    <w:panose1 w:val="020B0502040204020203"/>
    <w:charset w:val="00"/>
    <w:family w:val="swiss"/>
    <w:pitch w:val="variable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abstractNum w:abstractNumId="0" w15:restartNumberingAfterBreak="0">
    <w:nsid w:val="1A2B0000"/>
    <w:multiLevelType w:val="hybridMultilevel"/>
    <w:tmpl w:val="5C3D0000"/>
    <w:lvl w:ilvl="0">
      <w:start w:val="1"/>
      <w:numFmt w:val="bullet"/>
      <w:lvlText w:val="•"/>
      <w:lvlJc w:val="left"/>
      <w:pPr>
        <w:ind w:left="227" w:hanging="227"/>
      </w:pPr>
      <w:rPr>
        <w:rFonts w:ascii="DejaVu Sans" w:hAnsi="DejaVu Sans" w:hint="default" w:eastAsia="DejaVu Sans" w:cs="DejaVu Sans"/>
        <w:color w:val="2E75B6"/>
      </w:rPr>
    </w:lvl>
    <w:lvl w:ilvl="1">
      <w:start w:val="1"/>
      <w:numFmt w:val="bullet"/>
      <w:lvlText w:val="o"/>
      <w:lvlJc w:val="left"/>
      <w:pPr>
        <w:ind w:left="947" w:hanging="227"/>
      </w:pPr>
      <w:rPr>
        <w:rFonts w:ascii="Liberation Mono" w:hAnsi="Liberation Mono" w:hint="default" w:eastAsia="DejaVu Sans" w:cs="DejaVu Sans"/>
        <w:color w:val="2E75B6"/>
      </w:rPr>
    </w:lvl>
    <w:lvl w:ilvl="2">
      <w:start w:val="1"/>
      <w:numFmt w:val="bullet"/>
      <w:lvlText w:val="▪"/>
      <w:lvlJc w:val="left"/>
      <w:pPr>
        <w:ind w:left="1667" w:hanging="227"/>
      </w:pPr>
      <w:rPr>
        <w:rFonts w:ascii="DejaVu Sans" w:hAnsi="DejaVu Sans" w:hint="default" w:eastAsia="DejaVu Sans" w:cs="DejaVu Sans"/>
        <w:color w:val="2E75B6"/>
      </w:rPr>
    </w:lvl>
    <w:lvl w:ilvl="3">
      <w:start w:val="1"/>
      <w:numFmt w:val="bullet"/>
      <w:lvlText w:val="•"/>
      <w:lvlJc w:val="left"/>
      <w:pPr>
        <w:ind w:left="2387" w:hanging="227"/>
      </w:pPr>
      <w:rPr>
        <w:rFonts w:ascii="DejaVu Sans" w:hAnsi="DejaVu Sans" w:hint="default" w:eastAsia="DejaVu Sans" w:cs="DejaVu Sans"/>
        <w:color w:val="2E75B6"/>
      </w:rPr>
    </w:lvl>
    <w:lvl w:ilvl="4">
      <w:start w:val="1"/>
      <w:numFmt w:val="bullet"/>
      <w:lvlText w:val="o"/>
      <w:lvlJc w:val="left"/>
      <w:pPr>
        <w:ind w:left="3107" w:hanging="227"/>
      </w:pPr>
      <w:rPr>
        <w:rFonts w:ascii="Liberation Mono" w:hAnsi="Liberation Mono" w:hint="default" w:eastAsia="DejaVu Sans" w:cs="DejaVu Sans"/>
        <w:color w:val="2E75B6"/>
      </w:rPr>
    </w:lvl>
    <w:lvl w:ilvl="5">
      <w:start w:val="1"/>
      <w:numFmt w:val="bullet"/>
      <w:lvlText w:val="▪"/>
      <w:lvlJc w:val="left"/>
      <w:pPr>
        <w:ind w:left="3827" w:hanging="227"/>
      </w:pPr>
      <w:rPr>
        <w:rFonts w:ascii="DejaVu Sans" w:hAnsi="DejaVu Sans" w:hint="default" w:eastAsia="DejaVu Sans" w:cs="DejaVu Sans"/>
        <w:color w:val="2E75B6"/>
      </w:rPr>
    </w:lvl>
    <w:lvl w:ilvl="6">
      <w:start w:val="1"/>
      <w:numFmt w:val="bullet"/>
      <w:lvlText w:val="•"/>
      <w:lvlJc w:val="left"/>
      <w:pPr>
        <w:ind w:left="4547" w:hanging="227"/>
      </w:pPr>
      <w:rPr>
        <w:rFonts w:ascii="DejaVu Sans" w:hAnsi="DejaVu Sans" w:hint="default" w:eastAsia="DejaVu Sans" w:cs="DejaVu Sans"/>
        <w:color w:val="2E75B6"/>
      </w:rPr>
    </w:lvl>
    <w:lvl w:ilvl="7">
      <w:start w:val="1"/>
      <w:numFmt w:val="bullet"/>
      <w:lvlText w:val="o"/>
      <w:lvlJc w:val="left"/>
      <w:pPr>
        <w:ind w:left="5267" w:hanging="227"/>
      </w:pPr>
      <w:rPr>
        <w:rFonts w:ascii="Liberation Mono" w:hAnsi="Liberation Mono" w:hint="default" w:eastAsia="DejaVu Sans" w:cs="DejaVu Sans"/>
        <w:color w:val="2E75B6"/>
      </w:rPr>
    </w:lvl>
    <w:lvl w:ilvl="8">
      <w:start w:val="1"/>
      <w:numFmt w:val="bullet"/>
      <w:lvlText w:val="▪"/>
      <w:lvlJc w:val="left"/>
      <w:pPr>
        <w:ind w:left="5987" w:hanging="227"/>
      </w:pPr>
      <w:rPr>
        <w:rFonts w:ascii="DejaVu Sans" w:hAnsi="DejaVu Sans" w:hint="default" w:eastAsia="DejaVu Sans" w:cs="DejaVu Sans"/>
        <w:color w:val="2E75B6"/>
      </w:rPr>
    </w:lvl>
  </w:abstractNum>
  <w:num w:numId="1">
    <w:abstractNumId w:val="0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lade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URW Gothic Metric" w:eastAsia="DejaVu Sans" w:hAnsi="URW Gothic Metric" w:cs="DejaVu Sans"/>
        <w:kern w:val="2"/>
        <w:sz w:val="19"/>
        <w:szCs w:val="19"/>
        <w:lang w:val="uk-UA" w:bidi="uk-UA" w:eastAsia="uk-UA"/>
      </w:rPr>
    </w:rPrDefault>
    <w:pPrDefault>
      <w:pPr>
        <w:spacing w:after="6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spacing w:before="240" w:after="0"/>
      <w:outlineLvl w:val="0"/>
    </w:pPr>
    <w:rPr>
      <w:rFonts w:asciiTheme="majorHAnsi" w:hAnsiTheme="majorHAnsi" w:eastAsia="DejaVu Sans" w:cs="DejaVu Sans"/>
      <w:color w:val="2F5496"/>
      <w:sz w:val="32"/>
      <w:szCs w:val="32"/>
    </w:rPr>
  </w:style>
  <w:style w:type="character" w:styleId="Titre1Car">
    <w:name w:val="Titre 1 Car"/>
    <w:basedOn w:val="Policepardfaut"/>
    <w:link w:val="Titre1"/>
    <w:uiPriority w:val="9"/>
    <w:rPr>
      <w:rFonts w:asciiTheme="majorHAnsi" w:hAnsiTheme="majorHAnsi" w:eastAsia="DejaVu Sans" w:cs="DejaVu Sans"/>
      <w:color w:val="2F5496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</w:pPr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character" w:styleId="TitreCar">
    <w:name w:val="Titre Car"/>
    <w:basedOn w:val="Policepardfaut"/>
    <w:link w:val="Titre"/>
    <w:uiPriority w:val="10"/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