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body>
    <w:tbl>
      <w:tblPr>
        <w:tblW w:w="9072" w:type="dxa"/>
        <w:tblBorders>
          <w:top w:val="nil"/>
          <w:left w:val="nil"/>
          <w:bottom w:val="nil"/>
          <w:right w:val="nil"/>
          <w:insideH w:val="nil"/>
          <w:insideV w:val="nil"/>
        </w:tblBorders>
        <w:tblLayout w:type="fixed"/>
        <w:tblLook w:val="04A0" w:firstRow="1" w:lastRow="0" w:firstColumn="1" w:lastColumn="0" w:noHBand="0" w:noVBand="1"/>
      </w:tblPr>
      <w:tblGrid>
        <w:gridCol w:w="3402"/>
        <w:gridCol w:w="5670"/>
      </w:tblGrid>
      <w:tr>
        <w:tc>
          <w:tcPr>
            <w:tcW w:w="3402" w:type="dxa"/>
          </w:tcPr>
          <w:p>
            <w:pPr>
              <w:spacing w:after="0"/>
              <w:jc w:val="center"/>
            </w:pPr>
            <w:r>
              <w:drawing>
                <wp:inline distT="0" distB="0" distL="0" distR="0">
                  <wp:extent cx="648000" cy="648000"/>
                  <wp:effectExtent l="0" t="0" r="0" b="0"/>
                  <wp:docPr id="1" name="Blason 1" descr=""/>
                  <wp:cNvGraphicFramePr>
                    <a:graphicFrameLocks noChangeAspect="1"/>
                  </wp:cNvGraphicFramePr>
                  <a:graphic>
                    <a:graphicData uri="http://schemas.openxmlformats.org/drawingml/2006/picture">
                      <pic:pic>
                        <pic:nvPicPr>
                          <pic:cNvPr id="1" name="Blason 1" descr=""/>
                          <pic:cNvPicPr>
                            <a:picLocks noChangeAspect="1" noChangeArrowheads="1"/>
                          </pic:cNvPicPr>
                        </pic:nvPicPr>
                        <pic:blipFill>
                          <a:blip r:embed="rId4"/>
                          <a:stretch>
                            <a:fillRect/>
                          </a:stretch>
                        </pic:blipFill>
                        <pic:spPr bwMode="auto">
                          <a:xfrm>
                            <a:off x="0" y="0"/>
                            <a:ext cx="648000" cy="648000"/>
                          </a:xfrm>
                          <a:prstGeom prst="rect">
                            <a:avLst/>
                          </a:prstGeom>
                          <a:noFill/>
                        </pic:spPr>
                      </pic:pic>
                    </a:graphicData>
                  </a:graphic>
                </wp:inline>
              </w:drawing>
            </w:r>
          </w:p>
          <w:p>
            <w:pPr>
              <w:spacing w:after="0"/>
              <w:jc w:val="center"/>
            </w:pPr>
            <w:r>
              <w:rPr>
                <w:b/>
                <w:bCs/>
                <w:sz w:val="18"/>
                <w:szCs w:val="18"/>
              </w:rPr>
              <w:t xml:space="preserve">RÉPUBLIQUE FRANÇAISE</w:t>
            </w:r>
          </w:p>
          <w:p>
            <w:pPr>
              <w:spacing w:after="0"/>
              <w:jc w:val="center"/>
            </w:pPr>
            <w:r>
              <w:rPr>
                <w:sz w:val="18"/>
                <w:szCs w:val="18"/>
              </w:rPr>
              <w:t xml:space="preserve">Commune de Valmont-sur-Ourse</w:t>
            </w:r>
          </w:p>
        </w:tc>
        <w:tc>
          <w:tcPr>
            <w:tcW w:w="5670" w:type="dxa"/>
            <w:vAlign w:val="center"/>
          </w:tcPr>
          <w:p>
            <w:pPr>
              <w:spacing w:after="0"/>
              <w:jc w:val="right"/>
            </w:pPr>
            <w:r>
              <w:rPr>
                <w:b/>
                <w:bCs/>
                <w:sz w:val="28"/>
                <w:szCs w:val="28"/>
              </w:rPr>
              <w:t xml:space="preserve">ARRÊTÉ MUNICIPAL</w:t>
            </w:r>
          </w:p>
          <w:p>
            <w:pPr>
              <w:spacing w:after="0"/>
              <w:jc w:val="right"/>
            </w:pPr>
            <w:r>
              <w:rPr>
                <w:b/>
                <w:bCs/>
                <w:sz w:val="24"/>
                <w:szCs w:val="24"/>
              </w:rPr>
              <w:t xml:space="preserve">N° 2026-047</w:t>
            </w:r>
          </w:p>
          <w:p>
            <w:pPr>
              <w:spacing w:after="0"/>
              <w:jc w:val="right"/>
            </w:pPr>
            <w:r>
              <w:rPr>
                <w:i/>
                <w:iCs/>
                <w:sz w:val="18"/>
                <w:szCs w:val="18"/>
              </w:rPr>
              <w:t xml:space="preserve">Service : police municipale</w:t>
            </w:r>
          </w:p>
        </w:tc>
      </w:tr>
    </w:tbl>
    <w:p>
      <w:pPr>
        <w:pBdr>
          <w:top w:val="single" w:sz="6" w:space="6" w:color="000000"/>
          <w:bottom w:val="single" w:sz="6" w:space="6" w:color="000000"/>
        </w:pBdr>
        <w:spacing w:before="240" w:after="360"/>
        <w:ind w:left="567" w:right="567"/>
        <w:jc w:val="center"/>
      </w:pPr>
      <w:r>
        <w:rPr>
          <w:b/>
          <w:bCs/>
        </w:rPr>
        <w:t xml:space="preserve">portant réglementation temporaire de la circulation et du stationnement pendant les travaux de réaménagement de la rue des Tilleuls</w:t>
      </w:r>
    </w:p>
    <w:p>
      <w:pPr>
        <w:spacing w:after="200"/>
      </w:pPr>
      <w:r>
        <w:rPr>
          <w:b/>
          <w:bCs/>
        </w:rPr>
        <w:t xml:space="preserve">Le Maire de la commune de Valmont-sur-Ourse,</w:t>
      </w:r>
    </w:p>
    <w:p>
      <w:pPr>
        <w:spacing w:after="80"/>
        <w:ind w:left="454" w:hanging="454"/>
        <w:jc w:val="both"/>
      </w:pPr>
      <w:r>
        <w:rPr>
          <w:b/>
          <w:bCs/>
        </w:rPr>
        <w:t xml:space="preserve">VU</w:t>
      </w:r>
      <w:r>
        <w:t xml:space="preserve"> le code général des collectivités territoriales, notamment ses articles L. 2212-1, L. 2212-2 et L. 2213-1 à L. 2213-6 ;</w:t>
      </w:r>
    </w:p>
    <w:p>
      <w:pPr>
        <w:spacing w:after="80"/>
        <w:ind w:left="454" w:hanging="454"/>
        <w:jc w:val="both"/>
      </w:pPr>
      <w:r>
        <w:rPr>
          <w:b/>
          <w:bCs/>
        </w:rPr>
        <w:t xml:space="preserve">VU</w:t>
      </w:r>
      <w:r>
        <w:t xml:space="preserve"> le code de la route, notamment ses articles R. 411-8, R. 411-25 et R. 417-10 ;</w:t>
      </w:r>
    </w:p>
    <w:p>
      <w:pPr>
        <w:spacing w:after="80"/>
        <w:ind w:left="454" w:hanging="454"/>
        <w:jc w:val="both"/>
      </w:pPr>
      <w:r>
        <w:rPr>
          <w:b/>
          <w:bCs/>
        </w:rPr>
        <w:t xml:space="preserve">VU</w:t>
      </w:r>
      <w:r>
        <w:t xml:space="preserve"> l’instruction interministérielle sur la signalisation routière, livre I, huitième partie, relative à la signalisation temporaire</w:t>
      </w:r>
      <w:r>
        <w:rPr>
          <w:rStyle w:val="Appelnotedebasdep"/>
        </w:rPr>
        <w:footnoteReference w:id="1"/>
      </w:r>
      <w:r>
        <w:t xml:space="preserve"> ;</w:t>
      </w:r>
    </w:p>
    <w:p>
      <w:pPr>
        <w:spacing w:after="80"/>
        <w:ind w:left="454" w:hanging="454"/>
        <w:jc w:val="both"/>
      </w:pPr>
      <w:r>
        <w:rPr>
          <w:b/>
          <w:bCs/>
        </w:rPr>
        <w:t xml:space="preserve">VU</w:t>
      </w:r>
      <w:r>
        <w:t xml:space="preserve"> la demande présentée le 2 mars 2026 par l’entreprise chargée des travaux ;</w:t>
      </w:r>
    </w:p>
    <w:p>
      <w:pPr>
        <w:spacing w:after="80"/>
        <w:ind w:left="454" w:hanging="454"/>
        <w:jc w:val="both"/>
      </w:pPr>
      <w:r>
        <w:rPr>
          <w:b/>
          <w:bCs/>
        </w:rPr>
        <w:t xml:space="preserve">CONSIDÉRANT</w:t>
      </w:r>
      <w:r>
        <w:t xml:space="preserve"> que les travaux de réaménagement de la rue des Tilleuls (élargissement des trottoirs, plantations, création d’une piste cyclable) nécessitent de réglementer la circulation et le stationnement afin d’assurer la sécurité des usagers et des personnels du chantier ;</w:t>
      </w:r>
    </w:p>
    <w:p>
      <w:pPr>
        <w:spacing w:before="240" w:after="240"/>
        <w:jc w:val="center"/>
      </w:pPr>
      <w:r>
        <w:rPr>
          <w:b/>
          <w:bCs/>
          <w:spacing w:val="80"/>
          <w:sz w:val="26"/>
          <w:szCs w:val="26"/>
        </w:rPr>
        <w:t xml:space="preserve">A R R Ê T E</w:t>
      </w:r>
    </w:p>
    <w:p>
      <w:pPr>
        <w:keepNext/>
        <w:spacing w:before="120" w:after="60"/>
      </w:pPr>
      <w:r>
        <w:rPr>
          <w:b/>
          <w:bCs/>
          <w:u w:val="single"/>
        </w:rPr>
        <w:t xml:space="preserve">Article 1er</w:t>
      </w:r>
    </w:p>
    <w:p>
      <w:pPr>
        <w:jc w:val="both"/>
      </w:pPr>
      <w:r>
        <w:t xml:space="preserve">Du lundi 13 avril 2026 au vendredi 26 juin 2026 inclus, de 7 h 30 à 18 h, la circulation de tous les véhicules sera alternée par feux tricolores rue des Tilleuls, dans sa section comprise entre la place du Marché et l’avenue des Peupliers.</w:t>
      </w:r>
    </w:p>
    <w:p>
      <w:pPr>
        <w:keepNext/>
        <w:spacing w:before="120" w:after="60"/>
      </w:pPr>
      <w:r>
        <w:rPr>
          <w:b/>
          <w:bCs/>
          <w:u w:val="single"/>
        </w:rPr>
        <w:t xml:space="preserve">Article 2</w:t>
      </w:r>
    </w:p>
    <w:p>
      <w:pPr>
        <w:jc w:val="both"/>
      </w:pPr>
      <w:r>
        <w:t xml:space="preserve">Pendant la même période, le stationnement sera interdit et considéré comme gênant, au sens de l’article R. 417-10 du code de la route, sur les emplacements énumérés en annexe au présent arrêté. Les véhicules en infraction pourront être mis en fourrière.</w:t>
      </w:r>
    </w:p>
    <w:p>
      <w:pPr>
        <w:keepNext/>
        <w:spacing w:before="120" w:after="60"/>
      </w:pPr>
      <w:r>
        <w:rPr>
          <w:b/>
          <w:bCs/>
          <w:u w:val="single"/>
        </w:rPr>
        <w:t xml:space="preserve">Article 3</w:t>
      </w:r>
    </w:p>
    <w:p>
      <w:pPr>
        <w:jc w:val="both"/>
      </w:pPr>
      <w:r>
        <w:t xml:space="preserve">La vitesse sera limitée à 30 km/h aux abords du chantier. Le dépassement y est interdit.</w:t>
      </w:r>
    </w:p>
    <w:p>
      <w:pPr>
        <w:keepNext/>
        <w:spacing w:before="120" w:after="60"/>
      </w:pPr>
      <w:r>
        <w:rPr>
          <w:b/>
          <w:bCs/>
          <w:u w:val="single"/>
        </w:rPr>
        <w:t xml:space="preserve">Article 4</w:t>
      </w:r>
    </w:p>
    <w:p>
      <w:pPr>
        <w:jc w:val="both"/>
      </w:pPr>
      <w:r>
        <w:t xml:space="preserve">Les dispositions des articles 1 à 3 ne s’appliquent pas aux véhicules de secours, de police, de collecte des déchets ni aux véhicules de l’entreprise chargée des travaux.</w:t>
      </w:r>
    </w:p>
    <w:p>
      <w:pPr>
        <w:keepNext/>
        <w:spacing w:before="120" w:after="60"/>
      </w:pPr>
      <w:r>
        <w:rPr>
          <w:b/>
          <w:bCs/>
          <w:u w:val="single"/>
        </w:rPr>
        <w:t xml:space="preserve">Article 5</w:t>
      </w:r>
    </w:p>
    <w:p>
      <w:pPr>
        <w:jc w:val="both"/>
      </w:pPr>
      <w:r>
        <w:t xml:space="preserve">La signalisation réglementaire sera mise en place, entretenue et déposée par l’entreprise chargée des travaux, sous le contrôle des services techniques municipaux.</w:t>
      </w:r>
    </w:p>
    <w:p>
      <w:pPr>
        <w:keepNext/>
        <w:spacing w:before="120" w:after="60"/>
      </w:pPr>
      <w:r>
        <w:rPr>
          <w:b/>
          <w:bCs/>
          <w:u w:val="single"/>
        </w:rPr>
        <w:t xml:space="preserve">Article 6</w:t>
      </w:r>
    </w:p>
    <w:p>
      <w:pPr>
        <w:jc w:val="both"/>
      </w:pPr>
      <w:r>
        <w:t xml:space="preserve">Le présent arrêté sera affiché en mairie et sur les lieux des travaux, et publié sous forme électronique sur le site internet de la commune</w:t>
      </w:r>
      <w:r>
        <w:rPr>
          <w:rStyle w:val="Appelnotedebasdep"/>
        </w:rPr>
        <w:footnoteReference w:id="2"/>
      </w:r>
      <w:r>
        <w:t xml:space="preserve">.</w:t>
      </w:r>
    </w:p>
    <w:p>
      <w:pPr>
        <w:keepNext/>
        <w:spacing w:before="120" w:after="60"/>
      </w:pPr>
      <w:r>
        <w:rPr>
          <w:b/>
          <w:bCs/>
          <w:u w:val="single"/>
        </w:rPr>
        <w:t xml:space="preserve">Article 7</w:t>
      </w:r>
    </w:p>
    <w:p>
      <w:pPr>
        <w:jc w:val="both"/>
      </w:pPr>
      <w:r>
        <w:t xml:space="preserve">Monsieur le Directeur général des services, Monsieur le chef de la police municipale et Monsieur le commandant de la brigade de gendarmerie sont chargés, chacun en ce qui le concerne, de l’exécution du présent arrêté.</w:t>
      </w:r>
    </w:p>
    <w:p>
      <w:pPr>
        <w:keepNext/>
        <w:spacing w:before="360" w:after="0"/>
        <w:ind w:left="4536"/>
      </w:pPr>
      <w:r>
        <w:t xml:space="preserve">Fait à Valmont-sur-Ourse, le 30 mars 2026</w:t>
      </w:r>
    </w:p>
    <w:p>
      <w:pPr>
        <w:keepNext/>
        <w:spacing w:after="0"/>
        <w:ind w:left="4536"/>
      </w:pPr>
      <w:r>
        <w:t xml:space="preserve">Le Maire,</w:t>
      </w:r>
    </w:p>
    <w:p>
      <w:pPr>
        <w:keepNext/>
        <w:spacing w:after="900"/>
        <w:ind w:left="4536"/>
      </w:pPr>
      <w:r>
        <w:drawing>
          <wp:anchor distT="0" distB="0" distL="114300" distR="114300" simplePos="0" relativeHeight="251659264" behindDoc="0" locked="0" layoutInCell="1" allowOverlap="1">
            <wp:simplePos x="0" y="0"/>
            <wp:positionH relativeFrom="margin">
              <wp:posOffset>2520000</wp:posOffset>
            </wp:positionH>
            <wp:positionV relativeFrom="paragraph">
              <wp:posOffset>-72000</wp:posOffset>
            </wp:positionV>
            <wp:extent cx="1152000" cy="1152000"/>
            <wp:effectExtent l="0" t="0" r="0" b="0"/>
            <wp:wrapNone/>
            <wp:docPr id="2" name="Cachet 2" descr="Cachet de la mairie (fictif)"/>
            <wp:cNvGraphicFramePr>
              <a:graphicFrameLocks noChangeAspect="1"/>
            </wp:cNvGraphicFramePr>
            <a:graphic>
              <a:graphicData uri="http://schemas.openxmlformats.org/drawingml/2006/picture">
                <pic:pic>
                  <pic:nvPicPr>
                    <pic:cNvPr id="2" name="Cachet 2" descr="Cachet de la mairie (fictif)"/>
                    <pic:cNvPicPr>
                      <a:picLocks noChangeAspect="1" noChangeArrowheads="1"/>
                    </pic:cNvPicPr>
                  </pic:nvPicPr>
                  <pic:blipFill>
                    <a:blip r:embed="rId9"/>
                    <a:stretch>
                      <a:fillRect/>
                    </a:stretch>
                  </pic:blipFill>
                  <pic:spPr bwMode="auto">
                    <a:xfrm>
                      <a:off x="0" y="0"/>
                      <a:ext cx="1152000" cy="1152000"/>
                    </a:xfrm>
                    <a:prstGeom prst="rect">
                      <a:avLst/>
                    </a:prstGeom>
                    <a:noFill/>
                  </pic:spPr>
                </pic:pic>
              </a:graphicData>
            </a:graphic>
          </wp:anchor>
        </w:drawing>
      </w:r>
      <w:r>
        <w:drawing>
          <wp:anchor distT="0" distB="0" distL="114300" distR="114300" simplePos="0" relativeHeight="251660288" behindDoc="0" locked="0" layoutInCell="1" allowOverlap="1">
            <wp:simplePos x="0" y="0"/>
            <wp:positionH relativeFrom="margin">
              <wp:posOffset>3240000</wp:posOffset>
            </wp:positionH>
            <wp:positionV relativeFrom="paragraph">
              <wp:posOffset>144000</wp:posOffset>
            </wp:positionV>
            <wp:extent cx="1512000" cy="486000"/>
            <wp:effectExtent l="0" t="0" r="0" b="0"/>
            <wp:wrapNone/>
            <wp:docPr id="3" name="Signature 3" descr=""/>
            <wp:cNvGraphicFramePr>
              <a:graphicFrameLocks noChangeAspect="1"/>
            </wp:cNvGraphicFramePr>
            <a:graphic>
              <a:graphicData uri="http://schemas.openxmlformats.org/drawingml/2006/picture">
                <pic:pic>
                  <pic:nvPicPr>
                    <pic:cNvPr id="3" name="Signature 3" descr=""/>
                    <pic:cNvPicPr>
                      <a:picLocks noChangeAspect="1" noChangeArrowheads="1"/>
                    </pic:cNvPicPr>
                  </pic:nvPicPr>
                  <pic:blipFill>
                    <a:blip r:embed="rId10"/>
                    <a:stretch>
                      <a:fillRect/>
                    </a:stretch>
                  </pic:blipFill>
                  <pic:spPr bwMode="auto">
                    <a:xfrm>
                      <a:off x="0" y="0"/>
                      <a:ext cx="1512000" cy="486000"/>
                    </a:xfrm>
                    <a:prstGeom prst="rect">
                      <a:avLst/>
                    </a:prstGeom>
                    <a:noFill/>
                  </pic:spPr>
                </pic:pic>
              </a:graphicData>
            </a:graphic>
          </wp:anchor>
        </w:drawing>
      </w:r>
    </w:p>
    <w:p>
      <w:pPr>
        <w:spacing w:after="360"/>
        <w:ind w:left="4536"/>
      </w:pPr>
      <w:r>
        <w:rPr>
          <w:b/>
          <w:bCs/>
        </w:rPr>
        <w:t xml:space="preserve">Pierre-Yves Exemple</w:t>
      </w:r>
    </w:p>
    <w:p>
      <w:pPr>
        <w:suppressLineNumbers/>
        <w:pBdr>
          <w:top w:val="single" w:sz="4" w:space="4" w:color="7F7F7F"/>
          <w:left w:val="single" w:sz="4" w:space="4" w:color="7F7F7F"/>
          <w:bottom w:val="single" w:sz="4" w:space="4" w:color="7F7F7F"/>
          <w:right w:val="single" w:sz="4" w:space="4" w:color="7F7F7F"/>
        </w:pBdr>
        <w:jc w:val="both"/>
      </w:pPr>
      <w:r>
        <w:rPr>
          <w:i/>
          <w:iCs/>
          <w:sz w:val="18"/>
          <w:szCs w:val="18"/>
        </w:rPr>
        <w:t xml:space="preserve">Le présent arrêté peut faire l’objet d’un recours contentieux devant le tribunal administratif territorialement compétent dans un délai de deux mois à compter de sa publication. Le tribunal peut être saisi par l’application « Télérecours citoyens ».</w:t>
      </w:r>
    </w:p>
    <w:p>
      <w:pPr>
        <w:pageBreakBefore/>
        <w:suppressLineNumbers/>
        <w:spacing w:after="60"/>
        <w:jc w:val="center"/>
      </w:pPr>
      <w:r>
        <w:rPr>
          <w:b/>
          <w:bCs/>
          <w:sz w:val="26"/>
          <w:szCs w:val="26"/>
        </w:rPr>
        <w:t xml:space="preserve">Annexe à l’arrêté n° 2026-047</w:t>
      </w:r>
    </w:p>
    <w:p>
      <w:pPr>
        <w:suppressLineNumbers/>
        <w:spacing w:after="200"/>
        <w:jc w:val="center"/>
      </w:pPr>
      <w:r>
        <w:rPr>
          <w:i/>
          <w:iCs/>
        </w:rPr>
        <w:t xml:space="preserve">Liste des emplacements de stationnement neutralisés</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3289"/>
        <w:gridCol w:w="1021"/>
        <w:gridCol w:w="2381"/>
        <w:gridCol w:w="1701"/>
      </w:tblGrid>
      <w:tr>
        <w:trPr>
          <w:trHeight w:val="454" w:hRule="atLeast"/>
          <w:tblHeader/>
        </w:trPr>
        <w:tc>
          <w:tcPr>
            <w:tcW w:w="680" w:type="dxa"/>
            <w:shd w:val="clear" w:color="auto" w:fill="D9D9D9"/>
            <w:vAlign w:val="center"/>
          </w:tcPr>
          <w:p>
            <w:pPr>
              <w:spacing w:after="0"/>
              <w:jc w:val="center"/>
            </w:pPr>
            <w:r>
              <w:rPr>
                <w:b/>
                <w:bCs/>
              </w:rPr>
              <w:t xml:space="preserve">N°</w:t>
            </w:r>
          </w:p>
        </w:tc>
        <w:tc>
          <w:tcPr>
            <w:tcW w:w="3289" w:type="dxa"/>
            <w:shd w:val="clear" w:color="auto" w:fill="D9D9D9"/>
            <w:vAlign w:val="center"/>
          </w:tcPr>
          <w:p>
            <w:pPr>
              <w:spacing w:after="0"/>
              <w:jc w:val="center"/>
            </w:pPr>
            <w:r>
              <w:rPr>
                <w:b/>
                <w:bCs/>
              </w:rPr>
              <w:t xml:space="preserve">Voie</w:t>
            </w:r>
          </w:p>
        </w:tc>
        <w:tc>
          <w:tcPr>
            <w:tcW w:w="1021" w:type="dxa"/>
            <w:shd w:val="clear" w:color="auto" w:fill="D9D9D9"/>
            <w:vAlign w:val="center"/>
          </w:tcPr>
          <w:p>
            <w:pPr>
              <w:spacing w:after="0"/>
              <w:jc w:val="center"/>
            </w:pPr>
            <w:r>
              <w:rPr>
                <w:b/>
                <w:bCs/>
              </w:rPr>
              <w:t xml:space="preserve">Côté</w:t>
            </w:r>
          </w:p>
        </w:tc>
        <w:tc>
          <w:tcPr>
            <w:tcW w:w="2381" w:type="dxa"/>
            <w:shd w:val="clear" w:color="auto" w:fill="D9D9D9"/>
            <w:vAlign w:val="center"/>
          </w:tcPr>
          <w:p>
            <w:pPr>
              <w:spacing w:after="0"/>
              <w:jc w:val="center"/>
            </w:pPr>
            <w:r>
              <w:rPr>
                <w:b/>
                <w:bCs/>
              </w:rPr>
              <w:t xml:space="preserve">Emplacement (au droit du n°)</w:t>
            </w:r>
          </w:p>
        </w:tc>
        <w:tc>
          <w:tcPr>
            <w:tcW w:w="1701" w:type="dxa"/>
            <w:shd w:val="clear" w:color="auto" w:fill="D9D9D9"/>
            <w:vAlign w:val="center"/>
          </w:tcPr>
          <w:p>
            <w:pPr>
              <w:spacing w:after="0"/>
              <w:jc w:val="center"/>
            </w:pPr>
            <w:r>
              <w:rPr>
                <w:b/>
                <w:bCs/>
              </w:rPr>
              <w:t xml:space="preserve">Période</w:t>
            </w:r>
          </w:p>
        </w:tc>
      </w:tr>
      <w:tr>
        <w:trPr>
          <w:cantSplit/>
        </w:trPr>
        <w:tc>
          <w:tcPr>
            <w:tcW w:w="680" w:type="dxa"/>
          </w:tcPr>
          <w:p>
            <w:pPr>
              <w:spacing w:after="0"/>
              <w:jc w:val="center"/>
            </w:pPr>
            <w:r>
              <w:t xml:space="preserve">1</w:t>
            </w:r>
          </w:p>
        </w:tc>
        <w:tc>
          <w:tcPr>
            <w:tcW w:w="3289" w:type="dxa"/>
          </w:tcPr>
          <w:p>
            <w:pPr>
              <w:spacing w:after="0"/>
            </w:pPr>
            <w:r>
              <w:t xml:space="preserve">rue de la Gare</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2</w:t>
            </w:r>
          </w:p>
        </w:tc>
        <w:tc>
          <w:tcPr>
            <w:tcW w:w="3289" w:type="dxa"/>
          </w:tcPr>
          <w:p>
            <w:pPr>
              <w:spacing w:after="0"/>
            </w:pPr>
            <w:r>
              <w:t xml:space="preserve">rue de la Gare</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3</w:t>
            </w:r>
          </w:p>
        </w:tc>
        <w:tc>
          <w:tcPr>
            <w:tcW w:w="3289" w:type="dxa"/>
          </w:tcPr>
          <w:p>
            <w:pPr>
              <w:spacing w:after="0"/>
            </w:pPr>
            <w:r>
              <w:t xml:space="preserve">rue de la Gare</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r>
        <w:trPr>
          <w:cantSplit/>
        </w:trPr>
        <w:tc>
          <w:tcPr>
            <w:tcW w:w="680" w:type="dxa"/>
          </w:tcPr>
          <w:p>
            <w:pPr>
              <w:spacing w:after="0"/>
              <w:jc w:val="center"/>
            </w:pPr>
            <w:r>
              <w:t xml:space="preserve">4</w:t>
            </w:r>
          </w:p>
        </w:tc>
        <w:tc>
          <w:tcPr>
            <w:tcW w:w="3289" w:type="dxa"/>
          </w:tcPr>
          <w:p>
            <w:pPr>
              <w:spacing w:after="0"/>
            </w:pPr>
            <w:r>
              <w:t xml:space="preserve">avenue des Peupliers</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5</w:t>
            </w:r>
          </w:p>
        </w:tc>
        <w:tc>
          <w:tcPr>
            <w:tcW w:w="3289" w:type="dxa"/>
          </w:tcPr>
          <w:p>
            <w:pPr>
              <w:spacing w:after="0"/>
            </w:pPr>
            <w:r>
              <w:t xml:space="preserve">avenue des Peupliers</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6</w:t>
            </w:r>
          </w:p>
        </w:tc>
        <w:tc>
          <w:tcPr>
            <w:tcW w:w="3289" w:type="dxa"/>
          </w:tcPr>
          <w:p>
            <w:pPr>
              <w:spacing w:after="0"/>
            </w:pPr>
            <w:r>
              <w:t xml:space="preserve">avenue des Peupliers</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r>
        <w:trPr>
          <w:cantSplit/>
        </w:trPr>
        <w:tc>
          <w:tcPr>
            <w:tcW w:w="680" w:type="dxa"/>
          </w:tcPr>
          <w:p>
            <w:pPr>
              <w:spacing w:after="0"/>
              <w:jc w:val="center"/>
            </w:pPr>
            <w:r>
              <w:t xml:space="preserve">7</w:t>
            </w:r>
          </w:p>
        </w:tc>
        <w:tc>
          <w:tcPr>
            <w:tcW w:w="3289" w:type="dxa"/>
          </w:tcPr>
          <w:p>
            <w:pPr>
              <w:spacing w:after="0"/>
            </w:pPr>
            <w:r>
              <w:t xml:space="preserve">rue des Tilleuls</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8</w:t>
            </w:r>
          </w:p>
        </w:tc>
        <w:tc>
          <w:tcPr>
            <w:tcW w:w="3289" w:type="dxa"/>
          </w:tcPr>
          <w:p>
            <w:pPr>
              <w:spacing w:after="0"/>
            </w:pPr>
            <w:r>
              <w:t xml:space="preserve">rue des Tilleuls</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9</w:t>
            </w:r>
          </w:p>
        </w:tc>
        <w:tc>
          <w:tcPr>
            <w:tcW w:w="3289" w:type="dxa"/>
          </w:tcPr>
          <w:p>
            <w:pPr>
              <w:spacing w:after="0"/>
            </w:pPr>
            <w:r>
              <w:t xml:space="preserve">rue des Tilleuls</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r>
        <w:trPr>
          <w:cantSplit/>
        </w:trPr>
        <w:tc>
          <w:tcPr>
            <w:tcW w:w="680" w:type="dxa"/>
          </w:tcPr>
          <w:p>
            <w:pPr>
              <w:spacing w:after="0"/>
              <w:jc w:val="center"/>
            </w:pPr>
            <w:r>
              <w:t xml:space="preserve">10</w:t>
            </w:r>
          </w:p>
        </w:tc>
        <w:tc>
          <w:tcPr>
            <w:tcW w:w="3289" w:type="dxa"/>
          </w:tcPr>
          <w:p>
            <w:pPr>
              <w:spacing w:after="0"/>
            </w:pPr>
            <w:r>
              <w:t xml:space="preserve">place du Marché</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11</w:t>
            </w:r>
          </w:p>
        </w:tc>
        <w:tc>
          <w:tcPr>
            <w:tcW w:w="3289" w:type="dxa"/>
          </w:tcPr>
          <w:p>
            <w:pPr>
              <w:spacing w:after="0"/>
            </w:pPr>
            <w:r>
              <w:t xml:space="preserve">place du Marché</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12</w:t>
            </w:r>
          </w:p>
        </w:tc>
        <w:tc>
          <w:tcPr>
            <w:tcW w:w="3289" w:type="dxa"/>
          </w:tcPr>
          <w:p>
            <w:pPr>
              <w:spacing w:after="0"/>
            </w:pPr>
            <w:r>
              <w:t xml:space="preserve">place du Marché</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r>
        <w:trPr>
          <w:cantSplit/>
        </w:trPr>
        <w:tc>
          <w:tcPr>
            <w:tcW w:w="680" w:type="dxa"/>
          </w:tcPr>
          <w:p>
            <w:pPr>
              <w:spacing w:after="0"/>
              <w:jc w:val="center"/>
            </w:pPr>
            <w:r>
              <w:t xml:space="preserve">13</w:t>
            </w:r>
          </w:p>
        </w:tc>
        <w:tc>
          <w:tcPr>
            <w:tcW w:w="3289" w:type="dxa"/>
          </w:tcPr>
          <w:p>
            <w:pPr>
              <w:spacing w:after="0"/>
            </w:pPr>
            <w:r>
              <w:t xml:space="preserve">impasse des Lilas</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14</w:t>
            </w:r>
          </w:p>
        </w:tc>
        <w:tc>
          <w:tcPr>
            <w:tcW w:w="3289" w:type="dxa"/>
          </w:tcPr>
          <w:p>
            <w:pPr>
              <w:spacing w:after="0"/>
            </w:pPr>
            <w:r>
              <w:t xml:space="preserve">impasse des Lilas</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15</w:t>
            </w:r>
          </w:p>
        </w:tc>
        <w:tc>
          <w:tcPr>
            <w:tcW w:w="3289" w:type="dxa"/>
          </w:tcPr>
          <w:p>
            <w:pPr>
              <w:spacing w:after="0"/>
            </w:pPr>
            <w:r>
              <w:t xml:space="preserve">impasse des Lilas</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r>
        <w:trPr>
          <w:cantSplit/>
        </w:trPr>
        <w:tc>
          <w:tcPr>
            <w:tcW w:w="680" w:type="dxa"/>
          </w:tcPr>
          <w:p>
            <w:pPr>
              <w:spacing w:after="0"/>
              <w:jc w:val="center"/>
            </w:pPr>
            <w:r>
              <w:t xml:space="preserve">16</w:t>
            </w:r>
          </w:p>
        </w:tc>
        <w:tc>
          <w:tcPr>
            <w:tcW w:w="3289" w:type="dxa"/>
          </w:tcPr>
          <w:p>
            <w:pPr>
              <w:spacing w:after="0"/>
            </w:pPr>
            <w:r>
              <w:t xml:space="preserve">rue Victor-Hugo</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17</w:t>
            </w:r>
          </w:p>
        </w:tc>
        <w:tc>
          <w:tcPr>
            <w:tcW w:w="3289" w:type="dxa"/>
          </w:tcPr>
          <w:p>
            <w:pPr>
              <w:spacing w:after="0"/>
            </w:pPr>
            <w:r>
              <w:t xml:space="preserve">rue Victor-Hugo</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18</w:t>
            </w:r>
          </w:p>
        </w:tc>
        <w:tc>
          <w:tcPr>
            <w:tcW w:w="3289" w:type="dxa"/>
          </w:tcPr>
          <w:p>
            <w:pPr>
              <w:spacing w:after="0"/>
            </w:pPr>
            <w:r>
              <w:t xml:space="preserve">rue Victor-Hugo</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r>
        <w:trPr>
          <w:cantSplit/>
        </w:trPr>
        <w:tc>
          <w:tcPr>
            <w:tcW w:w="680" w:type="dxa"/>
          </w:tcPr>
          <w:p>
            <w:pPr>
              <w:spacing w:after="0"/>
              <w:jc w:val="center"/>
            </w:pPr>
            <w:r>
              <w:t xml:space="preserve">19</w:t>
            </w:r>
          </w:p>
        </w:tc>
        <w:tc>
          <w:tcPr>
            <w:tcW w:w="3289" w:type="dxa"/>
          </w:tcPr>
          <w:p>
            <w:pPr>
              <w:spacing w:after="0"/>
            </w:pPr>
            <w:r>
              <w:t xml:space="preserve">rue Jean-Jaurès</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20</w:t>
            </w:r>
          </w:p>
        </w:tc>
        <w:tc>
          <w:tcPr>
            <w:tcW w:w="3289" w:type="dxa"/>
          </w:tcPr>
          <w:p>
            <w:pPr>
              <w:spacing w:after="0"/>
            </w:pPr>
            <w:r>
              <w:t xml:space="preserve">rue Jean-Jaurès</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21</w:t>
            </w:r>
          </w:p>
        </w:tc>
        <w:tc>
          <w:tcPr>
            <w:tcW w:w="3289" w:type="dxa"/>
          </w:tcPr>
          <w:p>
            <w:pPr>
              <w:spacing w:after="0"/>
            </w:pPr>
            <w:r>
              <w:t xml:space="preserve">rue Jean-Jaurès</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r>
        <w:trPr>
          <w:cantSplit/>
        </w:trPr>
        <w:tc>
          <w:tcPr>
            <w:tcW w:w="680" w:type="dxa"/>
          </w:tcPr>
          <w:p>
            <w:pPr>
              <w:spacing w:after="0"/>
              <w:jc w:val="center"/>
            </w:pPr>
            <w:r>
              <w:t xml:space="preserve">22</w:t>
            </w:r>
          </w:p>
        </w:tc>
        <w:tc>
          <w:tcPr>
            <w:tcW w:w="3289" w:type="dxa"/>
          </w:tcPr>
          <w:p>
            <w:pPr>
              <w:spacing w:after="0"/>
            </w:pPr>
            <w:r>
              <w:t xml:space="preserve">boulevard de la Liberté</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23</w:t>
            </w:r>
          </w:p>
        </w:tc>
        <w:tc>
          <w:tcPr>
            <w:tcW w:w="3289" w:type="dxa"/>
          </w:tcPr>
          <w:p>
            <w:pPr>
              <w:spacing w:after="0"/>
            </w:pPr>
            <w:r>
              <w:t xml:space="preserve">boulevard de la Liberté</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24</w:t>
            </w:r>
          </w:p>
        </w:tc>
        <w:tc>
          <w:tcPr>
            <w:tcW w:w="3289" w:type="dxa"/>
          </w:tcPr>
          <w:p>
            <w:pPr>
              <w:spacing w:after="0"/>
            </w:pPr>
            <w:r>
              <w:t xml:space="preserve">boulevard de la Liberté</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r>
        <w:trPr>
          <w:cantSplit/>
        </w:trPr>
        <w:tc>
          <w:tcPr>
            <w:tcW w:w="680" w:type="dxa"/>
          </w:tcPr>
          <w:p>
            <w:pPr>
              <w:spacing w:after="0"/>
              <w:jc w:val="center"/>
            </w:pPr>
            <w:r>
              <w:t xml:space="preserve">25</w:t>
            </w:r>
          </w:p>
        </w:tc>
        <w:tc>
          <w:tcPr>
            <w:tcW w:w="3289" w:type="dxa"/>
          </w:tcPr>
          <w:p>
            <w:pPr>
              <w:spacing w:after="0"/>
            </w:pPr>
            <w:r>
              <w:t xml:space="preserve">chemin du Moulin</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26</w:t>
            </w:r>
          </w:p>
        </w:tc>
        <w:tc>
          <w:tcPr>
            <w:tcW w:w="3289" w:type="dxa"/>
          </w:tcPr>
          <w:p>
            <w:pPr>
              <w:spacing w:after="0"/>
            </w:pPr>
            <w:r>
              <w:t xml:space="preserve">chemin du Moulin</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27</w:t>
            </w:r>
          </w:p>
        </w:tc>
        <w:tc>
          <w:tcPr>
            <w:tcW w:w="3289" w:type="dxa"/>
          </w:tcPr>
          <w:p>
            <w:pPr>
              <w:spacing w:after="0"/>
            </w:pPr>
            <w:r>
              <w:t xml:space="preserve">chemin du Moulin</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r>
        <w:trPr>
          <w:cantSplit/>
        </w:trPr>
        <w:tc>
          <w:tcPr>
            <w:tcW w:w="680" w:type="dxa"/>
          </w:tcPr>
          <w:p>
            <w:pPr>
              <w:spacing w:after="0"/>
              <w:jc w:val="center"/>
            </w:pPr>
            <w:r>
              <w:t xml:space="preserve">28</w:t>
            </w:r>
          </w:p>
        </w:tc>
        <w:tc>
          <w:tcPr>
            <w:tcW w:w="3289" w:type="dxa"/>
          </w:tcPr>
          <w:p>
            <w:pPr>
              <w:spacing w:after="0"/>
            </w:pPr>
            <w:r>
              <w:t xml:space="preserve">rue des Écoles</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29</w:t>
            </w:r>
          </w:p>
        </w:tc>
        <w:tc>
          <w:tcPr>
            <w:tcW w:w="3289" w:type="dxa"/>
          </w:tcPr>
          <w:p>
            <w:pPr>
              <w:spacing w:after="0"/>
            </w:pPr>
            <w:r>
              <w:t xml:space="preserve">rue des Écoles</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30</w:t>
            </w:r>
          </w:p>
        </w:tc>
        <w:tc>
          <w:tcPr>
            <w:tcW w:w="3289" w:type="dxa"/>
          </w:tcPr>
          <w:p>
            <w:pPr>
              <w:spacing w:after="0"/>
            </w:pPr>
            <w:r>
              <w:t xml:space="preserve">rue des Écoles</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r>
        <w:trPr>
          <w:cantSplit/>
        </w:trPr>
        <w:tc>
          <w:tcPr>
            <w:tcW w:w="680" w:type="dxa"/>
          </w:tcPr>
          <w:p>
            <w:pPr>
              <w:spacing w:after="0"/>
              <w:jc w:val="center"/>
            </w:pPr>
            <w:r>
              <w:t xml:space="preserve">31</w:t>
            </w:r>
          </w:p>
        </w:tc>
        <w:tc>
          <w:tcPr>
            <w:tcW w:w="3289" w:type="dxa"/>
          </w:tcPr>
          <w:p>
            <w:pPr>
              <w:spacing w:after="0"/>
            </w:pPr>
            <w:r>
              <w:t xml:space="preserve">allée des Charmes</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32</w:t>
            </w:r>
          </w:p>
        </w:tc>
        <w:tc>
          <w:tcPr>
            <w:tcW w:w="3289" w:type="dxa"/>
          </w:tcPr>
          <w:p>
            <w:pPr>
              <w:spacing w:after="0"/>
            </w:pPr>
            <w:r>
              <w:t xml:space="preserve">allée des Charmes</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33</w:t>
            </w:r>
          </w:p>
        </w:tc>
        <w:tc>
          <w:tcPr>
            <w:tcW w:w="3289" w:type="dxa"/>
          </w:tcPr>
          <w:p>
            <w:pPr>
              <w:spacing w:after="0"/>
            </w:pPr>
            <w:r>
              <w:t xml:space="preserve">allée des Charmes</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r>
        <w:trPr>
          <w:cantSplit/>
        </w:trPr>
        <w:tc>
          <w:tcPr>
            <w:tcW w:w="680" w:type="dxa"/>
          </w:tcPr>
          <w:p>
            <w:pPr>
              <w:spacing w:after="0"/>
              <w:jc w:val="center"/>
            </w:pPr>
            <w:r>
              <w:t xml:space="preserve">34</w:t>
            </w:r>
          </w:p>
        </w:tc>
        <w:tc>
          <w:tcPr>
            <w:tcW w:w="3289" w:type="dxa"/>
          </w:tcPr>
          <w:p>
            <w:pPr>
              <w:spacing w:after="0"/>
            </w:pPr>
            <w:r>
              <w:t xml:space="preserve">rue du Stade</w:t>
            </w:r>
          </w:p>
        </w:tc>
        <w:tc>
          <w:tcPr>
            <w:tcW w:w="1021" w:type="dxa"/>
          </w:tcPr>
          <w:p>
            <w:pPr>
              <w:spacing w:after="0"/>
              <w:jc w:val="center"/>
            </w:pPr>
            <w:r>
              <w:t xml:space="preserve">pair</w:t>
            </w:r>
          </w:p>
        </w:tc>
        <w:tc>
          <w:tcPr>
            <w:tcW w:w="2381" w:type="dxa"/>
          </w:tcPr>
          <w:p>
            <w:pPr>
              <w:spacing w:after="0"/>
            </w:pPr>
            <w:r>
              <w:t xml:space="preserve">du 2 au 8</w:t>
            </w:r>
          </w:p>
        </w:tc>
        <w:tc>
          <w:tcPr>
            <w:tcW w:w="1701" w:type="dxa"/>
          </w:tcPr>
          <w:p>
            <w:pPr>
              <w:spacing w:after="0"/>
            </w:pPr>
            <w:r>
              <w:t xml:space="preserve">phase 1</w:t>
            </w:r>
          </w:p>
        </w:tc>
      </w:tr>
      <w:tr>
        <w:trPr>
          <w:cantSplit/>
        </w:trPr>
        <w:tc>
          <w:tcPr>
            <w:tcW w:w="680" w:type="dxa"/>
          </w:tcPr>
          <w:p>
            <w:pPr>
              <w:spacing w:after="0"/>
              <w:jc w:val="center"/>
            </w:pPr>
            <w:r>
              <w:t xml:space="preserve">35</w:t>
            </w:r>
          </w:p>
        </w:tc>
        <w:tc>
          <w:tcPr>
            <w:tcW w:w="3289" w:type="dxa"/>
          </w:tcPr>
          <w:p>
            <w:pPr>
              <w:spacing w:after="0"/>
            </w:pPr>
            <w:r>
              <w:t xml:space="preserve">rue du Stade</w:t>
            </w:r>
          </w:p>
        </w:tc>
        <w:tc>
          <w:tcPr>
            <w:tcW w:w="1021" w:type="dxa"/>
          </w:tcPr>
          <w:p>
            <w:pPr>
              <w:spacing w:after="0"/>
              <w:jc w:val="center"/>
            </w:pPr>
            <w:r>
              <w:t xml:space="preserve">impair</w:t>
            </w:r>
          </w:p>
        </w:tc>
        <w:tc>
          <w:tcPr>
            <w:tcW w:w="2381" w:type="dxa"/>
          </w:tcPr>
          <w:p>
            <w:pPr>
              <w:spacing w:after="0"/>
            </w:pPr>
            <w:r>
              <w:t xml:space="preserve">du 1 au 9</w:t>
            </w:r>
          </w:p>
        </w:tc>
        <w:tc>
          <w:tcPr>
            <w:tcW w:w="1701" w:type="dxa"/>
          </w:tcPr>
          <w:p>
            <w:pPr>
              <w:spacing w:after="0"/>
            </w:pPr>
            <w:r>
              <w:t xml:space="preserve">phase 1</w:t>
            </w:r>
          </w:p>
        </w:tc>
      </w:tr>
      <w:tr>
        <w:trPr>
          <w:cantSplit/>
        </w:trPr>
        <w:tc>
          <w:tcPr>
            <w:tcW w:w="680" w:type="dxa"/>
          </w:tcPr>
          <w:p>
            <w:pPr>
              <w:spacing w:after="0"/>
              <w:jc w:val="center"/>
            </w:pPr>
            <w:r>
              <w:t xml:space="preserve">36</w:t>
            </w:r>
          </w:p>
        </w:tc>
        <w:tc>
          <w:tcPr>
            <w:tcW w:w="3289" w:type="dxa"/>
          </w:tcPr>
          <w:p>
            <w:pPr>
              <w:spacing w:after="0"/>
            </w:pPr>
            <w:r>
              <w:t xml:space="preserve">rue du Stade</w:t>
            </w:r>
          </w:p>
        </w:tc>
        <w:tc>
          <w:tcPr>
            <w:tcW w:w="1021" w:type="dxa"/>
          </w:tcPr>
          <w:p>
            <w:pPr>
              <w:spacing w:after="0"/>
              <w:jc w:val="center"/>
            </w:pPr>
            <w:r>
              <w:t xml:space="preserve">pair</w:t>
            </w:r>
          </w:p>
        </w:tc>
        <w:tc>
          <w:tcPr>
            <w:tcW w:w="2381" w:type="dxa"/>
          </w:tcPr>
          <w:p>
            <w:pPr>
              <w:spacing w:after="0"/>
            </w:pPr>
            <w:r>
              <w:t xml:space="preserve">du 10 au 16</w:t>
            </w:r>
          </w:p>
        </w:tc>
        <w:tc>
          <w:tcPr>
            <w:tcW w:w="1701" w:type="dxa"/>
          </w:tcPr>
          <w:p>
            <w:pPr>
              <w:spacing w:after="0"/>
            </w:pPr>
            <w:r>
              <w:rPr>
                <w:i/>
                <w:iCs/>
              </w:rPr>
              <w:t xml:space="preserve">phases 1 et 2</w:t>
            </w:r>
          </w:p>
        </w:tc>
      </w:tr>
    </w:tbl>
    <w:sectPr>
      <w:footerReference w:type="default" r:id="rId1"/>
      <w:pgSz w:w="11906" w:h="16838"/>
      <w:pgMar w:top="1134" w:right="1134" w:bottom="1134" w:left="1701" w:header="567" w:footer="567" w:gutter="0"/>
      <w:lnNumType w:countBy="5" w:distance="283" w:restart="newPage"/>
      <w:cols w:space="708"/>
      <w:docGrid w:linePitch="360"/>
    </w:sectPr>
  </w:body>
</w:document>
</file>

<file path=word/fontTable.xml><?xml version="1.0" encoding="utf-8"?>
<w:fo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font w:name="Calibri">
    <w:panose1 w:val="020F0502020204030204"/>
    <w:charset w:val="00"/>
    <w:family w:val="swiss"/>
    <w:pitch w:val="variable"/>
  </w:font>
  <w:font w:name="Calibri Light">
    <w:panose1 w:val="020F0302020204030204"/>
    <w:charset w:val="00"/>
    <w:family w:val="swiss"/>
    <w:pitch w:val="variable"/>
  </w:font>
  <w:font w:name="Cambria Math">
    <w:panose1 w:val="02040503050406030204"/>
    <w:charset w:val="00"/>
    <w:family w:val="roman"/>
    <w:pitch w:val="variable"/>
  </w:font>
  <w:font w:name="Courier New">
    <w:panose1 w:val="02070309020205020404"/>
    <w:charset w:val="00"/>
    <w:family w:val="modern"/>
    <w:pitch w:val="fixed"/>
  </w:font>
  <w:font w:name="Symbol">
    <w:panose1 w:val="05050102010706020507"/>
    <w:charset w:val="02"/>
    <w:family w:val="roman"/>
    <w:pitch w:val="variable"/>
  </w:font>
  <w:font w:name="Times New Roman">
    <w:panose1 w:val="02020603050405020304"/>
    <w:charset w:val="00"/>
    <w:family w:val="roman"/>
    <w:pitch w:val="variable"/>
  </w:font>
  <w:font w:name="Wingdings">
    <w:panose1 w:val="05000000000000000000"/>
    <w:charset w:val="02"/>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Pieddepage"/>
      <w:tabs>
        <w:tab w:val="clear" w:pos="4536"/>
        <w:tab w:val="right" w:pos="9072"/>
      </w:tabs>
    </w:pPr>
    <w:r>
      <w:rPr>
        <w:i/>
        <w:iCs/>
        <w:sz w:val="18"/>
        <w:szCs w:val="18"/>
      </w:rPr>
      <w:t xml:space="preserve">Arrêté n° 2026-047</w:t>
    </w:r>
    <w:r>
      <w:tab/>
    </w: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 xml:space="preserve">1</w:t>
    </w:r>
    <w:r>
      <w:rPr>
        <w:sz w:val="18"/>
        <w:szCs w:val="18"/>
      </w:rPr>
      <w:fldChar w:fldCharType="end"/>
    </w:r>
    <w:r>
      <w:rPr>
        <w:sz w:val="18"/>
        <w:szCs w:val="18"/>
      </w:rPr>
      <w:t xml:space="preserve"> sur </w:t>
    </w:r>
    <w:r>
      <w:rPr>
        <w:sz w:val="18"/>
        <w:szCs w:val="18"/>
      </w:rPr>
      <w:fldChar w:fldCharType="begin"/>
    </w:r>
    <w:r>
      <w:rPr>
        <w:sz w:val="18"/>
        <w:szCs w:val="18"/>
      </w:rPr>
      <w:instrText xml:space="preserve"> NUMPAGES </w:instrText>
    </w:r>
    <w:r>
      <w:rPr>
        <w:sz w:val="18"/>
        <w:szCs w:val="18"/>
      </w:rPr>
      <w:fldChar w:fldCharType="separate"/>
    </w:r>
    <w:r>
      <w:rPr>
        <w:sz w:val="18"/>
        <w:szCs w:val="18"/>
      </w:rPr>
      <w:t xml:space="preserve">3</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Notedebasdepage"/>
      </w:pPr>
      <w:r>
        <w:rPr>
          <w:rStyle w:val="Appelnotedebasdep"/>
        </w:rPr>
        <w:footnoteRef/>
      </w:r>
      <w:r>
        <w:t xml:space="preserve"> </w:t>
      </w:r>
      <w:r>
        <w:t xml:space="preserve">Instruction interministérielle sur la signalisation routière, approuvée par arrêté du 6 novembre 1992 modifié.</w:t>
      </w:r>
    </w:p>
  </w:footnote>
  <w:footnote w:id="2">
    <w:p>
      <w:pPr>
        <w:pStyle w:val="Notedebasdepage"/>
      </w:pPr>
      <w:r>
        <w:rPr>
          <w:rStyle w:val="Appelnotedebasdep"/>
        </w:rPr>
        <w:footnoteRef/>
      </w:r>
      <w:r>
        <w:t xml:space="preserve"> </w:t>
      </w:r>
      <w:r>
        <w:t xml:space="preserve">Article L. 2131-1 du code général des collectivités territoriales.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zoom w:percent="100"/>
  <w:proofState w:spelling="clean" w:grammar="clean"/>
  <w:defaultTabStop w:val="708"/>
  <w:hyphenationZone w:val="425"/>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docDefaults>
    <w:rPrDefault>
      <w:rPr>
        <w:rFonts w:ascii="Times New Roman" w:eastAsia="Times New Roman" w:hAnsi="Times New Roman" w:cs="Times New Roman"/>
        <w:kern w:val="2"/>
        <w:sz w:val="24"/>
        <w:szCs w:val="24"/>
        <w:lang w:val="fr-FR" w:eastAsia="en-US" w:bidi="ar-SA"/>
      </w:rPr>
    </w:rPrDefault>
    <w:pPrDefault>
      <w:pPr>
        <w:spacing w:after="12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Title" w:uiPriority="10" w:qFormat="1"/>
    <w:lsdException w:name="Table Grid" w:uiPriority="39"/>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1">
    <w:name w:val="heading 1"/>
    <w:basedOn w:val="Normal"/>
    <w:next w:val="Normal"/>
    <w:link w:val="Titre1Car"/>
    <w:uiPriority w:val="9"/>
    <w:qFormat/>
    <w:pPr>
      <w:keepNext/>
      <w:keepLines/>
      <w:spacing w:before="240" w:after="0"/>
      <w:outlineLvl w:val="0"/>
    </w:pPr>
    <w:rPr>
      <w:rFonts w:asciiTheme="majorHAnsi" w:hAnsiTheme="majorHAnsi" w:eastAsiaTheme="majorEastAsia" w:cstheme="majorBidi"/>
      <w:color w:val="2F5496"/>
      <w:sz w:val="32"/>
      <w:szCs w:val="32"/>
    </w:rPr>
  </w:style>
  <w:style w:type="character" w:styleId="Titre1Car">
    <w:name w:val="Titre 1 Car"/>
    <w:basedOn w:val="Policepardfaut"/>
    <w:link w:val="Titre1"/>
    <w:uiPriority w:val="9"/>
    <w:rPr>
      <w:rFonts w:asciiTheme="majorHAnsi" w:hAnsiTheme="majorHAnsi" w:eastAsiaTheme="majorEastAsia" w:cstheme="majorBidi"/>
      <w:color w:val="2F5496"/>
      <w:sz w:val="32"/>
      <w:szCs w:val="32"/>
    </w:rPr>
  </w:style>
  <w:style w:type="paragraph" w:styleId="Titre2">
    <w:name w:val="heading 2"/>
    <w:basedOn w:val="Normal"/>
    <w:next w:val="Normal"/>
    <w:link w:val="Titre2Car"/>
    <w:uiPriority w:val="9"/>
    <w:qFormat/>
    <w:pPr>
      <w:keepNext/>
      <w:keepLines/>
      <w:spacing w:before="40" w:after="0"/>
      <w:outlineLvl w:val="1"/>
    </w:pPr>
    <w:rPr>
      <w:rFonts w:asciiTheme="majorHAnsi" w:hAnsiTheme="majorHAnsi" w:eastAsiaTheme="majorEastAsia" w:cstheme="majorBidi"/>
      <w:color w:val="2F5496"/>
      <w:sz w:val="26"/>
      <w:szCs w:val="26"/>
    </w:rPr>
  </w:style>
  <w:style w:type="character" w:styleId="Titre2Car">
    <w:name w:val="Titre 2 Car"/>
    <w:basedOn w:val="Policepardfaut"/>
    <w:link w:val="Titre2"/>
    <w:uiPriority w:val="9"/>
    <w:rPr>
      <w:rFonts w:asciiTheme="majorHAnsi" w:hAnsiTheme="majorHAnsi" w:eastAsiaTheme="majorEastAsia" w:cstheme="majorBidi"/>
      <w:color w:val="2F5496"/>
      <w:sz w:val="26"/>
      <w:szCs w:val="26"/>
    </w:rPr>
  </w:style>
  <w:style w:type="paragraph" w:styleId="Titre3">
    <w:name w:val="heading 3"/>
    <w:basedOn w:val="Normal"/>
    <w:next w:val="Normal"/>
    <w:link w:val="Titre3Car"/>
    <w:uiPriority w:val="9"/>
    <w:qFormat/>
    <w:pPr>
      <w:keepNext/>
      <w:keepLines/>
      <w:spacing w:before="40" w:after="0"/>
      <w:outlineLvl w:val="2"/>
    </w:pPr>
    <w:rPr>
      <w:rFonts w:asciiTheme="majorHAnsi" w:hAnsiTheme="majorHAnsi" w:eastAsiaTheme="majorEastAsia" w:cstheme="majorBidi"/>
      <w:color w:val="1F3763"/>
      <w:sz w:val="24"/>
      <w:szCs w:val="24"/>
    </w:rPr>
  </w:style>
  <w:style w:type="character" w:styleId="Titre3Car">
    <w:name w:val="Titre 3 Car"/>
    <w:basedOn w:val="Policepardfaut"/>
    <w:link w:val="Titre3"/>
    <w:uiPriority w:val="9"/>
    <w:rPr>
      <w:rFonts w:asciiTheme="majorHAnsi" w:hAnsiTheme="majorHAnsi" w:eastAsiaTheme="majorEastAsia" w:cstheme="majorBidi"/>
      <w:color w:val="1F3763"/>
      <w:sz w:val="24"/>
      <w:szCs w:val="24"/>
    </w:rPr>
  </w:style>
  <w:style w:type="paragraph" w:styleId="Titre">
    <w:name w:val="Title"/>
    <w:basedOn w:val="Normal"/>
    <w:next w:val="Normal"/>
    <w:link w:val="TitreCar"/>
    <w:uiPriority w:val="10"/>
    <w:qFormat/>
    <w:pPr>
      <w:spacing w:after="0" w:line="240" w:lineRule="auto"/>
      <w:contextualSpacing/>
    </w:pPr>
    <w:rPr>
      <w:rFonts w:asciiTheme="majorHAnsi" w:hAnsiTheme="majorHAnsi" w:eastAsiaTheme="majorEastAsia" w:cstheme="majorBidi"/>
      <w:color w:val="000000"/>
      <w:spacing w:val="-10"/>
      <w:kern w:val="28"/>
      <w:sz w:val="56"/>
      <w:spacing w:val="-10"/>
      <w:kern w:val="28"/>
      <w:szCs w:val="56"/>
    </w:rPr>
  </w:style>
  <w:style w:type="character" w:styleId="TitreCar">
    <w:name w:val="Titre Car"/>
    <w:basedOn w:val="Policepardfaut"/>
    <w:link w:val="Titre"/>
    <w:uiPriority w:val="10"/>
    <w:rPr>
      <w:rFonts w:asciiTheme="majorHAnsi" w:hAnsiTheme="majorHAnsi" w:eastAsiaTheme="majorEastAsia" w:cstheme="majorBidi"/>
      <w:color w:val="000000"/>
      <w:spacing w:val="-10"/>
      <w:kern w:val="28"/>
      <w:sz w:val="56"/>
      <w:spacing w:val="-10"/>
      <w:kern w:val="28"/>
      <w:szCs w:val="56"/>
    </w:rPr>
  </w:style>
  <w:style w:type="paragraph" w:styleId="Sous-titre">
    <w:name w:val="Subtitle"/>
    <w:basedOn w:val="Normal"/>
    <w:next w:val="Normal"/>
    <w:uiPriority w:val="11"/>
    <w:qFormat/>
    <w:pPr>
      <w:numPr>
        <w:ilvl w:val="1"/>
      </w:numPr>
    </w:pPr>
    <w:rPr>
      <w:color w:val="5A5A5A"/>
      <w:spacing w:val="15"/>
    </w:rPr>
  </w:style>
  <w:style w:type="paragraph" w:styleId="Paragraphedeliste">
    <w:name w:val="List Paragraph"/>
    <w:basedOn w:val="Normal"/>
    <w:uiPriority w:val="34"/>
    <w:qFormat/>
    <w:pPr>
      <w:ind w:left="720"/>
      <w:contextualSpacing/>
    </w:pPr>
  </w:style>
  <w:style w:type="paragraph" w:styleId="Sansinterligne">
    <w:name w:val="No Spacing"/>
    <w:uiPriority w:val="1"/>
    <w:qFormat/>
    <w:pPr>
      <w:spacing w:after="0" w:line="240" w:lineRule="auto"/>
    </w:pPr>
  </w:style>
  <w:style w:type="paragraph" w:styleId="En-tte">
    <w:name w:val="header"/>
    <w:basedOn w:val="Normal"/>
    <w:link w:val="En-tteCar"/>
    <w:uiPriority w:val="99"/>
    <w:semiHidden/>
    <w:unhideWhenUsed/>
    <w:pPr>
      <w:tabs>
        <w:tab w:val="center" w:pos="4536"/>
        <w:tab w:val="right" w:pos="9072"/>
      </w:tabs>
      <w:spacing w:after="0" w:line="240" w:lineRule="auto"/>
    </w:pPr>
  </w:style>
  <w:style w:type="character" w:styleId="En-tteCar">
    <w:name w:val="En-tête Car"/>
    <w:basedOn w:val="Policepardfaut"/>
    <w:link w:val="En-tte"/>
    <w:uiPriority w:val="99"/>
  </w:style>
  <w:style w:type="paragraph" w:styleId="Pieddepage">
    <w:name w:val="footer"/>
    <w:basedOn w:val="Normal"/>
    <w:link w:val="PieddepageCar"/>
    <w:uiPriority w:val="99"/>
    <w:semiHidden/>
    <w:unhideWhenUsed/>
    <w:pPr>
      <w:tabs>
        <w:tab w:val="center" w:pos="4536"/>
        <w:tab w:val="right" w:pos="9072"/>
      </w:tabs>
      <w:spacing w:after="0" w:line="240" w:lineRule="auto"/>
    </w:pPr>
  </w:style>
  <w:style w:type="character" w:styleId="PieddepageCar">
    <w:name w:val="Pied de page Car"/>
    <w:basedOn w:val="Policepardfaut"/>
    <w:link w:val="Pieddepage"/>
    <w:uiPriority w:val="99"/>
  </w:style>
  <w:style w:type="paragraph" w:styleId="Lgende">
    <w:name w:val="caption"/>
    <w:basedOn w:val="Normal"/>
    <w:next w:val="Normal"/>
    <w:uiPriority w:val="35"/>
    <w:semiHidden/>
    <w:unhideWhenUsed/>
    <w:qFormat/>
    <w:pPr>
      <w:spacing w:after="200" w:line="240" w:lineRule="auto"/>
    </w:pPr>
    <w:rPr>
      <w:i/>
      <w:iCs/>
      <w:color w:val="44546A"/>
      <w:sz w:val="18"/>
      <w:szCs w:val="18"/>
    </w:rPr>
  </w:style>
  <w:style w:type="paragraph" w:styleId="TM1">
    <w:name w:val="toc 1"/>
    <w:basedOn w:val="Normal"/>
    <w:next w:val="Normal"/>
    <w:uiPriority w:val="39"/>
    <w:semiHidden/>
    <w:unhideWhenUsed/>
    <w:pPr>
      <w:tabs>
        <w:tab w:val="right" w:leader="dot" w:pos="9062"/>
      </w:tabs>
      <w:spacing w:after="100"/>
    </w:pPr>
  </w:style>
  <w:style w:type="paragraph" w:styleId="TM2">
    <w:name w:val="toc 2"/>
    <w:basedOn w:val="Normal"/>
    <w:next w:val="Normal"/>
    <w:uiPriority w:val="39"/>
    <w:semiHidden/>
    <w:unhideWhenUsed/>
    <w:pPr>
      <w:tabs>
        <w:tab w:val="right" w:leader="dot" w:pos="9062"/>
      </w:tabs>
      <w:spacing w:after="100"/>
      <w:ind w:left="220"/>
    </w:pPr>
  </w:style>
  <w:style w:type="paragraph" w:styleId="TM3">
    <w:name w:val="toc 3"/>
    <w:basedOn w:val="Normal"/>
    <w:next w:val="Normal"/>
    <w:uiPriority w:val="39"/>
    <w:semiHidden/>
    <w:unhideWhenUsed/>
    <w:pPr>
      <w:tabs>
        <w:tab w:val="right" w:leader="dot" w:pos="9062"/>
      </w:tabs>
      <w:spacing w:after="100"/>
      <w:ind w:left="440"/>
    </w:pPr>
  </w:style>
  <w:style w:type="paragraph" w:styleId="Tabledesillustrations">
    <w:name w:val="table of figures"/>
    <w:basedOn w:val="Normal"/>
    <w:next w:val="Normal"/>
    <w:uiPriority w:val="99"/>
    <w:semiHidden/>
    <w:unhideWhenUsed/>
    <w:pPr>
      <w:spacing w:after="0"/>
    </w:pPr>
  </w:style>
  <w:style w:type="paragraph" w:styleId="En-ttedetabledesmatires">
    <w:name w:val="TOC Heading"/>
    <w:basedOn w:val="Titre1"/>
    <w:next w:val="Normal"/>
    <w:uiPriority w:val="39"/>
    <w:semiHidden/>
    <w:unhideWhenUsed/>
    <w:qFormat/>
    <w:pPr>
      <w:numPr>
        <w:numId w:val="0"/>
      </w:numPr>
      <w:outlineLvl w:val="9"/>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styleId="NotedebasdepageCar">
    <w:name w:val="Note de bas de page Car"/>
    <w:basedOn w:val="Policepardfaut"/>
    <w:link w:val="Notedebasdepage"/>
    <w:uiPriority w:val="99"/>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styleId="NotedefinCar">
    <w:name w:val="Note de fin Car"/>
    <w:basedOn w:val="Policepardfaut"/>
    <w:link w:val="Notedefin"/>
    <w:uiPriority w:val="99"/>
    <w:rPr>
      <w:sz w:val="20"/>
      <w:szCs w:val="20"/>
    </w:rPr>
  </w:style>
  <w:style w:type="character" w:styleId="Appeldenotedefin">
    <w:name w:val="endnote reference"/>
    <w:basedOn w:val="Policepardfaut"/>
    <w:uiPriority w:val="99"/>
    <w:semiHidden/>
    <w:unhideWhenUsed/>
    <w:rPr>
      <w:vertAlign w:val="superscript"/>
    </w:rPr>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pPr>
      <w:spacing w:line="240" w:lineRule="auto"/>
    </w:pPr>
    <w:rPr>
      <w:sz w:val="20"/>
      <w:szCs w:val="20"/>
    </w:rPr>
  </w:style>
  <w:style w:type="character" w:styleId="CommentaireCar">
    <w:name w:val="Commentaire Car"/>
    <w:basedOn w:val="Policepardfaut"/>
    <w:link w:val="Commentaire"/>
    <w:uiPriority w:val="99"/>
    <w:rPr>
      <w:sz w:val="20"/>
      <w:szCs w:val="20"/>
    </w:rPr>
  </w:style>
  <w:style w:type="character" w:styleId="Lienhypertexte">
    <w:name w:val="Hyperlink"/>
    <w:basedOn w:val="Policepardfaut"/>
    <w:uiPriority w:val="99"/>
    <w:semiHidden/>
    <w:unhideWhenUsed/>
    <w:rPr>
      <w:color w:val="0563C1" w:themeColor="hyperlink"/>
      <w:u w:val="single"/>
    </w:rPr>
  </w:style>
  <w:style w:type="character" w:styleId="Textedelespacerserv">
    <w:name w:val="Placeholder Text"/>
    <w:basedOn w:val="Policepardfaut"/>
    <w:uiPriority w:val="99"/>
    <w:semiHidden/>
    <w:unhideWhenUsed/>
    <w:rPr>
      <w:color w:val="808080"/>
    </w:rPr>
  </w:style>
  <w:style w:type="character" w:styleId="lev">
    <w:name w:val="Strong"/>
    <w:basedOn w:val="Policepardfaut"/>
    <w:uiPriority w:val="22"/>
    <w:qFormat/>
    <w:rPr>
      <w:b/>
      <w:bCs/>
    </w:rPr>
  </w:style>
  <w:style w:type="paragraph" w:styleId="Citation">
    <w:name w:val="Quote"/>
    <w:basedOn w:val="Normal"/>
    <w:next w:val="Normal"/>
    <w:uiPriority w:val="29"/>
    <w:qFormat/>
    <w:pPr>
      <w:spacing w:before="200" w:after="160"/>
      <w:ind w:left="864" w:right="864"/>
      <w:jc w:val="center"/>
    </w:pPr>
    <w:rPr>
      <w:i/>
      <w:iCs/>
      <w:color w:val="404040"/>
    </w:r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Accentuation1">
    <w:name w:val="Grid Table 4 Accent 1"/>
    <w:basedOn w:val="Tableau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band1Horz">
      <w:tblPr/>
      <w:tcPr>
        <w:shd w:val="clear" w:color="auto" w:fill="D9E2F3"/>
      </w:tcPr>
    </w:tblStylePr>
  </w:style>
  <w:style w:type="table" w:styleId="Tableaulistelgre-Accentuation2">
    <w:name w:val="List Table 2 Accent 2"/>
    <w:basedOn w:val="TableauNormal"/>
    <w:uiPriority w:val="47"/>
    <w:pPr>
      <w:spacing w:after="0" w:line="240" w:lineRule="auto"/>
    </w:pPr>
    <w:tblPr>
      <w:tblStyleRowBandSize w:val="1"/>
      <w:tblBorders>
        <w:top w:val="single" w:sz="4" w:space="0" w:color="F4B083"/>
        <w:bottom w:val="single" w:sz="4" w:space="0" w:color="F4B083"/>
        <w:insideH w:val="single" w:sz="4" w:space="0" w:color="F4B083"/>
      </w:tblBorders>
    </w:tblPr>
    <w:tblStylePr w:type="firstRow">
      <w:rPr>
        <w:b/>
        <w:bCs/>
      </w:rPr>
    </w:tblStylePr>
    <w:tblStylePr w:type="band1Horz">
      <w:tblPr/>
      <w:tcPr>
        <w:shd w:val="clear" w:color="auto" w:fill="FBE4D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footer" Target="footer1.xml"/><Relationship Id="rId4"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472C4"/>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3</Pag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Arrêté municipal n° 2026-047 – circulation et stationnement</dc:title>
  <dc:subject>Arrêté municipal</dc:subject>
  <dc:creator>Corpus provisoire ElixirOffice (contenu fictif)</dc:creator>
  <cp:keywords>arrêté; numérotation des lignes; tableau multi-pages</cp:keywords>
  <dc:description>Document genere - corpus provisoire, a remplacer par les documents reels.</dc:description>
  <cp:lastModifiedBy>Corpus provisoire ElixirOffice</cp:lastModifiedBy>
  <cp:revision>3</cp:revision>
  <dcterms:created xsi:type="dcterms:W3CDTF">2026-03-02T09:00:00Z</dcterms:created>
  <dcterms:modified xsi:type="dcterms:W3CDTF">2026-03-02T09:00:00Z</dcterms:modified>
  <cp:category/>
  <dc:language>fr-FR</dc:language>
  <cp:lastPrinted>2026-03-02T09:00:00Z</cp:lastPrinted>
</cp:coreProperties>
</file>