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9639" w:type="dxa"/>
        <w:tblBorders>
          <w:top w:val="single" w:sz="12" w:space="0" w:color="1F3864"/>
          <w:bottom w:val="single" w:sz="12" w:space="0" w:color="1F3864"/>
          <w:insideH w:val="single" w:sz="12" w:space="0" w:color="1F3864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691"/>
        <w:gridCol w:w="1701"/>
      </w:tblGrid>
      <w:tr>
        <w:trPr>
          <w:trHeight w:val="1134" w:hRule="atLeast"/>
        </w:trPr>
        <w:tc>
          <w:tcPr>
            <w:tcW w:w="1247" w:type="dxa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6000" cy="576000"/>
                  <wp:effectExtent l="0" t="0" r="0" b="0"/>
                  <wp:docPr id="2" name="Logo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Logo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57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864"/>
                <w:spacing w:val="20"/>
                <w:sz w:val="40"/>
                <w:szCs w:val="40"/>
              </w:rPr>
              <w:t xml:space="preserve">NOTE DE SERVICE</w:t>
            </w:r>
          </w:p>
          <w:p>
            <w:pPr>
              <w:spacing w:after="0"/>
            </w:pPr>
            <w:r>
              <w:rPr>
                <w:color w:val="595959"/>
                <w:sz w:val="18"/>
                <w:szCs w:val="18"/>
              </w:rPr>
              <w:t xml:space="preserve">Commune de Valmont-sur-Ourse – Direction des systèmes d’information</w:t>
            </w:r>
          </w:p>
        </w:tc>
        <w:tc>
          <w:tcPr>
            <w:tcW w:w="1701" w:type="dxa"/>
            <w:shd w:val="clear" w:color="auto" w:fill="1F3864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N° 2026-12</w:t>
            </w:r>
          </w:p>
        </w:tc>
      </w:tr>
    </w:tbl>
    <w:p>
      <w:pPr>
        <w:spacing w:after="60"/>
      </w:pPr>
    </w:p>
    <w:tbl>
      <w:tblPr>
        <w:tblW w:w="963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711"/>
      </w:tblGrid>
      <w:tr>
        <w:tc>
          <w:tcPr>
            <w:tcW w:w="1928" w:type="dxa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Émetteur</w:t>
            </w:r>
          </w:p>
        </w:tc>
        <w:tc>
          <w:tcPr>
            <w:tcW w:w="7711" w:type="dxa"/>
          </w:tcPr>
          <w:p>
            <w:pPr>
              <w:spacing w:after="0"/>
            </w:pPr>
            <w:r>
              <w:t xml:space="preserve">Direction des systèmes d’information (DSI)</w:t>
            </w:r>
          </w:p>
        </w:tc>
      </w:tr>
      <w:tr>
        <w:tc>
          <w:tcPr>
            <w:tcW w:w="1928" w:type="dxa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Destinataires</w:t>
            </w:r>
          </w:p>
        </w:tc>
        <w:tc>
          <w:tcPr>
            <w:tcW w:w="7711" w:type="dxa"/>
          </w:tcPr>
          <w:p>
            <w:pPr>
              <w:spacing w:after="0"/>
            </w:pPr>
            <w:r>
              <w:t xml:space="preserve">Ensemble des agents des services administratifs et techniques</w:t>
            </w:r>
          </w:p>
        </w:tc>
      </w:tr>
      <w:tr>
        <w:tc>
          <w:tcPr>
            <w:tcW w:w="1928" w:type="dxa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Copie</w:t>
            </w:r>
          </w:p>
        </w:tc>
        <w:tc>
          <w:tcPr>
            <w:tcW w:w="7711" w:type="dxa"/>
          </w:tcPr>
          <w:p>
            <w:pPr>
              <w:spacing w:after="0"/>
            </w:pPr>
            <w:r>
              <w:t xml:space="preserve">Directeur général des services ; responsables de pôle</w:t>
            </w:r>
          </w:p>
        </w:tc>
      </w:tr>
      <w:tr>
        <w:tc>
          <w:tcPr>
            <w:tcW w:w="1928" w:type="dxa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w="7711" w:type="dxa"/>
          </w:tcPr>
          <w:p>
            <w:pPr>
              <w:spacing w:after="0"/>
            </w:pPr>
            <w:r>
              <w:t xml:space="preserve">23 mars 2026</w:t>
            </w:r>
          </w:p>
        </w:tc>
      </w:tr>
      <w:tr>
        <w:tc>
          <w:tcPr>
            <w:tcW w:w="1928" w:type="dxa"/>
            <w:shd w:val="clear" w:color="auto" w:fill="DEEAF6"/>
          </w:tcPr>
          <w:p>
            <w:pPr>
              <w:spacing w:after="0"/>
            </w:pPr>
            <w:r>
              <w:rPr>
                <w:b/>
                <w:bCs/>
              </w:rPr>
              <w:t xml:space="preserve">Objet</w:t>
            </w:r>
          </w:p>
        </w:tc>
        <w:tc>
          <w:tcPr>
            <w:tcW w:w="7711" w:type="dxa"/>
          </w:tcPr>
          <w:p>
            <w:pPr>
              <w:spacing w:after="0"/>
            </w:pPr>
            <w:r>
              <w:rPr>
                <w:b/>
                <w:bCs/>
              </w:rPr>
              <w:t xml:space="preserve">Coupure programmée du réseau et </w:t>
            </w:r>
            <w:r>
              <w:rPr>
                <w:b/>
                <w:bCs/>
                <w:highlight w:val="yellow"/>
              </w:rPr>
              <w:t xml:space="preserve">procédure de continuité de service</w:t>
            </w:r>
          </w:p>
        </w:tc>
      </w:tr>
    </w:tbl>
    <w:p>
      <w:pPr>
        <w:pStyle w:val="Titre1"/>
      </w:pPr>
      <w:r>
        <w:t xml:space="preserve">Contexte</w:t>
      </w:r>
    </w:p>
    <w:p>
      <w:pPr>
        <w:jc w:val="both"/>
      </w:pPr>
      <w:r>
        <w:t xml:space="preserve">Dans le cadre du remplacement des équipements du cœur de réseau, une </w:t>
      </w:r>
      <w:r>
        <w:rPr>
          <w:b/>
          <w:bCs/>
        </w:rPr>
        <w:t xml:space="preserve">coupure générale</w:t>
      </w:r>
      <w:r>
        <w:t xml:space="preserve"> du système d’information est programmée le </w:t>
      </w:r>
      <w:r>
        <w:rPr>
          <w:b/>
          <w:bCs/>
        </w:rPr>
        <w:t xml:space="preserve">samedi 11 avril 2026 de 7 h à 19 h</w:t>
      </w:r>
      <w:r>
        <w:t xml:space="preserve">. Pendant cette période, aucun service informatique ne sera disponible : messagerie, logiciels métiers, téléphonie sur IP, accès internet et imprimantes partagées.</w:t>
      </w:r>
    </w:p>
    <w:p>
      <w:pPr>
        <w:pStyle w:val="Titre1"/>
      </w:pPr>
      <w:r>
        <w:t xml:space="preserve">Mesures à prendre</w:t>
      </w:r>
    </w:p>
    <w:p>
      <w:pPr>
        <w:pStyle w:val="Titre2"/>
      </w:pPr>
      <w:r>
        <w:t xml:space="preserve">Avant la coupure</w:t>
      </w:r>
    </w:p>
    <w:p>
      <w:pPr>
        <w:pStyle w:val="Titre3"/>
      </w:pPr>
      <w:r>
        <w:t xml:space="preserve">Postes de travail</w:t>
      </w:r>
    </w:p>
    <w:p>
      <w:pPr>
        <w:numPr>
          <w:ilvl w:val="0"/>
          <w:numId w:val="2"/>
        </w:numPr>
        <w:spacing w:after="40"/>
        <w:jc w:val="both"/>
      </w:pPr>
      <w:r>
        <w:t xml:space="preserve">enregistrer et fermer tous les documents ouverts le vendredi 10 avril avant 17 h ;</w:t>
      </w:r>
    </w:p>
    <w:p>
      <w:pPr>
        <w:numPr>
          <w:ilvl w:val="0"/>
          <w:numId w:val="2"/>
        </w:numPr>
        <w:spacing w:after="40"/>
        <w:jc w:val="both"/>
      </w:pPr>
      <w:r>
        <w:t xml:space="preserve">éteindre complètement les postes (et non les mettre en veille) ;</w:t>
      </w:r>
    </w:p>
    <w:p>
      <w:pPr>
        <w:numPr>
          <w:ilvl w:val="0"/>
          <w:numId w:val="2"/>
        </w:numPr>
        <w:spacing w:after="40"/>
        <w:jc w:val="both"/>
      </w:pPr>
      <w:r>
        <w:t xml:space="preserve">ne pas débrancher les écrans ni les stations d’accueil.</w:t>
      </w:r>
    </w:p>
    <w:p>
      <w:pPr>
        <w:pStyle w:val="Titre3"/>
      </w:pPr>
      <w:r>
        <w:t xml:space="preserve">Services accueillant du public</w:t>
      </w:r>
    </w:p>
    <w:p>
      <w:pPr>
        <w:jc w:val="both"/>
      </w:pPr>
      <w:r>
        <w:t xml:space="preserve">Les services de l’état civil et de la police municipale, ouverts le samedi, disposeront de </w:t>
      </w:r>
      <w:r>
        <w:rPr>
          <w:highlight w:val="yellow"/>
        </w:rPr>
        <w:t xml:space="preserve">registres papier</w:t>
      </w:r>
      <w:r>
        <w:t xml:space="preserve"> et d’un téléphone portable de secours. Les formulaires de secours sont disponibles sur l’intranet : </w:t>
      </w:r>
      <w:hyperlink r:id="rId10" w:history="1">
        <w:r>
          <w:rPr>
            <w:rStyle w:val="Lienhypertexte"/>
          </w:rPr>
          <w:t xml:space="preserve">intranet / DSI / continuité</w:t>
        </w:r>
      </w:hyperlink>
      <w:r>
        <w:t xml:space="preserve">.</w:t>
      </w:r>
    </w:p>
    <w:p>
      <w:pPr>
        <w:pStyle w:val="Titre2"/>
      </w:pPr>
      <w:r>
        <w:t xml:space="preserve">Après la coupure</w:t>
      </w:r>
    </w:p>
    <w:p>
      <w:pPr>
        <w:jc w:val="both"/>
      </w:pPr>
      <w:r>
        <w:t xml:space="preserve">Le lundi 13 avril, allumer son poste </w:t>
      </w:r>
      <w:r>
        <w:rPr>
          <w:b/>
          <w:bCs/>
        </w:rPr>
        <w:t xml:space="preserve">à partir de 8 h</w:t>
      </w:r>
      <w:r>
        <w:t xml:space="preserve"> seulement, afin d’échelonner les mises à jour. Tout dysfonctionnement doit être signalé au support (poste 4400) en précisant le numéro d’inventaire du matériel.</w:t>
      </w:r>
    </w:p>
    <w:p>
      <w:pPr>
        <w:pStyle w:val="Titre1"/>
      </w:pPr>
      <w:r>
        <w:t xml:space="preserve">Contacts</w:t>
      </w:r>
    </w:p>
    <w:tbl>
      <w:tblPr>
        <w:tblStyle w:val="Tableausimple4-Accentuation1"/>
        <w:tblW w:w="9639" w:type="dxa"/>
        <w:tblLayout w:type="fixed"/>
        <w:tblLook w:val="0420" w:firstRow="1" w:lastRow="0" w:firstColumn="0" w:lastColumn="0" w:noHBand="0" w:noVBand="1"/>
      </w:tblPr>
      <w:tblGrid>
        <w:gridCol w:w="2835"/>
        <w:gridCol w:w="3118"/>
        <w:gridCol w:w="3686"/>
      </w:tblGrid>
      <w:tr>
        <w:trPr>
          <w:tblHeader/>
        </w:trPr>
        <w:tc>
          <w:tcPr>
            <w:tcW w:w="2835" w:type="dxa"/>
            <w:shd w:val="clear" w:color="auto" w:fill="2E75B6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w="3118" w:type="dxa"/>
            <w:shd w:val="clear" w:color="auto" w:fill="2E75B6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Joignable</w:t>
            </w:r>
          </w:p>
        </w:tc>
        <w:tc>
          <w:tcPr>
            <w:tcW w:w="3686" w:type="dxa"/>
            <w:shd w:val="clear" w:color="auto" w:fill="2E75B6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Contact</w:t>
            </w:r>
          </w:p>
        </w:tc>
      </w:tr>
      <w:tr>
        <w:tc>
          <w:tcPr>
            <w:tcW w:w="2835" w:type="dxa"/>
          </w:tcPr>
          <w:p>
            <w:pPr>
              <w:spacing w:after="0"/>
            </w:pPr>
            <w:r>
              <w:t xml:space="preserve">Support informatique</w:t>
            </w:r>
          </w:p>
        </w:tc>
        <w:tc>
          <w:tcPr>
            <w:tcW w:w="3118" w:type="dxa"/>
          </w:tcPr>
          <w:p>
            <w:pPr>
              <w:spacing w:after="0"/>
            </w:pPr>
            <w:r>
              <w:t xml:space="preserve">lundi – vendredi, 8 h – 18 h</w:t>
            </w:r>
          </w:p>
        </w:tc>
        <w:tc>
          <w:tcPr>
            <w:tcW w:w="368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poste 4400 – support@valmont-sur-ourse.example.org</w:t>
            </w:r>
          </w:p>
        </w:tc>
      </w:tr>
      <w:tr>
        <w:tc>
          <w:tcPr>
            <w:tcW w:w="2835" w:type="dxa"/>
          </w:tcPr>
          <w:p>
            <w:pPr>
              <w:spacing w:after="0"/>
            </w:pPr>
            <w:r>
              <w:t xml:space="preserve">Astreinte DSI</w:t>
            </w:r>
          </w:p>
        </w:tc>
        <w:tc>
          <w:tcPr>
            <w:tcW w:w="3118" w:type="dxa"/>
          </w:tcPr>
          <w:p>
            <w:pPr>
              <w:spacing w:after="0"/>
            </w:pPr>
            <w:r>
              <w:t xml:space="preserve">samedi 11 avril, 7 h – 19 h</w:t>
            </w:r>
          </w:p>
        </w:tc>
        <w:tc>
          <w:tcPr>
            <w:tcW w:w="368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01 99 00 44 01</w:t>
            </w:r>
          </w:p>
        </w:tc>
      </w:tr>
      <w:tr>
        <w:tc>
          <w:tcPr>
            <w:tcW w:w="2835" w:type="dxa"/>
          </w:tcPr>
          <w:p>
            <w:pPr>
              <w:spacing w:after="0"/>
            </w:pPr>
            <w:r>
              <w:t xml:space="preserve">Responsable du projet</w:t>
            </w:r>
          </w:p>
        </w:tc>
        <w:tc>
          <w:tcPr>
            <w:tcW w:w="3118" w:type="dxa"/>
          </w:tcPr>
          <w:p>
            <w:pPr>
              <w:spacing w:after="0"/>
            </w:pPr>
            <w:r>
              <w:t xml:space="preserve">heures ouvrées</w:t>
            </w:r>
          </w:p>
        </w:tc>
        <w:tc>
          <w:tcPr>
            <w:tcW w:w="3686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dsi@valmont-sur-ourse.example.org</w:t>
            </w:r>
          </w:p>
        </w:tc>
      </w:tr>
    </w:tbl>
    <w:p>
      <w:pPr>
        <w:spacing w:before="360"/>
        <w:jc w:val="right"/>
      </w:pPr>
      <w:r>
        <w:rPr>
          <w:i/>
          <w:iCs/>
        </w:rPr>
        <w:t xml:space="preserve">Le directeur des systèmes d’information</w:t>
      </w:r>
    </w:p>
    <w:sectPr>
      <w:headerReference w:type="default" r:id="rId1"/>
      <w:footerReference w:type="default" r:id="rId4"/>
      <w:pgSz w:w="11906" w:h="16838"/>
      <w:pgMar w:top="1021" w:right="1134" w:bottom="1021" w:left="1134" w:header="454" w:footer="45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9639"/>
      </w:tabs>
    </w:pPr>
    <w:r>
      <w:rPr>
        <w:color w:val="7F7F7F"/>
        <w:sz w:val="16"/>
        <w:szCs w:val="16"/>
      </w:rPr>
      <w:t xml:space="preserve">Note de service n° 2026-12 – diffusion interne</w:t>
    </w:r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 xml:space="preserve">1</w:t>
    </w:r>
    <w:r>
      <w:rPr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81.9pt;height:90.7pt;rotation:315;z-index:-251657216;mso-position-horizontal:center;mso-position-horizontal-relative:margin;mso-position-vertical:center;mso-position-vertical-relative:margin" o:allowincell="f" fillcolor="#D9D9D9" stroked="f">
          <v:fill opacity=".5"/>
          <v:textpath style="font-family:&quot;Calibri&quot;;font-size:1pt" string="DOCUMENT DE TRAVAI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multilevel"/>
    <w:tmpl w:val="5C3D0000"/>
    <w:lvl w:ilvl="0">
      <w:start w:val="1"/>
      <w:numFmt w:val="upperRoman"/>
      <w:pStyle w:val="Titre1"/>
      <w:lvlText w:val="%1."/>
      <w:lvlJc w:val="left"/>
      <w:pPr>
        <w:ind w:left="567" w:hanging="567"/>
      </w:pPr>
    </w:lvl>
    <w:lvl w:ilvl="1">
      <w:start w:val="1"/>
      <w:numFmt w:val="upperLetter"/>
      <w:pStyle w:val="Titre2"/>
      <w:lvlText w:val="%2."/>
      <w:lvlJc w:val="left"/>
      <w:pPr>
        <w:ind w:left="851" w:hanging="425"/>
      </w:pPr>
    </w:lvl>
    <w:lvl w:ilvl="2">
      <w:start w:val="1"/>
      <w:numFmt w:val="decimal"/>
      <w:pStyle w:val="Titre3"/>
      <w:isLgl/>
      <w:lvlText w:val="%3."/>
      <w:lvlJc w:val="left"/>
      <w:pPr>
        <w:ind w:left="1134" w:hanging="283"/>
      </w:pPr>
    </w:lvl>
    <w:lvl w:ilvl="3">
      <w:start w:val="1"/>
      <w:numFmt w:val="decimal"/>
      <w:isLgl/>
      <w:lvlText w:val=""/>
      <w:lvlJc w:val="left"/>
      <w:pPr>
        <w:ind w:left="864" w:hanging="864"/>
      </w:pPr>
    </w:lvl>
    <w:lvl w:ilvl="4">
      <w:start w:val="1"/>
      <w:numFmt w:val="decimal"/>
      <w:isLgl/>
      <w:lvlText w:val=""/>
      <w:lvlJc w:val="left"/>
      <w:pPr>
        <w:ind w:left="1008" w:hanging="1008"/>
      </w:pPr>
    </w:lvl>
    <w:lvl w:ilvl="5">
      <w:start w:val="1"/>
      <w:numFmt w:val="decimal"/>
      <w:isLgl/>
      <w:lvlText w:val=""/>
      <w:lvlJc w:val="left"/>
      <w:pPr>
        <w:ind w:left="1152" w:hanging="1152"/>
      </w:pPr>
    </w:lvl>
    <w:lvl w:ilvl="6">
      <w:start w:val="1"/>
      <w:numFmt w:val="decimal"/>
      <w:isLgl/>
      <w:lvlText w:val=""/>
      <w:lvlJc w:val="left"/>
      <w:pPr>
        <w:ind w:left="1296" w:hanging="1296"/>
      </w:pPr>
    </w:lvl>
    <w:lvl w:ilvl="7">
      <w:start w:val="1"/>
      <w:numFmt w:val="decimal"/>
      <w:isLgl/>
      <w:lvlText w:val=""/>
      <w:lvlJc w:val="left"/>
      <w:pPr>
        <w:ind w:left="1440" w:hanging="1440"/>
      </w:pPr>
    </w:lvl>
    <w:lvl w:ilvl="8">
      <w:start w:val="1"/>
      <w:numFmt w:val="decimal"/>
      <w:isLgl/>
      <w:lvlText w:val=""/>
      <w:lvlJc w:val="left"/>
      <w:pPr>
        <w:ind w:left="1584" w:hanging="1584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1F3864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libri" w:hAnsi="Calibri" w:hint="default"/>
        <w:color w:val="1F3864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1F3864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  <w:color w:val="1F3864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libri" w:hAnsi="Calibri" w:hint="default"/>
        <w:color w:val="1F3864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1F3864"/>
      </w:rPr>
    </w:lvl>
    <w:lvl w:ilvl="6">
      <w:start w:val="1"/>
      <w:numFmt w:val="bullet"/>
      <w:lvlText w:val=""/>
      <w:lvlJc w:val="left"/>
      <w:pPr>
        <w:ind w:left="5040" w:hanging="360"/>
      </w:pPr>
      <w:rPr>
        <w:rFonts w:ascii="Wingdings" w:hAnsi="Wingdings" w:hint="default"/>
        <w:color w:val="1F3864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libri" w:hAnsi="Calibri" w:hint="default"/>
        <w:color w:val="1F3864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1F386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1"/>
      </w:numPr>
      <w:spacing w:before="240" w:after="60"/>
      <w:outlineLvl w:val="0"/>
    </w:pPr>
    <w:rPr>
      <w:rFonts w:asciiTheme="majorHAnsi" w:hAnsiTheme="majorHAnsi" w:eastAsiaTheme="majorEastAsia" w:cstheme="majorBidi"/>
      <w:b/>
      <w:bCs/>
      <w:color w:val="1F3864"/>
      <w:sz w:val="25"/>
      <w:szCs w:val="25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b/>
      <w:bCs/>
      <w:color w:val="1F3864"/>
      <w:sz w:val="25"/>
      <w:szCs w:val="25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numPr>
        <w:ilvl w:val="1"/>
        <w:numId w:val="1"/>
      </w:numPr>
      <w:spacing w:before="120" w:after="40"/>
      <w:outlineLvl w:val="1"/>
    </w:pPr>
    <w:rPr>
      <w:rFonts w:asciiTheme="majorHAnsi" w:hAnsiTheme="majorHAnsi" w:eastAsiaTheme="majorEastAsia" w:cstheme="majorBidi"/>
      <w:b/>
      <w:bCs/>
      <w:color w:val="2E75B6"/>
      <w:sz w:val="22"/>
      <w:szCs w:val="22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b/>
      <w:bCs/>
      <w:color w:val="2E75B6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numPr>
        <w:ilvl w:val="2"/>
        <w:numId w:val="1"/>
      </w:numPr>
      <w:spacing w:before="80" w:after="20"/>
      <w:outlineLvl w:val="2"/>
    </w:pPr>
    <w:rPr>
      <w:rFonts w:asciiTheme="majorHAnsi" w:hAnsiTheme="majorHAnsi" w:eastAsiaTheme="majorEastAsia" w:cstheme="majorBidi"/>
      <w:color w:val="404040"/>
      <w:sz w:val="22"/>
      <w:szCs w:val="22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404040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hyperlink" Target="http://intranet.valmont-sur-ourse.example/dsi/continu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de service n° 2026-12 – Plan de continuité informatique</dc:title>
  <dc:subject>Note de service</dc:subject>
  <dc:creator>Corpus provisoire ElixirOffice (contenu fictif)</dc:creator>
  <cp:keywords>note de service; filigrane; plan administratif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