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after="480"/>
        <w:jc w:val="center"/>
      </w:pPr>
      <w:r>
        <w:drawing>
          <wp:inline distT="0" distB="0" distL="0" distR="0">
            <wp:extent cx="1260000" cy="1260000"/>
            <wp:effectExtent l="0" t="0" r="0" b="0"/>
            <wp:docPr id="1" name="Blason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lason 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Commune de Valmont-sur-Ourse</w:t>
      </w:r>
    </w:p>
    <w:p>
      <w:pPr>
        <w:pStyle w:val="Titre"/>
        <w:jc w:val="center"/>
      </w:pPr>
      <w:r>
        <w:t xml:space="preserve">Rapport annuel d’activité 2025</w:t>
      </w:r>
    </w:p>
    <w:p>
      <w:pPr>
        <w:spacing w:after="480"/>
        <w:jc w:val="center"/>
      </w:pPr>
      <w:r>
        <w:rPr>
          <w:color w:val="2E75B6"/>
          <w:sz w:val="36"/>
          <w:szCs w:val="36"/>
        </w:rPr>
        <w:t xml:space="preserve">Service de la petite enfance</w:t>
      </w:r>
    </w:p>
    <w:p>
      <w:pPr>
        <w:pBdr>
          <w:top w:val="single" w:sz="4" w:space="8" w:color="2E75B6"/>
        </w:pBdr>
        <w:ind w:left="1701" w:right="1701"/>
        <w:jc w:val="center"/>
      </w:pPr>
      <w:r>
        <w:rPr>
          <w:i/>
          <w:iCs/>
        </w:rPr>
        <w:t xml:space="preserve">Présenté au conseil municipal du 22 avril 2026</w:t>
      </w:r>
    </w:p>
    <w:p>
      <w:pPr>
        <w:sectPr>
          <w:headerReference w:type="default" r:id="rId12"/>
          <w:footerReference w:type="default" r:id="rId13"/>
          <w:pgSz w:w="11906" w:h="16838"/>
          <w:pgMar w:top="1418" w:right="1418" w:bottom="1418" w:left="1418" w:header="680" w:footer="680" w:gutter="0"/>
          <w:cols w:space="708"/>
          <w:vAlign w:val="center"/>
          <w:docGrid w:linePitch="360"/>
        </w:sectPr>
      </w:pPr>
    </w:p>
    <w:p>
      <w:pPr>
        <w:pStyle w:val="En-ttedetabledesmatires"/>
      </w:pPr>
      <w:r>
        <w:t xml:space="preserve">Sommaire</w:t>
      </w:r>
    </w:p>
    <w:p>
      <w:pPr>
        <w:pStyle w:val="TM1"/>
        <w:tabs>
          <w:tab w:val="left" w:pos="440"/>
          <w:tab w:val="right" w:leader="dot" w:pos="907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00001" w:history="1">
        <w:r>
          <w:rPr>
            <w:noProof/>
          </w:rPr>
          <w:t xml:space="preserve">1.</w:t>
          <w:tab/>
          <w:t xml:space="preserve">Présentation du 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_Toc300001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1</w:t>
        </w:r>
        <w:r>
          <w:rPr>
            <w:noProof/>
          </w:rPr>
          <w:fldChar w:fldCharType="end"/>
        </w:r>
      </w:hyperlink>
    </w:p>
    <w:p>
      <w:pPr>
        <w:pStyle w:val="TM2"/>
        <w:tabs>
          <w:tab w:val="left" w:pos="880"/>
          <w:tab w:val="right" w:leader="dot" w:pos="9072"/>
        </w:tabs>
      </w:pPr>
      <w:hyperlink w:anchor="_Toc300002" w:history="1">
        <w:r>
          <w:rPr>
            <w:noProof/>
          </w:rPr>
          <w:t xml:space="preserve">1.1.</w:t>
          <w:tab/>
          <w:t xml:space="preserve">Missions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_Toc300002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1</w:t>
        </w:r>
        <w:r>
          <w:rPr>
            <w:noProof/>
          </w:rPr>
          <w:fldChar w:fldCharType="end"/>
        </w:r>
      </w:hyperlink>
    </w:p>
    <w:p>
      <w:pPr>
        <w:pStyle w:val="TM2"/>
        <w:tabs>
          <w:tab w:val="left" w:pos="880"/>
          <w:tab w:val="right" w:leader="dot" w:pos="9072"/>
        </w:tabs>
      </w:pPr>
      <w:hyperlink w:anchor="_Toc300003" w:history="1">
        <w:r>
          <w:rPr>
            <w:noProof/>
          </w:rPr>
          <w:t xml:space="preserve">1.2.</w:t>
          <w:tab/>
          <w:t xml:space="preserve">Équipements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_Toc300003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1</w:t>
        </w:r>
        <w:r>
          <w:rPr>
            <w:noProof/>
          </w:rPr>
          <w:fldChar w:fldCharType="end"/>
        </w:r>
      </w:hyperlink>
    </w:p>
    <w:p>
      <w:pPr>
        <w:pStyle w:val="TM1"/>
        <w:tabs>
          <w:tab w:val="left" w:pos="440"/>
          <w:tab w:val="right" w:leader="dot" w:pos="9072"/>
        </w:tabs>
      </w:pPr>
      <w:hyperlink w:anchor="_Toc300004" w:history="1">
        <w:r>
          <w:rPr>
            <w:noProof/>
          </w:rPr>
          <w:t xml:space="preserve">2.</w:t>
          <w:tab/>
          <w:t xml:space="preserve">Activité 2025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_Toc300004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2</w:t>
        </w:r>
        <w:r>
          <w:rPr>
            <w:noProof/>
          </w:rPr>
          <w:fldChar w:fldCharType="end"/>
        </w:r>
      </w:hyperlink>
    </w:p>
    <w:p>
      <w:pPr>
        <w:pStyle w:val="TM2"/>
        <w:tabs>
          <w:tab w:val="left" w:pos="880"/>
          <w:tab w:val="right" w:leader="dot" w:pos="9072"/>
        </w:tabs>
      </w:pPr>
      <w:hyperlink w:anchor="_Toc300005" w:history="1">
        <w:r>
          <w:rPr>
            <w:noProof/>
          </w:rPr>
          <w:t xml:space="preserve">2.1.</w:t>
          <w:tab/>
          <w:t xml:space="preserve">Fréquentation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_Toc300005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2</w:t>
        </w:r>
        <w:r>
          <w:rPr>
            <w:noProof/>
          </w:rPr>
          <w:fldChar w:fldCharType="end"/>
        </w:r>
      </w:hyperlink>
    </w:p>
    <w:p>
      <w:pPr>
        <w:pStyle w:val="TM3"/>
        <w:tabs>
          <w:tab w:val="left" w:pos="1320"/>
          <w:tab w:val="right" w:leader="dot" w:pos="9072"/>
        </w:tabs>
      </w:pPr>
      <w:hyperlink w:anchor="_Toc300006" w:history="1">
        <w:r>
          <w:rPr>
            <w:noProof/>
          </w:rPr>
          <w:t xml:space="preserve">2.1.1.</w:t>
          <w:tab/>
          <w:t xml:space="preserve">Accueil collectif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_Toc300006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2</w:t>
        </w:r>
        <w:r>
          <w:rPr>
            <w:noProof/>
          </w:rPr>
          <w:fldChar w:fldCharType="end"/>
        </w:r>
      </w:hyperlink>
    </w:p>
    <w:p>
      <w:pPr>
        <w:pStyle w:val="TM3"/>
        <w:tabs>
          <w:tab w:val="left" w:pos="1320"/>
          <w:tab w:val="right" w:leader="dot" w:pos="9072"/>
        </w:tabs>
      </w:pPr>
      <w:hyperlink w:anchor="_Toc300007" w:history="1">
        <w:r>
          <w:rPr>
            <w:noProof/>
          </w:rPr>
          <w:t xml:space="preserve">2.1.2.</w:t>
          <w:tab/>
          <w:t xml:space="preserve">Accueil familial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_Toc300007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3</w:t>
        </w:r>
        <w:r>
          <w:rPr>
            <w:noProof/>
          </w:rPr>
          <w:fldChar w:fldCharType="end"/>
        </w:r>
      </w:hyperlink>
    </w:p>
    <w:p>
      <w:pPr>
        <w:pStyle w:val="TM2"/>
        <w:tabs>
          <w:tab w:val="left" w:pos="880"/>
          <w:tab w:val="right" w:leader="dot" w:pos="9072"/>
        </w:tabs>
      </w:pPr>
      <w:hyperlink w:anchor="_Toc300008" w:history="1">
        <w:r>
          <w:rPr>
            <w:noProof/>
          </w:rPr>
          <w:t xml:space="preserve">2.2.</w:t>
          <w:tab/>
          <w:t xml:space="preserve">Liste détaillée des places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_Toc300008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3</w:t>
        </w:r>
        <w:r>
          <w:rPr>
            <w:noProof/>
          </w:rPr>
          <w:fldChar w:fldCharType="end"/>
        </w:r>
      </w:hyperlink>
    </w:p>
    <w:p>
      <w:pPr>
        <w:pStyle w:val="TM1"/>
        <w:tabs>
          <w:tab w:val="left" w:pos="440"/>
          <w:tab w:val="right" w:leader="dot" w:pos="9072"/>
        </w:tabs>
      </w:pPr>
      <w:hyperlink w:anchor="_Toc300009" w:history="1">
        <w:r>
          <w:rPr>
            <w:noProof/>
          </w:rPr>
          <w:t xml:space="preserve">3.</w:t>
          <w:tab/>
          <w:t xml:space="preserve">Moyens financiers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_Toc300009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5</w:t>
        </w:r>
        <w:r>
          <w:rPr>
            <w:noProof/>
          </w:rPr>
          <w:fldChar w:fldCharType="end"/>
        </w:r>
      </w:hyperlink>
    </w:p>
    <w:p>
      <w:pPr>
        <w:pStyle w:val="TM1"/>
        <w:tabs>
          <w:tab w:val="left" w:pos="440"/>
          <w:tab w:val="right" w:leader="dot" w:pos="9072"/>
        </w:tabs>
      </w:pPr>
      <w:hyperlink w:anchor="_Toc300010" w:history="1">
        <w:r>
          <w:rPr>
            <w:noProof/>
          </w:rPr>
          <w:t xml:space="preserve">4.</w:t>
          <w:tab/>
          <w:t xml:space="preserve">Perspectives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_Toc300010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6</w:t>
        </w:r>
        <w:r>
          <w:rPr>
            <w:noProof/>
          </w:rPr>
          <w:fldChar w:fldCharType="end"/>
        </w:r>
      </w:hyperlink>
    </w:p>
    <w:p>
      <w:pPr>
        <w:pStyle w:val="TM1"/>
        <w:tabs>
          <w:tab w:val="right" w:leader="dot" w:pos="9072"/>
        </w:tabs>
      </w:pPr>
      <w:hyperlink w:anchor="_Toc300011" w:history="1">
        <w:r>
          <w:rPr>
            <w:noProof/>
          </w:rPr>
          <w:t xml:space="preserve">Glossaire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_Toc300011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6</w:t>
        </w:r>
        <w:r>
          <w:rPr>
            <w:noProof/>
          </w:rPr>
          <w:fldChar w:fldCharType="end"/>
        </w:r>
      </w:hyperlink>
      <w:r>
        <w:fldChar w:fldCharType="end"/>
      </w:r>
    </w:p>
    <w:p>
      <w:pPr>
        <w:pStyle w:val="En-ttedetabledesmatires"/>
        <w:spacing w:before="480"/>
      </w:pPr>
      <w:r>
        <w:t xml:space="preserve">Liste des tableaux</w:t>
      </w:r>
    </w:p>
    <w:p>
      <w:pPr>
        <w:pStyle w:val="Tabledesillustrations"/>
        <w:tabs>
          <w:tab w:val="right" w:leader="dot" w:pos="9072"/>
        </w:tabs>
      </w:pPr>
      <w:r>
        <w:fldChar w:fldCharType="begin"/>
      </w:r>
      <w:r>
        <w:instrText xml:space="preserve"> TOC \h \z \c "Tableau" </w:instrText>
      </w:r>
      <w:r>
        <w:fldChar w:fldCharType="separate"/>
      </w:r>
      <w:hyperlink w:anchor="_Toc300101" w:history="1">
        <w:r>
          <w:rPr>
            <w:noProof/>
          </w:rPr>
          <w:t xml:space="preserve">Tableau 1 – Équipements d’accueil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_Toc300101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1</w:t>
        </w:r>
        <w:r>
          <w:rPr>
            <w:noProof/>
          </w:rPr>
          <w:fldChar w:fldCharType="end"/>
        </w:r>
      </w:hyperlink>
    </w:p>
    <w:p>
      <w:pPr>
        <w:pStyle w:val="Tabledesillustrations"/>
        <w:tabs>
          <w:tab w:val="right" w:leader="dot" w:pos="9072"/>
        </w:tabs>
      </w:pPr>
      <w:hyperlink w:anchor="_Toc300102" w:history="1">
        <w:r>
          <w:rPr>
            <w:noProof/>
          </w:rPr>
          <w:t xml:space="preserve">Tableau 2 – Places par structure et par tranche d’âge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_Toc300102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3</w:t>
        </w:r>
        <w:r>
          <w:rPr>
            <w:noProof/>
          </w:rPr>
          <w:fldChar w:fldCharType="end"/>
        </w:r>
      </w:hyperlink>
    </w:p>
    <w:p>
      <w:pPr>
        <w:pStyle w:val="Tabledesillustrations"/>
        <w:tabs>
          <w:tab w:val="right" w:leader="dot" w:pos="9072"/>
        </w:tabs>
      </w:pPr>
      <w:hyperlink w:anchor="_Toc300103" w:history="1">
        <w:r>
          <w:rPr>
            <w:noProof/>
          </w:rPr>
          <w:t xml:space="preserve">Tableau 3 – Exécution budgétaire mensuelle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_Toc300103 \h </w:instrText>
        </w:r>
        <w:r>
          <w:rPr>
            <w:noProof/>
          </w:rPr>
          <w:fldChar w:fldCharType="separate"/>
        </w:r>
        <w:r>
          <w:rPr>
            <w:noProof/>
          </w:rPr>
          <w:t xml:space="preserve">5</w:t>
        </w:r>
        <w:r>
          <w:rPr>
            <w:noProof/>
          </w:rPr>
          <w:fldChar w:fldCharType="end"/>
        </w:r>
      </w:hyperlink>
      <w:r>
        <w:fldChar w:fldCharType="end"/>
      </w:r>
    </w:p>
    <w:p>
      <w:pPr>
        <w:sectPr>
          <w:headerReference w:type="default" r:id="rId12"/>
          <w:footerReference w:type="default" r:id="rId9"/>
          <w:pgSz w:w="11906" w:h="16838"/>
          <w:pgMar w:top="1418" w:right="1418" w:bottom="1418" w:left="1418" w:header="680" w:footer="680" w:gutter="0"/>
          <w:pgNumType w:fmt="lowerRoman" w:start="1"/>
          <w:cols w:space="708"/>
          <w:docGrid w:linePitch="360"/>
        </w:sectPr>
      </w:pPr>
    </w:p>
    <w:p>
      <w:pPr>
        <w:pStyle w:val="Titre1"/>
      </w:pPr>
      <w:bookmarkStart w:id="1" w:name="_Toc300001"/>
      <w:r>
        <w:t xml:space="preserve">Présentation du service</w:t>
      </w:r>
      <w:bookmarkEnd w:id="1"/>
    </w:p>
    <w:p>
      <w:pPr>
        <w:pStyle w:val="Titre2"/>
      </w:pPr>
      <w:bookmarkStart w:id="2" w:name="_Toc300002"/>
      <w:r>
        <w:t xml:space="preserve">Missions</w:t>
      </w:r>
      <w:bookmarkEnd w:id="2"/>
    </w:p>
    <w:p>
      <w:pPr>
        <w:jc w:val="both"/>
      </w:pPr>
      <w:r>
        <w:t xml:space="preserve">Le service de la petite enfance organise l’accueil des enfants de moins de quatre ans dont les parents résident ou travaillent sur la commune</w:t>
      </w:r>
      <w:r>
        <w:rPr>
          <w:rStyle w:val="Appelnotedebasdep"/>
        </w:rPr>
        <w:footnoteReference w:id="1"/>
      </w:r>
      <w:r>
        <w:t xml:space="preserve">. Il gère trois structures d’accueil collectif, un relais petite enfance et accompagne les assistantes maternelles agréées.</w:t>
      </w:r>
    </w:p>
    <w:p>
      <w:pPr>
        <w:pStyle w:val="Titre2"/>
      </w:pPr>
      <w:bookmarkStart w:id="3" w:name="_Toc300003"/>
      <w:r>
        <w:t xml:space="preserve">Équipements</w:t>
      </w:r>
      <w:bookmarkEnd w:id="3"/>
    </w:p>
    <w:p>
      <w:pPr>
        <w:jc w:val="both"/>
      </w:pPr>
      <w:r>
        <w:t xml:space="preserve">Les équipements sont présentés dans le </w:t>
      </w:r>
      <w:r>
        <w:fldChar w:fldCharType="begin"/>
      </w:r>
      <w:r>
        <w:instrText xml:space="preserve"> REF _Ref_tab1 \h </w:instrText>
      </w:r>
      <w:r>
        <w:fldChar w:fldCharType="separate"/>
      </w:r>
      <w:r>
        <w:t xml:space="preserve">Tableau 1</w:t>
      </w:r>
      <w:r>
        <w:fldChar w:fldCharType="end"/>
      </w:r>
      <w:r>
        <w:t xml:space="preserve"> ci-dessous ; la liste détaillée des places figure au </w:t>
      </w:r>
      <w:r>
        <w:fldChar w:fldCharType="begin"/>
      </w:r>
      <w:r>
        <w:instrText xml:space="preserve"> REF _Ref_tab2 \h </w:instrText>
      </w:r>
      <w:r>
        <w:fldChar w:fldCharType="separate"/>
      </w:r>
      <w:r>
        <w:t xml:space="preserve">Tableau 2</w:t>
      </w:r>
      <w:r>
        <w:fldChar w:fldCharType="end"/>
      </w:r>
      <w:r>
        <w:t xml:space="preserve">, page </w:t>
      </w:r>
      <w:r>
        <w:fldChar w:fldCharType="begin"/>
      </w:r>
      <w:r>
        <w:instrText xml:space="preserve"> PAGEREF _Ref_tab2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.</w:t>
      </w:r>
    </w:p>
    <w:p>
      <w:pPr>
        <w:pStyle w:val="Lgende"/>
        <w:keepNext/>
      </w:pPr>
      <w:bookmarkStart w:id="5" w:name="_Toc300101"/>
      <w:bookmarkStart w:id="4" w:name="_Ref_tab1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 xml:space="preserve">1</w:t>
      </w:r>
      <w:r>
        <w:fldChar w:fldCharType="end"/>
      </w:r>
      <w:bookmarkEnd w:id="4"/>
      <w:bookmarkEnd w:id="5"/>
      <w:r>
        <w:t xml:space="preserve"> – Équipements d’accueil</w:t>
      </w:r>
    </w:p>
    <w:tbl>
      <w:tblPr>
        <w:tblStyle w:val="Tableausimple4-Accentuation1"/>
        <w:tblW w:w="9072" w:type="dxa"/>
        <w:tblLayout w:type="fixed"/>
        <w:tblLook w:val="0420" w:firstRow="1" w:lastRow="0" w:firstColumn="0" w:lastColumn="0" w:noHBand="0" w:noVBand="1"/>
      </w:tblPr>
      <w:tblGrid>
        <w:gridCol w:w="2608"/>
        <w:gridCol w:w="2495"/>
        <w:gridCol w:w="1247"/>
        <w:gridCol w:w="2722"/>
      </w:tblGrid>
      <w:tr>
        <w:trPr>
          <w:tblHeader/>
        </w:trPr>
        <w:tc>
          <w:tcPr>
            <w:tcW w:w="2608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Structure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w="1247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Places</w:t>
            </w:r>
          </w:p>
        </w:tc>
        <w:tc>
          <w:tcPr>
            <w:tcW w:w="2722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Ouverture</w:t>
            </w:r>
          </w:p>
        </w:tc>
      </w:tr>
      <w:tr>
        <w:tc>
          <w:tcPr>
            <w:tcW w:w="2608" w:type="dxa"/>
          </w:tcPr>
          <w:p>
            <w:pPr>
              <w:spacing w:after="0"/>
            </w:pPr>
            <w:r>
              <w:t xml:space="preserve">Les Petits Loups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multi-accueil</w:t>
            </w:r>
          </w:p>
        </w:tc>
        <w:tc>
          <w:tcPr>
            <w:tcW w:w="1247" w:type="dxa"/>
          </w:tcPr>
          <w:p>
            <w:pPr>
              <w:spacing w:after="0"/>
              <w:jc w:val="center"/>
            </w:pPr>
            <w:r>
              <w:t xml:space="preserve">45</w:t>
            </w:r>
          </w:p>
        </w:tc>
        <w:tc>
          <w:tcPr>
            <w:tcW w:w="2722" w:type="dxa"/>
          </w:tcPr>
          <w:p>
            <w:pPr>
              <w:spacing w:after="0"/>
            </w:pPr>
            <w:r>
              <w:t xml:space="preserve">7 h 30 – 18 h 30</w:t>
            </w:r>
          </w:p>
        </w:tc>
      </w:tr>
      <w:tr>
        <w:tc>
          <w:tcPr>
            <w:tcW w:w="2608" w:type="dxa"/>
          </w:tcPr>
          <w:p>
            <w:pPr>
              <w:spacing w:after="0"/>
            </w:pPr>
            <w:r>
              <w:t xml:space="preserve">La Maison des Lutins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crèche collective</w:t>
            </w:r>
          </w:p>
        </w:tc>
        <w:tc>
          <w:tcPr>
            <w:tcW w:w="1247" w:type="dxa"/>
          </w:tcPr>
          <w:p>
            <w:pPr>
              <w:spacing w:after="0"/>
              <w:jc w:val="center"/>
            </w:pPr>
            <w:r>
              <w:t xml:space="preserve">30</w:t>
            </w:r>
          </w:p>
        </w:tc>
        <w:tc>
          <w:tcPr>
            <w:tcW w:w="2722" w:type="dxa"/>
          </w:tcPr>
          <w:p>
            <w:pPr>
              <w:spacing w:after="0"/>
            </w:pPr>
            <w:r>
              <w:t xml:space="preserve">7 h 30 – 19 h</w:t>
            </w:r>
          </w:p>
        </w:tc>
      </w:tr>
      <w:tr>
        <w:tc>
          <w:tcPr>
            <w:tcW w:w="2608" w:type="dxa"/>
          </w:tcPr>
          <w:p>
            <w:pPr>
              <w:spacing w:after="0"/>
            </w:pPr>
            <w:r>
              <w:t xml:space="preserve">Les Pitchouns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micro-crèche</w:t>
            </w:r>
          </w:p>
        </w:tc>
        <w:tc>
          <w:tcPr>
            <w:tcW w:w="1247" w:type="dxa"/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w="2722" w:type="dxa"/>
          </w:tcPr>
          <w:p>
            <w:pPr>
              <w:spacing w:after="0"/>
            </w:pPr>
            <w:r>
              <w:t xml:space="preserve">8 h – 18 h</w:t>
            </w:r>
          </w:p>
        </w:tc>
      </w:tr>
      <w:tr>
        <w:tc>
          <w:tcPr>
            <w:tcW w:w="2608" w:type="dxa"/>
          </w:tcPr>
          <w:p>
            <w:pPr>
              <w:spacing w:after="0"/>
            </w:pPr>
            <w:r>
              <w:t xml:space="preserve">Relais petite enfance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information des familles</w:t>
            </w:r>
          </w:p>
        </w:tc>
        <w:tc>
          <w:tcPr>
            <w:tcW w:w="1247" w:type="dxa"/>
          </w:tcPr>
          <w:p>
            <w:pPr>
              <w:spacing w:after="0"/>
              <w:jc w:val="center"/>
            </w:pPr>
            <w:r>
              <w:t xml:space="preserve">—</w:t>
            </w:r>
          </w:p>
        </w:tc>
        <w:tc>
          <w:tcPr>
            <w:tcW w:w="2722" w:type="dxa"/>
          </w:tcPr>
          <w:p>
            <w:pPr>
              <w:spacing w:after="0"/>
            </w:pPr>
            <w:r>
              <w:t xml:space="preserve">lun., mar., jeu.</w:t>
            </w:r>
          </w:p>
        </w:tc>
      </w:tr>
    </w:tbl>
    <w:p>
      <w:pPr>
        <w:pStyle w:val="Titre1"/>
      </w:pPr>
      <w:bookmarkStart w:id="6" w:name="_Toc300004"/>
      <w:r>
        <w:t xml:space="preserve">Activité 2025</w:t>
      </w:r>
      <w:bookmarkEnd w:id="6"/>
    </w:p>
    <w:p>
      <w:pPr>
        <w:pStyle w:val="Titre2"/>
      </w:pPr>
      <w:bookmarkStart w:id="7" w:name="_Toc300005"/>
      <w:r>
        <w:t xml:space="preserve">Fréquentation</w:t>
      </w:r>
      <w:bookmarkEnd w:id="7"/>
    </w:p>
    <w:p>
      <w:pPr>
        <w:pStyle w:val="Titre3"/>
      </w:pPr>
      <w:bookmarkStart w:id="8" w:name="_Toc300006"/>
      <w:r>
        <w:t xml:space="preserve">Accueil collectif</w:t>
      </w:r>
      <w:bookmarkEnd w:id="8"/>
    </w:p>
    <w:p>
      <w:pPr>
        <w:jc w:val="both"/>
      </w:pPr>
      <w:r>
        <w:t xml:space="preserve">Le taux d’occupation financier moyen des structures collectives atteint 72,4 %</w:t>
      </w:r>
      <w:r>
        <w:rPr>
          <w:rStyle w:val="Appeldenotedefin"/>
        </w:rPr>
        <w:endnoteReference w:id="1"/>
      </w:r>
      <w:r>
        <w:t xml:space="preserve">, en hausse de 2,1 points. Les demandes non satisfaites concernent surtout les bébés de moins d’un an.</w:t>
      </w:r>
    </w:p>
    <w:p>
      <w:pPr>
        <w:keepNext/>
        <w:spacing w:after="0"/>
        <w:jc w:val="center"/>
      </w:pPr>
      <w:r>
        <w:drawing>
          <wp:inline distT="0" distB="0" distL="0" distR="0">
            <wp:extent cx="5400000" cy="2340000"/>
            <wp:effectExtent l="0" t="0" r="0" b="0"/>
            <wp:docPr id="2" name="Graphique 2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Taux d’occupation (le service ferme en août)</w:t>
      </w:r>
    </w:p>
    <w:p>
      <w:pPr>
        <w:pStyle w:val="Titre3"/>
      </w:pPr>
      <w:bookmarkStart w:id="9" w:name="_Toc300007"/>
      <w:r>
        <w:t xml:space="preserve">Accueil familial</w:t>
      </w:r>
      <w:bookmarkEnd w:id="9"/>
    </w:p>
    <w:p>
      <w:pPr>
        <w:jc w:val="both"/>
      </w:pPr>
      <w:r>
        <w:t xml:space="preserve">Au 31 décembre 2025, 58 assistantes maternelles agréées exercent sur la commune</w:t>
      </w:r>
      <w:r>
        <w:rPr>
          <w:rStyle w:val="Appelnotedebasdep"/>
        </w:rPr>
        <w:footnoteReference w:id="2"/>
      </w:r>
      <w:r>
        <w:t xml:space="preserve">, pour une capacité théorique de 197 places. Le relais a organisé 96 ateliers d’éveil.</w:t>
      </w:r>
    </w:p>
    <w:p>
      <w:pPr>
        <w:pStyle w:val="Titre2"/>
      </w:pPr>
      <w:bookmarkStart w:id="10" w:name="_Toc300008"/>
      <w:r>
        <w:t xml:space="preserve">Liste détaillée des places</w:t>
      </w:r>
      <w:bookmarkEnd w:id="10"/>
    </w:p>
    <w:p>
      <w:pPr>
        <w:pStyle w:val="Lgende"/>
        <w:keepNext/>
      </w:pPr>
      <w:bookmarkStart w:id="12" w:name="_Toc300102"/>
      <w:bookmarkStart w:id="11" w:name="_Ref_tab2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 xml:space="preserve">2</w:t>
      </w:r>
      <w:r>
        <w:fldChar w:fldCharType="end"/>
      </w:r>
      <w:bookmarkEnd w:id="11"/>
      <w:bookmarkEnd w:id="12"/>
      <w:r>
        <w:t xml:space="preserve"> – Places par structure et par tranche d’âge</w:t>
      </w:r>
    </w:p>
    <w:tbl>
      <w:tblPr>
        <w:tblW w:w="9072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041"/>
        <w:gridCol w:w="1134"/>
        <w:gridCol w:w="1134"/>
        <w:gridCol w:w="1134"/>
        <w:gridCol w:w="1021"/>
      </w:tblGrid>
      <w:tr>
        <w:trPr>
          <w:tblHeader/>
        </w:trPr>
        <w:tc>
          <w:tcPr>
            <w:tcW w:w="2608" w:type="dxa"/>
            <w:vMerge w:val="restart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Structure</w:t>
            </w:r>
          </w:p>
        </w:tc>
        <w:tc>
          <w:tcPr>
            <w:tcW w:w="2041" w:type="dxa"/>
            <w:vMerge w:val="restart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w="3402" w:type="dxa"/>
            <w:gridSpan w:val="3"/>
            <w:shd w:val="clear" w:color="auto" w:fill="1F3864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Places par tranche d’âge</w:t>
            </w:r>
          </w:p>
        </w:tc>
        <w:tc>
          <w:tcPr>
            <w:tcW w:w="1021" w:type="dxa"/>
            <w:vMerge w:val="restart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rPr>
          <w:tblHeader/>
        </w:trPr>
        <w:tc>
          <w:tcPr>
            <w:tcW w:w="2608" w:type="dxa"/>
            <w:vMerge/>
            <w:shd w:val="clear" w:color="auto" w:fill="1F3864"/>
          </w:tcPr>
          <w:p/>
        </w:tc>
        <w:tc>
          <w:tcPr>
            <w:tcW w:w="2041" w:type="dxa"/>
            <w:vMerge/>
            <w:shd w:val="clear" w:color="auto" w:fill="1F3864"/>
          </w:tcPr>
          <w:p/>
        </w:tc>
        <w:tc>
          <w:tcPr>
            <w:tcW w:w="1134" w:type="dxa"/>
            <w:shd w:val="clear" w:color="auto" w:fill="2E75B6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&lt; 1 an</w:t>
            </w:r>
          </w:p>
        </w:tc>
        <w:tc>
          <w:tcPr>
            <w:tcW w:w="1134" w:type="dxa"/>
            <w:shd w:val="clear" w:color="auto" w:fill="2E75B6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1 – 2 ans</w:t>
            </w:r>
          </w:p>
        </w:tc>
        <w:tc>
          <w:tcPr>
            <w:tcW w:w="1134" w:type="dxa"/>
            <w:shd w:val="clear" w:color="auto" w:fill="2E75B6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2 – 4 ans</w:t>
            </w:r>
          </w:p>
        </w:tc>
        <w:tc>
          <w:tcPr>
            <w:tcW w:w="1021" w:type="dxa"/>
            <w:vMerge/>
            <w:shd w:val="clear" w:color="auto" w:fill="1F3864"/>
          </w:tcPr>
          <w:p/>
        </w:tc>
      </w:tr>
      <w:tr>
        <w:trPr>
          <w:cantSplit/>
        </w:trPr>
        <w:tc>
          <w:tcPr>
            <w:tcW w:w="2608" w:type="dxa"/>
            <w:vMerge w:val="restart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Petits Loups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Bébés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Petits Loups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Moyens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Petits Loups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Grands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Petits Loups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Passerelle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Petits Loups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Accueil occasionnel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rPr>
          <w:cantSplit/>
        </w:trPr>
        <w:tc>
          <w:tcPr>
            <w:tcW w:w="2608" w:type="dxa"/>
            <w:vMerge w:val="restart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La Maison des Lutins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Bébés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La Maison des Lutins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Moyens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La Maison des Lutins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Grands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La Maison des Lutins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Passerelle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La Maison des Lutins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Accueil occasionnel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w="2608" w:type="dxa"/>
            <w:vMerge w:val="restart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Pitchouns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Bébés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Pitchouns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Moyens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Pitchouns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Grands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Pitchouns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Passerelle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Les Pitchouns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Accueil occasionnel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rPr>
          <w:cantSplit/>
        </w:trPr>
        <w:tc>
          <w:tcPr>
            <w:tcW w:w="2608" w:type="dxa"/>
            <w:vMerge w:val="restart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Relais – accueil occasionnel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Bébés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Relais – accueil occasionnel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Moyens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Relais – accueil occasionnel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Grands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Relais – accueil occasionnel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Passerelle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Relais – accueil occasionnel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Accueil occasionnel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w="2608" w:type="dxa"/>
            <w:vMerge w:val="restart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Halte-garderie (projet)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Bébés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Halte-garderie (projet)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Moyens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Halte-garderie (projet)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Grands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Halte-garderie (projet)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Passerelle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Halte-garderie (projet)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Accueil occasionnel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rPr>
          <w:cantSplit/>
        </w:trPr>
        <w:tc>
          <w:tcPr>
            <w:tcW w:w="2608" w:type="dxa"/>
            <w:vMerge w:val="restart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réservées entreprises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Bébés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réservées entreprises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Moyens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réservées entreprises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Grands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réservées entreprises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Passerelle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réservées entreprises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Accueil occasionnel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w="2608" w:type="dxa"/>
            <w:vMerge w:val="restart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d’urgence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Bébés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d’urgence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Moyens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d’urgence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Grands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d’urgence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Passerelle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  <w:tr>
        <w:trPr>
          <w:cantSplit/>
        </w:trPr>
        <w:tc>
          <w:tcPr>
            <w:tcW w:w="2608" w:type="dxa"/>
            <w:vMerge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Places d’urgence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t xml:space="preserve">Accueil occasionnel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–</w:t>
            </w:r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1021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</w:tbl>
    <w:p>
      <w:pPr>
        <w:spacing w:before="80"/>
      </w:pPr>
      <w:r>
        <w:t xml:space="preserve">Note : les places « entreprises » sont financées par convention (voir </w:t>
      </w:r>
      <w:r>
        <w:fldChar w:fldCharType="begin"/>
      </w:r>
      <w:r>
        <w:instrText xml:space="preserve"> REF _Toc300009 \r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).</w:t>
      </w:r>
    </w:p>
    <w:p>
      <w:pPr>
        <w:sectPr>
          <w:headerReference w:type="default" r:id="rId1"/>
          <w:footerReference w:type="default" r:id="rId10"/>
          <w:pgSz w:w="11906" w:h="16838"/>
          <w:pgMar w:top="1418" w:right="1418" w:bottom="1418" w:left="1418" w:header="680" w:footer="680" w:gutter="0"/>
          <w:pgNumType w:fmt="decimal" w:start="1"/>
          <w:cols w:space="708"/>
          <w:docGrid w:linePitch="360"/>
        </w:sectPr>
      </w:pPr>
    </w:p>
    <w:p>
      <w:pPr>
        <w:pStyle w:val="Titre1"/>
      </w:pPr>
      <w:bookmarkStart w:id="13" w:name="_Toc300009"/>
      <w:r>
        <w:t xml:space="preserve">Moyens financiers</w:t>
      </w:r>
      <w:bookmarkEnd w:id="13"/>
    </w:p>
    <w:p>
      <w:pPr>
        <w:jc w:val="both"/>
      </w:pPr>
      <w:r>
        <w:t xml:space="preserve">Le tableau ci-dessous retrace l’exécution budgétaire mensuelle du service (fonctionnement, en milliers d’euros)</w:t>
      </w:r>
      <w:r>
        <w:rPr>
          <w:rStyle w:val="Appelnotedebasdep"/>
        </w:rPr>
        <w:footnoteReference w:id="3"/>
      </w:r>
      <w:r>
        <w:t xml:space="preserve">.</w:t>
      </w:r>
    </w:p>
    <w:p>
      <w:pPr>
        <w:pStyle w:val="Lgende"/>
        <w:keepNext/>
      </w:pPr>
      <w:bookmarkStart w:id="14" w:name="_Toc300103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 xml:space="preserve">3</w:t>
      </w:r>
      <w:r>
        <w:fldChar w:fldCharType="end"/>
      </w:r>
      <w:bookmarkEnd w:id="14"/>
      <w:r>
        <w:t xml:space="preserve"> – Exécution budgétaire mensuelle (k€)</w:t>
      </w:r>
    </w:p>
    <w:tbl>
      <w:tblPr>
        <w:tblW w:w="1457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1247"/>
      </w:tblGrid>
      <w:tr>
        <w:trPr>
          <w:tblHeader/>
        </w:trPr>
        <w:tc>
          <w:tcPr>
            <w:tcW w:w="1758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Poste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Janv.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Févr.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Mars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Avr.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Mai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Juin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Juil.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Août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Sept.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Oct.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Nov.</w:t>
            </w:r>
          </w:p>
        </w:tc>
        <w:tc>
          <w:tcPr>
            <w:tcW w:w="964" w:type="dxa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Déc.</w:t>
            </w:r>
          </w:p>
        </w:tc>
        <w:tc>
          <w:tcPr>
            <w:tcW w:w="1247" w:type="dxa"/>
            <w:shd w:val="clear" w:color="auto" w:fill="B4C6E7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w="1758" w:type="dxa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Personnel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182,0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180,0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184,0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186,0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188,0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175,0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120,0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186,0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189,0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190,0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196,0</w:t>
            </w:r>
          </w:p>
        </w:tc>
        <w:tc>
          <w:tcPr>
            <w:tcW w:w="1247" w:type="dxa"/>
            <w:shd w:val="clear" w:color="auto" w:fill="F2F2F2"/>
          </w:tcPr>
          <w:p>
            <w:pPr>
              <w:tabs>
                <w:tab w:val="decimal" w:pos="737"/>
              </w:tabs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2161,0</w:t>
            </w:r>
          </w:p>
        </w:tc>
      </w:tr>
      <w:tr>
        <w:tc>
          <w:tcPr>
            <w:tcW w:w="1758" w:type="dxa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Alimentation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9,8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9,2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10,1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9,7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10,0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10,3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6,1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0,8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9,9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10,4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10,2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8,7</w:t>
            </w:r>
          </w:p>
        </w:tc>
        <w:tc>
          <w:tcPr>
            <w:tcW w:w="1247" w:type="dxa"/>
            <w:shd w:val="clear" w:color="auto" w:fill="F2F2F2"/>
          </w:tcPr>
          <w:p>
            <w:pPr>
              <w:tabs>
                <w:tab w:val="decimal" w:pos="737"/>
              </w:tabs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105,2</w:t>
            </w:r>
          </w:p>
        </w:tc>
      </w:tr>
      <w:tr>
        <w:tc>
          <w:tcPr>
            <w:tcW w:w="1758" w:type="dxa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Fournitures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3,1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2,4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2,9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2,2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2,5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3,6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1,2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0,3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4,8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2,7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2,6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2,2</w:t>
            </w:r>
          </w:p>
        </w:tc>
        <w:tc>
          <w:tcPr>
            <w:tcW w:w="1247" w:type="dxa"/>
            <w:shd w:val="clear" w:color="auto" w:fill="F2F2F2"/>
          </w:tcPr>
          <w:p>
            <w:pPr>
              <w:tabs>
                <w:tab w:val="decimal" w:pos="737"/>
              </w:tabs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30,5</w:t>
            </w:r>
          </w:p>
        </w:tc>
      </w:tr>
      <w:tr>
        <w:tc>
          <w:tcPr>
            <w:tcW w:w="1758" w:type="dxa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Fluides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8,4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8,1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7,2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5,9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4,8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4,5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4,1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3,2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4,9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6,2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7,6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8,3</w:t>
            </w:r>
          </w:p>
        </w:tc>
        <w:tc>
          <w:tcPr>
            <w:tcW w:w="1247" w:type="dxa"/>
            <w:shd w:val="clear" w:color="auto" w:fill="F2F2F2"/>
          </w:tcPr>
          <w:p>
            <w:pPr>
              <w:tabs>
                <w:tab w:val="decimal" w:pos="737"/>
              </w:tabs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73,2</w:t>
            </w:r>
          </w:p>
        </w:tc>
      </w:tr>
      <w:tr>
        <w:tc>
          <w:tcPr>
            <w:tcW w:w="1758" w:type="dxa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Recettes familles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−61,0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−63,0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−64,0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−62,0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−63,0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−48,0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−62,0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−66,0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−65,0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−55,0</w:t>
            </w:r>
          </w:p>
        </w:tc>
        <w:tc>
          <w:tcPr>
            <w:tcW w:w="1247" w:type="dxa"/>
            <w:shd w:val="clear" w:color="auto" w:fill="F2F2F2"/>
          </w:tcPr>
          <w:p>
            <w:pPr>
              <w:tabs>
                <w:tab w:val="decimal" w:pos="737"/>
              </w:tabs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−679,0</w:t>
            </w:r>
          </w:p>
        </w:tc>
      </w:tr>
      <w:tr>
        <w:tc>
          <w:tcPr>
            <w:tcW w:w="1758" w:type="dxa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Prestation CAF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964" w:type="dxa"/>
          </w:tcPr>
          <w:p>
            <w:pPr>
              <w:tabs>
                <w:tab w:val="decimal" w:pos="595"/>
              </w:tabs>
              <w:spacing w:after="0"/>
            </w:pPr>
            <w:r>
              <w:rPr>
                <w:sz w:val="17"/>
                <w:szCs w:val="17"/>
              </w:rPr>
              <w:t xml:space="preserve">−95,0</w:t>
            </w:r>
          </w:p>
        </w:tc>
        <w:tc>
          <w:tcPr>
            <w:tcW w:w="1247" w:type="dxa"/>
            <w:shd w:val="clear" w:color="auto" w:fill="F2F2F2"/>
          </w:tcPr>
          <w:p>
            <w:pPr>
              <w:tabs>
                <w:tab w:val="decimal" w:pos="737"/>
              </w:tabs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−1140,0</w:t>
            </w:r>
          </w:p>
        </w:tc>
      </w:tr>
    </w:tbl>
    <w:p>
      <w:pPr>
        <w:spacing w:before="120"/>
      </w:pPr>
      <w:r>
        <w:rPr>
          <w:i/>
          <w:iCs/>
        </w:rPr>
        <w:t xml:space="preserve">Le reste à charge communal s’établit à 1 093 k€, soit 7 210 € par place.</w:t>
      </w:r>
    </w:p>
    <w:p>
      <w:pPr>
        <w:sectPr>
          <w:headerReference w:type="default" r:id="rId4"/>
          <w:footerReference w:type="default" r:id="rId11"/>
          <w:pgSz w:w="16838" w:h="11906" w:orient="landscape"/>
          <w:pgMar w:top="1418" w:right="1134" w:bottom="1247" w:left="1134" w:header="680" w:footer="680" w:gutter="0"/>
          <w:cols w:space="708"/>
          <w:docGrid w:linePitch="360"/>
        </w:sectPr>
      </w:pPr>
    </w:p>
    <w:p>
      <w:pPr>
        <w:pStyle w:val="Titre1"/>
      </w:pPr>
      <w:bookmarkStart w:id="15" w:name="_Toc300010"/>
      <w:r>
        <w:t xml:space="preserve">Perspectives</w:t>
      </w:r>
      <w:bookmarkEnd w:id="15"/>
    </w:p>
    <w:p>
      <w:pPr>
        <w:numPr>
          <w:ilvl w:val="0"/>
          <w:numId w:val="2"/>
        </w:numPr>
        <w:spacing w:after="40"/>
      </w:pPr>
      <w:r>
        <w:t xml:space="preserve">ouverture d’une halte-garderie de 15 places dans le quartier des Tilleuls (septembre 2026) ;</w:t>
      </w:r>
    </w:p>
    <w:p>
      <w:pPr>
        <w:numPr>
          <w:ilvl w:val="0"/>
          <w:numId w:val="2"/>
        </w:numPr>
        <w:spacing w:after="40"/>
      </w:pPr>
      <w:r>
        <w:t xml:space="preserve">mise en place d’un guichet unique d’inscription en ligne ;</w:t>
      </w:r>
    </w:p>
    <w:p>
      <w:pPr>
        <w:numPr>
          <w:ilvl w:val="0"/>
          <w:numId w:val="2"/>
        </w:numPr>
        <w:spacing w:after="40"/>
      </w:pPr>
      <w:r>
        <w:t xml:space="preserve">plan de formation des équipes à l’accueil des enfants en situation de handicap.</w:t>
      </w:r>
    </w:p>
    <w:p>
      <w:pPr>
        <w:spacing w:before="120"/>
        <w:jc w:val="both"/>
      </w:pPr>
      <w:r>
        <w:t xml:space="preserve">Ces projets s’inscrivent dans la convention territoriale globale</w:t>
      </w:r>
      <w:r>
        <w:rPr>
          <w:rStyle w:val="Appeldenotedefin"/>
        </w:rPr>
        <w:endnoteReference w:id="2"/>
      </w:r>
      <w:r>
        <w:t xml:space="preserve"> et seront évalués dans le rapport 2026</w:t>
      </w:r>
      <w:r>
        <w:rPr>
          <w:rStyle w:val="Appeldenotedefin"/>
        </w:rPr>
        <w:endnoteReference w:id="3"/>
      </w:r>
      <w:r>
        <w:t xml:space="preserve">.</w:t>
      </w:r>
    </w:p>
    <w:p>
      <w:pPr>
        <w:pStyle w:val="Titre1"/>
        <w:numPr>
          <w:ilvl w:val="0"/>
          <w:numId w:val="0"/>
        </w:numPr>
      </w:pPr>
      <w:bookmarkStart w:id="16" w:name="_Toc300011"/>
      <w:r>
        <w:t xml:space="preserve">Glossaire</w:t>
      </w:r>
      <w:bookmarkEnd w:id="16"/>
    </w:p>
    <w:p>
      <w:pPr>
        <w:tabs>
          <w:tab w:val="left" w:pos="1418"/>
        </w:tabs>
        <w:spacing w:after="60"/>
        <w:ind w:left="1418" w:hanging="1418"/>
      </w:pPr>
      <w:r>
        <w:rPr>
          <w:b/>
          <w:bCs/>
        </w:rPr>
        <w:t xml:space="preserve">CAF</w:t>
      </w:r>
      <w:r>
        <w:tab/>
        <w:t xml:space="preserve">caisse d’allocations familiales</w:t>
      </w:r>
    </w:p>
    <w:p>
      <w:pPr>
        <w:tabs>
          <w:tab w:val="left" w:pos="1418"/>
        </w:tabs>
        <w:spacing w:after="60"/>
        <w:ind w:left="1418" w:hanging="1418"/>
      </w:pPr>
      <w:r>
        <w:rPr>
          <w:b/>
          <w:bCs/>
        </w:rPr>
        <w:t xml:space="preserve">EAJE</w:t>
      </w:r>
      <w:r>
        <w:tab/>
        <w:t xml:space="preserve">établissement d’accueil du jeune enfant</w:t>
      </w:r>
    </w:p>
    <w:p>
      <w:pPr>
        <w:tabs>
          <w:tab w:val="left" w:pos="1418"/>
        </w:tabs>
        <w:spacing w:after="60"/>
        <w:ind w:left="1418" w:hanging="1418"/>
      </w:pPr>
      <w:r>
        <w:rPr>
          <w:b/>
          <w:bCs/>
        </w:rPr>
        <w:t xml:space="preserve">PMI</w:t>
      </w:r>
      <w:r>
        <w:tab/>
        <w:t xml:space="preserve">protection maternelle et infantile</w:t>
      </w:r>
    </w:p>
    <w:p>
      <w:pPr>
        <w:tabs>
          <w:tab w:val="left" w:pos="1418"/>
        </w:tabs>
        <w:spacing w:after="60"/>
        <w:ind w:left="1418" w:hanging="1418"/>
      </w:pPr>
      <w:r>
        <w:rPr>
          <w:b/>
          <w:bCs/>
        </w:rPr>
        <w:t xml:space="preserve">RPE</w:t>
      </w:r>
      <w:r>
        <w:tab/>
        <w:t xml:space="preserve">relais petite enfance</w:t>
      </w:r>
    </w:p>
    <w:p>
      <w:pPr>
        <w:tabs>
          <w:tab w:val="left" w:pos="1418"/>
        </w:tabs>
        <w:spacing w:after="60"/>
        <w:ind w:left="1418" w:hanging="1418"/>
      </w:pPr>
      <w:r>
        <w:rPr>
          <w:b/>
          <w:bCs/>
        </w:rPr>
        <w:t xml:space="preserve">TOF</w:t>
      </w:r>
      <w:r>
        <w:tab/>
        <w:t xml:space="preserve">taux d’occupation financier</w:t>
      </w:r>
    </w:p>
    <w:sectPr>
      <w:headerReference w:type="default" r:id="rId1"/>
      <w:footerReference w:type="default" r:id="rId10"/>
      <w:pgSz w:w="11906" w:h="16838"/>
      <w:pgMar w:top="1418" w:right="1418" w:bottom="1418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Notedefin"/>
      </w:pPr>
      <w:r>
        <w:rPr>
          <w:rStyle w:val="Appeldenotedefin"/>
        </w:rPr>
        <w:endnoteRef/>
      </w:r>
      <w:r>
        <w:t xml:space="preserve"> </w:t>
      </w:r>
      <w:r>
        <w:t xml:space="preserve">Taux d’occupation financier : heures facturées rapportées aux heures d’ouverture multipliées par le nombre de places.</w:t>
      </w:r>
    </w:p>
  </w:endnote>
  <w:endnote w:id="2">
    <w:p>
      <w:pPr>
        <w:pStyle w:val="Notedefin"/>
      </w:pPr>
      <w:r>
        <w:rPr>
          <w:rStyle w:val="Appeldenotedefin"/>
        </w:rPr>
        <w:endnoteRef/>
      </w:r>
      <w:r>
        <w:t xml:space="preserve"> </w:t>
      </w:r>
      <w:r>
        <w:t xml:space="preserve">Convention signée avec la caisse d’allocations familiales pour la période 2024-2028.</w:t>
      </w:r>
    </w:p>
  </w:endnote>
  <w:endnote w:id="3">
    <w:p>
      <w:pPr>
        <w:pStyle w:val="Notedefin"/>
      </w:pPr>
      <w:r>
        <w:rPr>
          <w:rStyle w:val="Appeldenotedefin"/>
        </w:rPr>
        <w:endnoteRef/>
      </w:r>
      <w:r>
        <w:t xml:space="preserve"> </w:t>
      </w:r>
      <w:r>
        <w:t xml:space="preserve">Les indicateurs de suivi seront présentés à la commission enfance-jeunesse.</w:t>
      </w:r>
    </w:p>
  </w:endnote>
</w:endnotes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right" w:pos="9072"/>
      </w:tabs>
    </w:pPr>
    <w:r>
      <w:rPr>
        <w:color w:val="7F7F7F"/>
        <w:sz w:val="17"/>
        <w:szCs w:val="17"/>
      </w:rPr>
      <w:t xml:space="preserve">Service de la petite enfance</w:t>
    </w:r>
    <w: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i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right" w:pos="9072"/>
      </w:tabs>
    </w:pPr>
    <w:r>
      <w:rPr>
        <w:color w:val="7F7F7F"/>
        <w:sz w:val="17"/>
        <w:szCs w:val="17"/>
      </w:rPr>
      <w:t xml:space="preserve">Service de la petite enfance</w:t>
    </w:r>
    <w: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4572"/>
      </w:tabs>
    </w:pPr>
    <w:r>
      <w:rPr>
        <w:color w:val="7F7F7F"/>
        <w:sz w:val="17"/>
        <w:szCs w:val="17"/>
      </w:rPr>
      <w:t xml:space="preserve">Service de la petite enfance</w:t>
    </w:r>
    <w: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 xml:space="preserve">Les familles extérieures sont accueillies dans la limite de 10 % des places, conformément au règlement de fonctionnement adopté par le conseil municipal.</w:t>
      </w:r>
    </w:p>
  </w:footnote>
  <w:footnote w:id="2">
    <w:p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 xml:space="preserve">Source : service de protection maternelle et infantile du département (données fictives).</w:t>
      </w:r>
    </w:p>
  </w:footnote>
  <w:footnote w:id="3">
    <w:p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 xml:space="preserve">Montants arrondis ; les totaux peuvent différer de la somme des arrondis.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pBdr>
        <w:bottom w:val="single" w:sz="4" w:space="1" w:color="A6A6A6"/>
      </w:pBdr>
      <w:tabs>
        <w:tab w:val="clear" w:pos="4536"/>
        <w:tab w:val="right" w:pos="9072"/>
      </w:tabs>
    </w:pPr>
    <w:r>
      <w:rPr>
        <w:color w:val="7F7F7F"/>
        <w:sz w:val="17"/>
        <w:szCs w:val="17"/>
      </w:rPr>
      <w:t xml:space="preserve">Commune de Valmont-sur-Ourse – Rapport annuel 2025</w:t>
    </w:r>
    <w:r>
      <w:tab/>
    </w:r>
    <w:r>
      <w:rPr>
        <w:color w:val="1F3864"/>
        <w:sz w:val="17"/>
        <w:szCs w:val="17"/>
      </w:rPr>
      <w:fldChar w:fldCharType="begin"/>
    </w:r>
    <w:r>
      <w:rPr>
        <w:color w:val="1F3864"/>
        <w:sz w:val="17"/>
        <w:szCs w:val="17"/>
      </w:rPr>
      <w:instrText xml:space="preserve"> STYLEREF "Titre 1" \n </w:instrText>
    </w:r>
    <w:r>
      <w:rPr>
        <w:color w:val="1F3864"/>
        <w:sz w:val="17"/>
        <w:szCs w:val="17"/>
      </w:rPr>
      <w:fldChar w:fldCharType="separate"/>
    </w:r>
    <w:r>
      <w:rPr>
        <w:color w:val="1F3864"/>
        <w:sz w:val="17"/>
        <w:szCs w:val="17"/>
      </w:rPr>
      <w:t xml:space="preserve">1.</w:t>
    </w:r>
    <w:r>
      <w:rPr>
        <w:color w:val="1F3864"/>
        <w:sz w:val="17"/>
        <w:szCs w:val="17"/>
      </w:rPr>
      <w:fldChar w:fldCharType="end"/>
    </w:r>
    <w:r>
      <w:rPr>
        <w:sz w:val="17"/>
        <w:szCs w:val="17"/>
      </w:rPr>
      <w:t xml:space="preserve"> </w:t>
    </w:r>
    <w:r>
      <w:rPr>
        <w:b/>
        <w:bCs/>
        <w:color w:val="1F3864"/>
        <w:sz w:val="17"/>
        <w:szCs w:val="17"/>
      </w:rPr>
      <w:fldChar w:fldCharType="begin"/>
    </w:r>
    <w:r>
      <w:rPr>
        <w:b/>
        <w:bCs/>
        <w:color w:val="1F3864"/>
        <w:sz w:val="17"/>
        <w:szCs w:val="17"/>
      </w:rPr>
      <w:instrText xml:space="preserve"> STYLEREF "Titre 1" </w:instrText>
    </w:r>
    <w:r>
      <w:rPr>
        <w:b/>
        <w:bCs/>
        <w:color w:val="1F3864"/>
        <w:sz w:val="17"/>
        <w:szCs w:val="17"/>
      </w:rPr>
      <w:fldChar w:fldCharType="separate"/>
    </w:r>
    <w:r>
      <w:rPr>
        <w:b/>
        <w:bCs/>
        <w:color w:val="1F3864"/>
        <w:sz w:val="17"/>
        <w:szCs w:val="17"/>
      </w:rPr>
      <w:t xml:space="preserve">Présentation du service</w:t>
    </w:r>
    <w:r>
      <w:rPr>
        <w:b/>
        <w:bCs/>
        <w:color w:val="1F3864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pBdr>
        <w:bottom w:val="single" w:sz="4" w:space="1" w:color="A6A6A6"/>
      </w:pBdr>
      <w:tabs>
        <w:tab w:val="clear" w:pos="4536"/>
        <w:tab w:val="clear" w:pos="9072"/>
        <w:tab w:val="right" w:pos="14572"/>
      </w:tabs>
    </w:pPr>
    <w:r>
      <w:rPr>
        <w:color w:val="7F7F7F"/>
        <w:sz w:val="17"/>
        <w:szCs w:val="17"/>
      </w:rPr>
      <w:t xml:space="preserve">Commune de Valmont-sur-Ourse – Rapport annuel 2025</w:t>
    </w:r>
    <w:r>
      <w:tab/>
    </w:r>
    <w:r>
      <w:rPr>
        <w:color w:val="1F3864"/>
        <w:sz w:val="17"/>
        <w:szCs w:val="17"/>
      </w:rPr>
      <w:fldChar w:fldCharType="begin"/>
    </w:r>
    <w:r>
      <w:rPr>
        <w:color w:val="1F3864"/>
        <w:sz w:val="17"/>
        <w:szCs w:val="17"/>
      </w:rPr>
      <w:instrText xml:space="preserve"> STYLEREF "Titre 1" \n </w:instrText>
    </w:r>
    <w:r>
      <w:rPr>
        <w:color w:val="1F3864"/>
        <w:sz w:val="17"/>
        <w:szCs w:val="17"/>
      </w:rPr>
      <w:fldChar w:fldCharType="separate"/>
    </w:r>
    <w:r>
      <w:rPr>
        <w:color w:val="1F3864"/>
        <w:sz w:val="17"/>
        <w:szCs w:val="17"/>
      </w:rPr>
      <w:t xml:space="preserve">1.</w:t>
    </w:r>
    <w:r>
      <w:rPr>
        <w:color w:val="1F3864"/>
        <w:sz w:val="17"/>
        <w:szCs w:val="17"/>
      </w:rPr>
      <w:fldChar w:fldCharType="end"/>
    </w:r>
    <w:r>
      <w:rPr>
        <w:sz w:val="17"/>
        <w:szCs w:val="17"/>
      </w:rPr>
      <w:t xml:space="preserve"> </w:t>
    </w:r>
    <w:r>
      <w:rPr>
        <w:b/>
        <w:bCs/>
        <w:color w:val="1F3864"/>
        <w:sz w:val="17"/>
        <w:szCs w:val="17"/>
      </w:rPr>
      <w:fldChar w:fldCharType="begin"/>
    </w:r>
    <w:r>
      <w:rPr>
        <w:b/>
        <w:bCs/>
        <w:color w:val="1F3864"/>
        <w:sz w:val="17"/>
        <w:szCs w:val="17"/>
      </w:rPr>
      <w:instrText xml:space="preserve"> STYLEREF "Titre 1" </w:instrText>
    </w:r>
    <w:r>
      <w:rPr>
        <w:b/>
        <w:bCs/>
        <w:color w:val="1F3864"/>
        <w:sz w:val="17"/>
        <w:szCs w:val="17"/>
      </w:rPr>
      <w:fldChar w:fldCharType="separate"/>
    </w:r>
    <w:r>
      <w:rPr>
        <w:b/>
        <w:bCs/>
        <w:color w:val="1F3864"/>
        <w:sz w:val="17"/>
        <w:szCs w:val="17"/>
      </w:rPr>
      <w:t xml:space="preserve">Présentation du service</w:t>
    </w:r>
    <w:r>
      <w:rPr>
        <w:b/>
        <w:bCs/>
        <w:color w:val="1F3864"/>
        <w:sz w:val="17"/>
        <w:szCs w:val="17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multilevel"/>
    <w:tmpl w:val="5C3D0000"/>
    <w:lvl w:ilvl="0">
      <w:start w:val="1"/>
      <w:numFmt w:val="decimal"/>
      <w:pStyle w:val="Titre1"/>
      <w:lvlText w:val="%1."/>
      <w:lvlJc w:val="left"/>
      <w:pPr>
        <w:ind w:left="432" w:hanging="432"/>
      </w:pPr>
    </w:lvl>
    <w:lvl w:ilvl="1">
      <w:start w:val="1"/>
      <w:numFmt w:val="decimal"/>
      <w:pStyle w:val="Titre2"/>
      <w:isLgl/>
      <w:lvlText w:val="%1.%2."/>
      <w:lvlJc w:val="left"/>
      <w:pPr>
        <w:ind w:left="576" w:hanging="576"/>
      </w:p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</w:lvl>
    <w:lvl w:ilvl="3">
      <w:start w:val="1"/>
      <w:numFmt w:val="decimal"/>
      <w:isLgl/>
      <w:lvlText w:val=""/>
      <w:lvlJc w:val="left"/>
      <w:pPr>
        <w:ind w:left="864" w:hanging="864"/>
      </w:pPr>
    </w:lvl>
    <w:lvl w:ilvl="4">
      <w:start w:val="1"/>
      <w:numFmt w:val="decimal"/>
      <w:isLgl/>
      <w:lvlText w:val=""/>
      <w:lvlJc w:val="left"/>
      <w:pPr>
        <w:ind w:left="1008" w:hanging="1008"/>
      </w:pPr>
    </w:lvl>
    <w:lvl w:ilvl="5">
      <w:start w:val="1"/>
      <w:numFmt w:val="decimal"/>
      <w:isLgl/>
      <w:lvlText w:val=""/>
      <w:lvlJc w:val="left"/>
      <w:pPr>
        <w:ind w:left="1152" w:hanging="1152"/>
      </w:pPr>
    </w:lvl>
    <w:lvl w:ilvl="6">
      <w:start w:val="1"/>
      <w:numFmt w:val="decimal"/>
      <w:isLgl/>
      <w:lvlText w:val=""/>
      <w:lvlJc w:val="left"/>
      <w:pPr>
        <w:ind w:left="1296" w:hanging="1296"/>
      </w:pPr>
    </w:lvl>
    <w:lvl w:ilvl="7">
      <w:start w:val="1"/>
      <w:numFmt w:val="decimal"/>
      <w:isLgl/>
      <w:lvlText w:val=""/>
      <w:lvlJc w:val="left"/>
      <w:pPr>
        <w:ind w:left="1440" w:hanging="1440"/>
      </w:pPr>
    </w:lvl>
    <w:lvl w:ilvl="8">
      <w:start w:val="1"/>
      <w:numFmt w:val="decimal"/>
      <w:isLgl/>
      <w:lvlText w:val=""/>
      <w:lvlJc w:val="left"/>
      <w:pPr>
        <w:ind w:left="1584" w:hanging="1584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360" w:after="120"/>
      <w:outlineLvl w:val="0"/>
    </w:pPr>
    <w:rPr>
      <w:rFonts w:asciiTheme="majorHAnsi" w:hAnsiTheme="majorHAnsi" w:eastAsiaTheme="majorEastAsia" w:cstheme="majorBidi"/>
      <w:color w:val="1F3864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1F3864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numPr>
        <w:ilvl w:val="1"/>
        <w:numId w:val="1"/>
      </w:numPr>
      <w:spacing w:before="200" w:after="60"/>
      <w:outlineLvl w:val="1"/>
    </w:pPr>
    <w:rPr>
      <w:rFonts w:asciiTheme="majorHAnsi" w:hAnsiTheme="majorHAnsi" w:eastAsiaTheme="majorEastAsia" w:cstheme="majorBidi"/>
      <w:color w:val="2E75B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E75B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numPr>
        <w:ilvl w:val="2"/>
        <w:numId w:val="1"/>
      </w:numPr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3864"/>
      <w:sz w:val="22"/>
      <w:szCs w:val="22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b/>
      <w:bCs/>
      <w:color w:val="1F3864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1F3864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1F3864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notes" Target="footnotes.xml"/><Relationship Id="rId17" Type="http://schemas.openxmlformats.org/officeDocument/2006/relationships/endnotes" Target="end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c:chart>
    <c:title>
      <c:tx>
        <c:rich>
          <a:bodyPr/>
          <a:lstStyle/>
          <a:p>
            <a:pPr>
              <a:defRPr sz="1200" b="1"/>
            </a:pPr>
            <a:r>
              <a:rPr lang="fr-FR" sz="1200" b="1"/>
              <a:t>Taux d’occupation mensuel (%)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2024</c:v>
                </c:pt>
              </c:strCache>
            </c:strRef>
          </c:tx>
          <c:spPr>
            <a:ln w="28575" cap="rnd">
              <a:solidFill>
                <a:srgbClr val="A5A5A5"/>
              </a:solidFill>
              <a:round/>
            </a:ln>
          </c:spPr>
          <c:marker>
            <c:symbol val="circle"/>
            <c:size val="6"/>
            <c:spPr>
              <a:solidFill>
                <a:srgbClr val="A5A5A5"/>
              </a:solidFill>
            </c:spPr>
          </c:marker>
          <c:cat>
            <c:strRef>
              <c:f>Feuil1!$A$2:$A$12</c:f>
              <c:strCache>
                <c:ptCount val="11"/>
                <c:pt idx="0">
                  <c:v>janv.</c:v>
                </c:pt>
                <c:pt idx="1">
                  <c:v>févr.</c:v>
                </c:pt>
                <c:pt idx="2">
                  <c:v>mars</c:v>
                </c:pt>
                <c:pt idx="3">
                  <c:v>avr.</c:v>
                </c:pt>
                <c:pt idx="4">
                  <c:v>mai</c:v>
                </c:pt>
                <c:pt idx="5">
                  <c:v>juin</c:v>
                </c:pt>
                <c:pt idx="6">
                  <c:v>juil.</c:v>
                </c:pt>
                <c:pt idx="7">
                  <c:v>sept.</c:v>
                </c:pt>
                <c:pt idx="8">
                  <c:v>oct.</c:v>
                </c:pt>
                <c:pt idx="9">
                  <c:v>nov.</c:v>
                </c:pt>
                <c:pt idx="10">
                  <c:v>déc.</c:v>
                </c:pt>
              </c:strCache>
            </c:strRef>
          </c:cat>
          <c:val>
            <c:numRef>
              <c:f>Feuil1!$B$2:$B$12</c:f>
              <c:numCache>
                <c:formatCode>General</c:formatCode>
                <c:ptCount val="11"/>
                <c:pt idx="0">
                  <c:v>68</c:v>
                </c:pt>
                <c:pt idx="1">
                  <c:v>70</c:v>
                </c:pt>
                <c:pt idx="2">
                  <c:v>71</c:v>
                </c:pt>
                <c:pt idx="3">
                  <c:v>69</c:v>
                </c:pt>
                <c:pt idx="4">
                  <c:v>70</c:v>
                </c:pt>
                <c:pt idx="5">
                  <c:v>72</c:v>
                </c:pt>
                <c:pt idx="6">
                  <c:v>60</c:v>
                </c:pt>
                <c:pt idx="7">
                  <c:v>69</c:v>
                </c:pt>
                <c:pt idx="8">
                  <c:v>71</c:v>
                </c:pt>
                <c:pt idx="9">
                  <c:v>72</c:v>
                </c:pt>
                <c:pt idx="10">
                  <c:v>66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2E75B6"/>
              </a:solidFill>
              <a:round/>
            </a:ln>
          </c:spPr>
          <c:marker>
            <c:symbol val="circle"/>
            <c:size val="6"/>
            <c:spPr>
              <a:solidFill>
                <a:srgbClr val="2E75B6"/>
              </a:solidFill>
            </c:spPr>
          </c:marker>
          <c:cat>
            <c:strRef>
              <c:f>Feuil1!$A$2:$A$12</c:f>
              <c:strCache>
                <c:ptCount val="11"/>
                <c:pt idx="0">
                  <c:v>janv.</c:v>
                </c:pt>
                <c:pt idx="1">
                  <c:v>févr.</c:v>
                </c:pt>
                <c:pt idx="2">
                  <c:v>mars</c:v>
                </c:pt>
                <c:pt idx="3">
                  <c:v>avr.</c:v>
                </c:pt>
                <c:pt idx="4">
                  <c:v>mai</c:v>
                </c:pt>
                <c:pt idx="5">
                  <c:v>juin</c:v>
                </c:pt>
                <c:pt idx="6">
                  <c:v>juil.</c:v>
                </c:pt>
                <c:pt idx="7">
                  <c:v>sept.</c:v>
                </c:pt>
                <c:pt idx="8">
                  <c:v>oct.</c:v>
                </c:pt>
                <c:pt idx="9">
                  <c:v>nov.</c:v>
                </c:pt>
                <c:pt idx="10">
                  <c:v>déc.</c:v>
                </c:pt>
              </c:strCache>
            </c:strRef>
          </c:cat>
          <c:val>
            <c:numRef>
              <c:f>Feuil1!$C$2:$C$12</c:f>
              <c:numCache>
                <c:formatCode>General</c:formatCode>
                <c:ptCount val="11"/>
                <c:pt idx="0">
                  <c:v>70</c:v>
                </c:pt>
                <c:pt idx="1">
                  <c:v>73</c:v>
                </c:pt>
                <c:pt idx="2">
                  <c:v>74</c:v>
                </c:pt>
                <c:pt idx="3">
                  <c:v>72</c:v>
                </c:pt>
                <c:pt idx="4">
                  <c:v>73</c:v>
                </c:pt>
                <c:pt idx="5">
                  <c:v>75</c:v>
                </c:pt>
                <c:pt idx="6">
                  <c:v>63</c:v>
                </c:pt>
                <c:pt idx="7">
                  <c:v>71</c:v>
                </c:pt>
                <c:pt idx="8">
                  <c:v>74</c:v>
                </c:pt>
                <c:pt idx="9">
                  <c:v>75</c:v>
                </c:pt>
                <c:pt idx="10">
                  <c:v>68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fr-FR"/>
          </a:p>
        </c:txPr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fr-FR"/>
          </a:p>
        </c:txPr>
        <c:crossAx val="5001000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900">
              <a:solidFill>
                <a:srgbClr val="595959"/>
              </a:solidFill>
            </a:defRPr>
          </a:pPr>
          <a:endParaRPr lang="fr-FR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000">
          <a:solidFill>
            <a:srgbClr val="404040"/>
          </a:solidFill>
        </a:defRPr>
      </a:pPr>
      <a:endParaRPr lang="fr-F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annuel 2025 – Service de la petite enfance</dc:title>
  <dc:subject>Rapport multi-sections</dc:subject>
  <dc:creator>Corpus provisoire ElixirOffice (contenu fictif)</dc:creator>
  <cp:keywords>rapport; table des matières; notes; tableaux longs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