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framePr w:w="4536" w:h="1928" w:hRule="exact" w:hSpace="141" w:wrap="around" w:vAnchor="page" w:hAnchor="page" w:x="6520" w:y="2608"/>
        <w:pBdr>
          <w:top w:val="single" w:sz="4" w:space="6" w:color="A1887F"/>
          <w:left w:val="single" w:sz="4" w:space="6" w:color="A1887F"/>
          <w:bottom w:val="single" w:sz="4" w:space="6" w:color="A1887F"/>
          <w:right w:val="single" w:sz="4" w:space="6" w:color="A1887F"/>
        </w:pBdr>
        <w:shd w:val="clear" w:color="auto" w:fill="EFEBE9"/>
        <w:spacing w:after="0"/>
      </w:pPr>
      <w:r>
        <w:rPr>
          <w:b/>
          <w:bCs/>
        </w:rPr>
        <w:t xml:space="preserve">M. et Mme Bertrand Exemple</w:t>
      </w:r>
    </w:p>
    <w:p>
      <w:pPr>
        <w:framePr w:w="4536" w:h="1928" w:hRule="exact" w:hSpace="141" w:wrap="around" w:vAnchor="page" w:hAnchor="page" w:x="6520" w:y="2608"/>
        <w:pBdr>
          <w:top w:val="single" w:sz="4" w:space="6" w:color="A1887F"/>
          <w:left w:val="single" w:sz="4" w:space="6" w:color="A1887F"/>
          <w:bottom w:val="single" w:sz="4" w:space="6" w:color="A1887F"/>
          <w:right w:val="single" w:sz="4" w:space="6" w:color="A1887F"/>
        </w:pBdr>
        <w:shd w:val="clear" w:color="auto" w:fill="EFEBE9"/>
        <w:spacing w:after="0"/>
      </w:pPr>
      <w:r>
        <w:t xml:space="preserve">8 allée des Charmes</w:t>
      </w:r>
    </w:p>
    <w:p>
      <w:pPr>
        <w:framePr w:w="4536" w:h="1928" w:hRule="exact" w:hSpace="141" w:wrap="around" w:vAnchor="page" w:hAnchor="page" w:x="6520" w:y="2608"/>
        <w:pBdr>
          <w:top w:val="single" w:sz="4" w:space="6" w:color="A1887F"/>
          <w:left w:val="single" w:sz="4" w:space="6" w:color="A1887F"/>
          <w:bottom w:val="single" w:sz="4" w:space="6" w:color="A1887F"/>
          <w:right w:val="single" w:sz="4" w:space="6" w:color="A1887F"/>
        </w:pBdr>
        <w:shd w:val="clear" w:color="auto" w:fill="EFEBE9"/>
        <w:spacing w:after="0"/>
      </w:pPr>
      <w:r>
        <w:t xml:space="preserve">Lotissement Les Hauts du Val</w:t>
      </w:r>
    </w:p>
    <w:p>
      <w:pPr>
        <w:framePr w:w="4536" w:h="1928" w:hRule="exact" w:hSpace="141" w:wrap="around" w:vAnchor="page" w:hAnchor="page" w:x="6520" w:y="2608"/>
        <w:pBdr>
          <w:top w:val="single" w:sz="4" w:space="6" w:color="A1887F"/>
          <w:left w:val="single" w:sz="4" w:space="6" w:color="A1887F"/>
          <w:bottom w:val="single" w:sz="4" w:space="6" w:color="A1887F"/>
          <w:right w:val="single" w:sz="4" w:space="6" w:color="A1887F"/>
        </w:pBdr>
        <w:shd w:val="clear" w:color="auto" w:fill="EFEBE9"/>
        <w:spacing w:after="0"/>
      </w:pPr>
      <w:r>
        <w:t xml:space="preserve">99120 VALMONT-SUR-OURSE</w:t>
      </w:r>
    </w:p>
    <w:p>
      <w:pPr>
        <w:shd w:val="clear" w:color="auto" w:fill="5D4037"/>
        <w:spacing w:before="0" w:after="120"/>
        <w:ind w:right="4820"/>
      </w:pPr>
      <w:r>
        <w:rPr>
          <w:b/>
          <w:bCs/>
          <w:color w:val="FFFFFF"/>
          <w:sz w:val="36"/>
          <w:szCs w:val="36"/>
        </w:rPr>
        <w:t xml:space="preserve">DEVIS N° 2026-0042</w:t>
      </w:r>
    </w:p>
    <w:p>
      <w:pPr>
        <w:tabs>
          <w:tab w:val="left" w:pos="1928"/>
        </w:tabs>
        <w:spacing w:after="30"/>
        <w:ind w:right="4820"/>
      </w:pPr>
      <w:r>
        <w:rPr>
          <w:b/>
          <w:bCs/>
        </w:rPr>
        <w:t xml:space="preserve">Date du devis</w:t>
      </w:r>
      <w:r>
        <w:tab/>
        <w:t xml:space="preserve">: 9 mars 2026</w:t>
      </w:r>
    </w:p>
    <w:p>
      <w:pPr>
        <w:tabs>
          <w:tab w:val="left" w:pos="1928"/>
        </w:tabs>
        <w:spacing w:after="30"/>
        <w:ind w:right="4820"/>
      </w:pPr>
      <w:r>
        <w:rPr>
          <w:b/>
          <w:bCs/>
        </w:rPr>
        <w:t xml:space="preserve">Validité</w:t>
      </w:r>
      <w:r>
        <w:tab/>
        <w:t xml:space="preserve">: 3 mois (jusqu’au 9 juin 2026)</w:t>
      </w:r>
    </w:p>
    <w:p>
      <w:pPr>
        <w:tabs>
          <w:tab w:val="left" w:pos="1928"/>
        </w:tabs>
        <w:spacing w:after="30"/>
        <w:ind w:right="4820"/>
      </w:pPr>
      <w:r>
        <w:rPr>
          <w:b/>
          <w:bCs/>
        </w:rPr>
        <w:t xml:space="preserve">Référence client</w:t>
      </w:r>
      <w:r>
        <w:tab/>
        <w:t xml:space="preserve">: CL-0318</w:t>
      </w:r>
    </w:p>
    <w:p>
      <w:pPr>
        <w:tabs>
          <w:tab w:val="left" w:pos="1928"/>
        </w:tabs>
        <w:spacing w:after="30"/>
        <w:ind w:right="4820"/>
      </w:pPr>
      <w:r>
        <w:rPr>
          <w:b/>
          <w:bCs/>
        </w:rPr>
        <w:t xml:space="preserve">Objet</w:t>
      </w:r>
      <w:r>
        <w:tab/>
        <w:t xml:space="preserve">: Remplacement de la porte d’entrée</w:t>
      </w:r>
    </w:p>
    <w:p>
      <w:pPr>
        <w:tabs>
          <w:tab w:val="left" w:pos="1928"/>
        </w:tabs>
        <w:spacing w:after="30"/>
        <w:ind w:right="4820"/>
      </w:pPr>
      <w:r>
        <w:rPr>
          <w:b/>
          <w:bCs/>
        </w:rPr>
        <w:t xml:space="preserve">Lieu des travaux</w:t>
      </w:r>
      <w:r>
        <w:tab/>
        <w:t xml:space="preserve">: adresse du client</w:t>
      </w:r>
    </w:p>
    <w:p>
      <w:pPr>
        <w:spacing w:after="300"/>
      </w:pPr>
    </w:p>
    <w:tbl>
      <w:tblPr>
        <w:tblStyle w:val="Tableausimple4-Accentuation1"/>
        <w:tblW w:w="10205" w:type="dxa"/>
        <w:tblLayout w:type="fixed"/>
        <w:tblLook w:val="0420" w:firstRow="1" w:lastRow="0" w:firstColumn="0" w:lastColumn="0" w:noHBand="0" w:noVBand="1"/>
      </w:tblPr>
      <w:tblGrid>
        <w:gridCol w:w="4876"/>
        <w:gridCol w:w="907"/>
        <w:gridCol w:w="907"/>
        <w:gridCol w:w="1701"/>
        <w:gridCol w:w="1814"/>
      </w:tblGrid>
      <w:tr>
        <w:trPr>
          <w:trHeight w:val="397" w:hRule="atLeast"/>
          <w:tblHeader/>
        </w:trPr>
        <w:tc>
          <w:tcPr>
            <w:tcW w:w="4876" w:type="dxa"/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Désignation</w:t>
            </w:r>
          </w:p>
        </w:tc>
        <w:tc>
          <w:tcPr>
            <w:tcW w:w="907" w:type="dxa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Qté</w:t>
            </w:r>
          </w:p>
        </w:tc>
        <w:tc>
          <w:tcPr>
            <w:tcW w:w="907" w:type="dxa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Unité</w:t>
            </w:r>
          </w:p>
        </w:tc>
        <w:tc>
          <w:tcPr>
            <w:tcW w:w="1701" w:type="dxa"/>
          </w:tcPr>
          <w:p>
            <w:pPr>
              <w:spacing w:after="0"/>
              <w:jc w:val="right"/>
            </w:pPr>
            <w:r>
              <w:rPr>
                <w:b/>
                <w:bCs/>
              </w:rPr>
              <w:t xml:space="preserve">P.U. HT (€)</w:t>
            </w:r>
          </w:p>
        </w:tc>
        <w:tc>
          <w:tcPr>
            <w:tcW w:w="1814" w:type="dxa"/>
          </w:tcPr>
          <w:p>
            <w:pPr>
              <w:spacing w:after="0"/>
              <w:jc w:val="right"/>
            </w:pPr>
            <w:r>
              <w:rPr>
                <w:b/>
                <w:bCs/>
              </w:rPr>
              <w:t xml:space="preserve">Total HT (€)</w:t>
            </w:r>
          </w:p>
        </w:tc>
      </w:tr>
      <w:tr>
        <w:tc>
          <w:tcPr>
            <w:tcW w:w="10205" w:type="dxa"/>
            <w:gridSpan w:val="5"/>
            <w:shd w:val="clear" w:color="auto" w:fill="D7CCC8"/>
          </w:tcPr>
          <w:p>
            <w:pPr>
              <w:spacing w:after="0"/>
            </w:pPr>
            <w:r>
              <w:rPr>
                <w:b/>
                <w:bCs/>
                <w:color w:val="5D4037"/>
              </w:rPr>
              <w:t xml:space="preserve">Fourniture</w:t>
            </w:r>
          </w:p>
        </w:tc>
      </w:tr>
      <w:tr>
        <w:tc>
          <w:tcPr>
            <w:tcW w:w="4876" w:type="dxa"/>
          </w:tcPr>
          <w:p>
            <w:pPr>
              <w:spacing w:after="0"/>
            </w:pPr>
            <w:r>
              <w:t xml:space="preserve">Porte d’entrée en chêne massif, 215 × 90 cm, vitrage feuilleté 44.2 sablé, finition lasure incolore</w:t>
            </w:r>
          </w:p>
        </w:tc>
        <w:tc>
          <w:tcPr>
            <w:tcW w:w="907" w:type="dxa"/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w="907" w:type="dxa"/>
          </w:tcPr>
          <w:p>
            <w:pPr>
              <w:spacing w:after="0"/>
              <w:jc w:val="center"/>
            </w:pPr>
            <w:r>
              <w:t xml:space="preserve">u</w:t>
            </w:r>
          </w:p>
        </w:tc>
        <w:tc>
          <w:tcPr>
            <w:tcW w:w="1701" w:type="dxa"/>
          </w:tcPr>
          <w:p>
            <w:pPr>
              <w:tabs>
                <w:tab w:val="decimal" w:pos="1077"/>
              </w:tabs>
              <w:spacing w:after="0"/>
            </w:pPr>
            <w:r>
              <w:t xml:space="preserve">1 840,00</w:t>
            </w:r>
          </w:p>
        </w:tc>
        <w:tc>
          <w:tcPr>
            <w:tcW w:w="1814" w:type="dxa"/>
          </w:tcPr>
          <w:p>
            <w:pPr>
              <w:tabs>
                <w:tab w:val="decimal" w:pos="1190"/>
              </w:tabs>
              <w:spacing w:after="0"/>
            </w:pPr>
            <w:r>
              <w:t xml:space="preserve">1 840,00</w:t>
            </w:r>
          </w:p>
        </w:tc>
      </w:tr>
      <w:tr>
        <w:tc>
          <w:tcPr>
            <w:tcW w:w="4876" w:type="dxa"/>
          </w:tcPr>
          <w:p>
            <w:pPr>
              <w:spacing w:after="0"/>
            </w:pPr>
            <w:r>
              <w:t xml:space="preserve">Serrure de sûreté 3 points certifiée A2P*, 3 clés</w:t>
            </w:r>
          </w:p>
        </w:tc>
        <w:tc>
          <w:tcPr>
            <w:tcW w:w="907" w:type="dxa"/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w="907" w:type="dxa"/>
          </w:tcPr>
          <w:p>
            <w:pPr>
              <w:spacing w:after="0"/>
              <w:jc w:val="center"/>
            </w:pPr>
            <w:r>
              <w:t xml:space="preserve">u</w:t>
            </w:r>
          </w:p>
        </w:tc>
        <w:tc>
          <w:tcPr>
            <w:tcW w:w="1701" w:type="dxa"/>
          </w:tcPr>
          <w:p>
            <w:pPr>
              <w:tabs>
                <w:tab w:val="decimal" w:pos="1077"/>
              </w:tabs>
              <w:spacing w:after="0"/>
            </w:pPr>
            <w:r>
              <w:t xml:space="preserve">245,00</w:t>
            </w:r>
          </w:p>
        </w:tc>
        <w:tc>
          <w:tcPr>
            <w:tcW w:w="1814" w:type="dxa"/>
          </w:tcPr>
          <w:p>
            <w:pPr>
              <w:tabs>
                <w:tab w:val="decimal" w:pos="1190"/>
              </w:tabs>
              <w:spacing w:after="0"/>
            </w:pPr>
            <w:r>
              <w:t xml:space="preserve">245,00</w:t>
            </w:r>
          </w:p>
        </w:tc>
      </w:tr>
      <w:tr>
        <w:tc>
          <w:tcPr>
            <w:tcW w:w="4876" w:type="dxa"/>
          </w:tcPr>
          <w:p>
            <w:pPr>
              <w:spacing w:after="0"/>
            </w:pPr>
            <w:r>
              <w:t xml:space="preserve">Seuil aluminium à rupture de pont thermique</w:t>
            </w:r>
          </w:p>
        </w:tc>
        <w:tc>
          <w:tcPr>
            <w:tcW w:w="907" w:type="dxa"/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w="907" w:type="dxa"/>
          </w:tcPr>
          <w:p>
            <w:pPr>
              <w:spacing w:after="0"/>
              <w:jc w:val="center"/>
            </w:pPr>
            <w:r>
              <w:t xml:space="preserve">u</w:t>
            </w:r>
          </w:p>
        </w:tc>
        <w:tc>
          <w:tcPr>
            <w:tcW w:w="1701" w:type="dxa"/>
          </w:tcPr>
          <w:p>
            <w:pPr>
              <w:tabs>
                <w:tab w:val="decimal" w:pos="1077"/>
              </w:tabs>
              <w:spacing w:after="0"/>
            </w:pPr>
            <w:r>
              <w:t xml:space="preserve">89,50</w:t>
            </w:r>
          </w:p>
        </w:tc>
        <w:tc>
          <w:tcPr>
            <w:tcW w:w="1814" w:type="dxa"/>
          </w:tcPr>
          <w:p>
            <w:pPr>
              <w:tabs>
                <w:tab w:val="decimal" w:pos="1190"/>
              </w:tabs>
              <w:spacing w:after="0"/>
            </w:pPr>
            <w:r>
              <w:t xml:space="preserve">89,50</w:t>
            </w:r>
          </w:p>
        </w:tc>
      </w:tr>
      <w:tr>
        <w:tc>
          <w:tcPr>
            <w:tcW w:w="10205" w:type="dxa"/>
            <w:gridSpan w:val="5"/>
            <w:shd w:val="clear" w:color="auto" w:fill="D7CCC8"/>
          </w:tcPr>
          <w:p>
            <w:pPr>
              <w:spacing w:after="0"/>
            </w:pPr>
            <w:r>
              <w:rPr>
                <w:b/>
                <w:bCs/>
                <w:color w:val="5D4037"/>
              </w:rPr>
              <w:t xml:space="preserve">Pose</w:t>
            </w:r>
          </w:p>
        </w:tc>
      </w:tr>
      <w:tr>
        <w:tc>
          <w:tcPr>
            <w:tcW w:w="4876" w:type="dxa"/>
          </w:tcPr>
          <w:p>
            <w:pPr>
              <w:spacing w:after="0"/>
            </w:pPr>
            <w:r>
              <w:t xml:space="preserve">Dépose et évacuation de l’ancienne porte en déchetterie agréée</w:t>
            </w:r>
          </w:p>
        </w:tc>
        <w:tc>
          <w:tcPr>
            <w:tcW w:w="907" w:type="dxa"/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w="907" w:type="dxa"/>
          </w:tcPr>
          <w:p>
            <w:pPr>
              <w:spacing w:after="0"/>
              <w:jc w:val="center"/>
            </w:pPr>
            <w:r>
              <w:t xml:space="preserve">forfait</w:t>
            </w:r>
          </w:p>
        </w:tc>
        <w:tc>
          <w:tcPr>
            <w:tcW w:w="1701" w:type="dxa"/>
          </w:tcPr>
          <w:p>
            <w:pPr>
              <w:tabs>
                <w:tab w:val="decimal" w:pos="1077"/>
              </w:tabs>
              <w:spacing w:after="0"/>
            </w:pPr>
            <w:r>
              <w:t xml:space="preserve">180,00</w:t>
            </w:r>
          </w:p>
        </w:tc>
        <w:tc>
          <w:tcPr>
            <w:tcW w:w="1814" w:type="dxa"/>
          </w:tcPr>
          <w:p>
            <w:pPr>
              <w:tabs>
                <w:tab w:val="decimal" w:pos="1190"/>
              </w:tabs>
              <w:spacing w:after="0"/>
            </w:pPr>
            <w:r>
              <w:t xml:space="preserve">180,00</w:t>
            </w:r>
          </w:p>
        </w:tc>
      </w:tr>
      <w:tr>
        <w:tc>
          <w:tcPr>
            <w:tcW w:w="4876" w:type="dxa"/>
          </w:tcPr>
          <w:p>
            <w:pPr>
              <w:spacing w:after="0"/>
            </w:pPr>
            <w:r>
              <w:t xml:space="preserve">Pose de la porte, calfeutrement, mousse expansive, réglages</w:t>
            </w:r>
          </w:p>
        </w:tc>
        <w:tc>
          <w:tcPr>
            <w:tcW w:w="907" w:type="dxa"/>
          </w:tcPr>
          <w:p>
            <w:pPr>
              <w:spacing w:after="0"/>
              <w:jc w:val="center"/>
            </w:pPr>
            <w:r>
              <w:t xml:space="preserve">6</w:t>
            </w:r>
          </w:p>
        </w:tc>
        <w:tc>
          <w:tcPr>
            <w:tcW w:w="907" w:type="dxa"/>
          </w:tcPr>
          <w:p>
            <w:pPr>
              <w:spacing w:after="0"/>
              <w:jc w:val="center"/>
            </w:pPr>
            <w:r>
              <w:t xml:space="preserve">h</w:t>
            </w:r>
          </w:p>
        </w:tc>
        <w:tc>
          <w:tcPr>
            <w:tcW w:w="1701" w:type="dxa"/>
          </w:tcPr>
          <w:p>
            <w:pPr>
              <w:tabs>
                <w:tab w:val="decimal" w:pos="1077"/>
              </w:tabs>
              <w:spacing w:after="0"/>
            </w:pPr>
            <w:r>
              <w:t xml:space="preserve">52,00</w:t>
            </w:r>
          </w:p>
        </w:tc>
        <w:tc>
          <w:tcPr>
            <w:tcW w:w="1814" w:type="dxa"/>
          </w:tcPr>
          <w:p>
            <w:pPr>
              <w:tabs>
                <w:tab w:val="decimal" w:pos="1190"/>
              </w:tabs>
              <w:spacing w:after="0"/>
            </w:pPr>
            <w:r>
              <w:t xml:space="preserve">312,00</w:t>
            </w:r>
          </w:p>
        </w:tc>
      </w:tr>
      <w:tr>
        <w:tc>
          <w:tcPr>
            <w:tcW w:w="4876" w:type="dxa"/>
          </w:tcPr>
          <w:p>
            <w:pPr>
              <w:spacing w:after="0"/>
            </w:pPr>
            <w:r>
              <w:t xml:space="preserve">Habillage intérieur en chêne (tapées et chambranles)</w:t>
            </w:r>
          </w:p>
        </w:tc>
        <w:tc>
          <w:tcPr>
            <w:tcW w:w="907" w:type="dxa"/>
          </w:tcPr>
          <w:p>
            <w:pPr>
              <w:spacing w:after="0"/>
              <w:jc w:val="center"/>
            </w:pPr>
            <w:r>
              <w:t xml:space="preserve">4,8</w:t>
            </w:r>
          </w:p>
        </w:tc>
        <w:tc>
          <w:tcPr>
            <w:tcW w:w="907" w:type="dxa"/>
          </w:tcPr>
          <w:p>
            <w:pPr>
              <w:spacing w:after="0"/>
              <w:jc w:val="center"/>
            </w:pPr>
            <w:r>
              <w:t xml:space="preserve">ml</w:t>
            </w:r>
          </w:p>
        </w:tc>
        <w:tc>
          <w:tcPr>
            <w:tcW w:w="1701" w:type="dxa"/>
          </w:tcPr>
          <w:p>
            <w:pPr>
              <w:tabs>
                <w:tab w:val="decimal" w:pos="1077"/>
              </w:tabs>
              <w:spacing w:after="0"/>
            </w:pPr>
            <w:r>
              <w:t xml:space="preserve">38,00</w:t>
            </w:r>
          </w:p>
        </w:tc>
        <w:tc>
          <w:tcPr>
            <w:tcW w:w="1814" w:type="dxa"/>
          </w:tcPr>
          <w:p>
            <w:pPr>
              <w:tabs>
                <w:tab w:val="decimal" w:pos="1190"/>
              </w:tabs>
              <w:spacing w:after="0"/>
            </w:pPr>
            <w:r>
              <w:t xml:space="preserve">182,40</w:t>
            </w:r>
          </w:p>
        </w:tc>
      </w:tr>
      <w:tr>
        <w:tc>
          <w:tcPr>
            <w:tcW w:w="4876" w:type="dxa"/>
          </w:tcPr>
          <w:p>
            <w:pPr>
              <w:spacing w:after="0"/>
            </w:pPr>
            <w:r>
              <w:t xml:space="preserve">Frais de déplacement</w:t>
            </w:r>
          </w:p>
        </w:tc>
        <w:tc>
          <w:tcPr>
            <w:tcW w:w="907" w:type="dxa"/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w="907" w:type="dxa"/>
          </w:tcPr>
          <w:p>
            <w:pPr>
              <w:spacing w:after="0"/>
              <w:jc w:val="center"/>
            </w:pPr>
            <w:r>
              <w:t xml:space="preserve">forfait</w:t>
            </w:r>
          </w:p>
        </w:tc>
        <w:tc>
          <w:tcPr>
            <w:tcW w:w="1701" w:type="dxa"/>
          </w:tcPr>
          <w:p>
            <w:pPr>
              <w:tabs>
                <w:tab w:val="decimal" w:pos="1077"/>
              </w:tabs>
              <w:spacing w:after="0"/>
            </w:pPr>
            <w:r>
              <w:t xml:space="preserve">35,00</w:t>
            </w:r>
          </w:p>
        </w:tc>
        <w:tc>
          <w:tcPr>
            <w:tcW w:w="1814" w:type="dxa"/>
          </w:tcPr>
          <w:p>
            <w:pPr>
              <w:tabs>
                <w:tab w:val="decimal" w:pos="1190"/>
              </w:tabs>
              <w:spacing w:after="0"/>
            </w:pPr>
            <w:r>
              <w:t xml:space="preserve">35,00</w:t>
            </w:r>
          </w:p>
        </w:tc>
      </w:tr>
    </w:tbl>
    <w:p>
      <w:pPr>
        <w:spacing w:after="120"/>
      </w:pPr>
    </w:p>
    <w:tbl>
      <w:tblPr>
        <w:tblW w:w="5556" w:type="dxa"/>
        <w:jc w:val="right"/>
        <w:tblBorders>
          <w:top w:val="single" w:sz="4" w:space="0" w:color="A1887F"/>
          <w:left w:val="single" w:sz="4" w:space="0" w:color="A1887F"/>
          <w:bottom w:val="single" w:sz="4" w:space="0" w:color="A1887F"/>
          <w:right w:val="single" w:sz="4" w:space="0" w:color="A1887F"/>
          <w:insideH w:val="single" w:sz="4" w:space="0" w:color="A1887F"/>
          <w:insideV w:val="single" w:sz="4" w:space="0" w:color="A1887F"/>
        </w:tblBorders>
        <w:tblLayout w:type="fixed"/>
        <w:tblLook w:val="04A0" w:firstRow="1" w:lastRow="0" w:firstColumn="1" w:lastColumn="0" w:noHBand="0" w:noVBand="1"/>
      </w:tblPr>
      <w:tblGrid>
        <w:gridCol w:w="3175"/>
        <w:gridCol w:w="2381"/>
      </w:tblGrid>
      <w:tr>
        <w:tc>
          <w:tcPr>
            <w:tcW w:w="3175" w:type="dxa"/>
            <w:shd w:val="clear" w:color="auto" w:fill="EFEBE9"/>
          </w:tcPr>
          <w:p>
            <w:pPr>
              <w:spacing w:after="0"/>
            </w:pPr>
            <w:r>
              <w:t xml:space="preserve">Total HT</w:t>
            </w:r>
          </w:p>
        </w:tc>
        <w:tc>
          <w:tcPr>
            <w:tcW w:w="2381" w:type="dxa"/>
          </w:tcPr>
          <w:p>
            <w:pPr>
              <w:tabs>
                <w:tab w:val="decimal" w:pos="1474"/>
              </w:tabs>
              <w:spacing w:after="0"/>
            </w:pPr>
            <w:r>
              <w:t xml:space="preserve">2 883,90 €</w:t>
            </w:r>
          </w:p>
        </w:tc>
      </w:tr>
      <w:tr>
        <w:tc>
          <w:tcPr>
            <w:tcW w:w="3175" w:type="dxa"/>
            <w:shd w:val="clear" w:color="auto" w:fill="EFEBE9"/>
          </w:tcPr>
          <w:p>
            <w:pPr>
              <w:spacing w:after="0"/>
            </w:pPr>
            <w:r>
              <w:t xml:space="preserve">TVA 10 %</w:t>
            </w:r>
          </w:p>
        </w:tc>
        <w:tc>
          <w:tcPr>
            <w:tcW w:w="2381" w:type="dxa"/>
          </w:tcPr>
          <w:p>
            <w:pPr>
              <w:tabs>
                <w:tab w:val="decimal" w:pos="1474"/>
              </w:tabs>
              <w:spacing w:after="0"/>
            </w:pPr>
            <w:r>
              <w:t xml:space="preserve">288,39 €</w:t>
            </w:r>
          </w:p>
        </w:tc>
      </w:tr>
      <w:tr>
        <w:tc>
          <w:tcPr>
            <w:tcW w:w="3175" w:type="dxa"/>
            <w:shd w:val="clear" w:color="auto" w:fill="5D4037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Total TTC</w:t>
            </w:r>
          </w:p>
        </w:tc>
        <w:tc>
          <w:tcPr>
            <w:tcW w:w="2381" w:type="dxa"/>
            <w:shd w:val="clear" w:color="auto" w:fill="5D4037"/>
          </w:tcPr>
          <w:p>
            <w:pPr>
              <w:tabs>
                <w:tab w:val="decimal" w:pos="1474"/>
              </w:tabs>
              <w:spacing w:after="0"/>
            </w:pPr>
            <w:r>
              <w:rPr>
                <w:b/>
                <w:bCs/>
                <w:color w:val="FFFFFF"/>
              </w:rPr>
              <w:t xml:space="preserve">3 172,29 €</w:t>
            </w:r>
          </w:p>
        </w:tc>
      </w:tr>
      <w:tr>
        <w:tc>
          <w:tcPr>
            <w:tcW w:w="3175" w:type="dxa"/>
            <w:shd w:val="clear" w:color="auto" w:fill="EFEBE9"/>
          </w:tcPr>
          <w:p>
            <w:pPr>
              <w:spacing w:after="0"/>
            </w:pPr>
            <w:r>
              <w:t xml:space="preserve">Acompte à la commande (30 %)</w:t>
            </w:r>
          </w:p>
        </w:tc>
        <w:tc>
          <w:tcPr>
            <w:tcW w:w="2381" w:type="dxa"/>
          </w:tcPr>
          <w:p>
            <w:pPr>
              <w:tabs>
                <w:tab w:val="decimal" w:pos="1474"/>
              </w:tabs>
              <w:spacing w:after="0"/>
            </w:pPr>
            <w:r>
              <w:t xml:space="preserve">951,69 €</w:t>
            </w:r>
          </w:p>
        </w:tc>
      </w:tr>
    </w:tbl>
    <w:p>
      <w:pPr>
        <w:spacing w:before="120"/>
      </w:pPr>
      <w:r>
        <w:rPr>
          <w:i/>
          <w:iCs/>
          <w:sz w:val="16"/>
          <w:szCs w:val="16"/>
        </w:rPr>
        <w:t xml:space="preserve">TVA au taux réduit de 10 % : travaux d’amélioration d’un logement achevé depuis plus de deux ans (attestation simplifiée à remettre avant le début des travaux).</w:t>
      </w:r>
    </w:p>
    <w:p>
      <w:pPr>
        <w:spacing w:before="200" w:after="60"/>
      </w:pPr>
      <w:r>
        <w:rPr>
          <w:b/>
          <w:bCs/>
          <w:color w:val="5D4037"/>
        </w:rPr>
        <w:t xml:space="preserve">Conditions</w:t>
      </w:r>
    </w:p>
    <w:p>
      <w:pPr>
        <w:numPr>
          <w:ilvl w:val="0"/>
          <w:numId w:val="1"/>
        </w:numPr>
        <w:spacing w:after="30"/>
      </w:pPr>
      <w:r>
        <w:rPr>
          <w:sz w:val="18"/>
          <w:szCs w:val="18"/>
        </w:rPr>
        <w:t xml:space="preserve">Délai de fabrication : 5 semaines à compter de la réception de l’acompte.</w:t>
      </w:r>
    </w:p>
    <w:p>
      <w:pPr>
        <w:numPr>
          <w:ilvl w:val="0"/>
          <w:numId w:val="1"/>
        </w:numPr>
        <w:spacing w:after="30"/>
      </w:pPr>
      <w:r>
        <w:rPr>
          <w:sz w:val="18"/>
          <w:szCs w:val="18"/>
        </w:rPr>
        <w:t xml:space="preserve">Solde payable à réception de la facture, par virement ou chèque. Pas d’escompte pour paiement anticipé.</w:t>
      </w:r>
    </w:p>
    <w:p>
      <w:pPr>
        <w:numPr>
          <w:ilvl w:val="0"/>
          <w:numId w:val="1"/>
        </w:numPr>
        <w:spacing w:after="30"/>
      </w:pPr>
      <w:r>
        <w:rPr>
          <w:sz w:val="18"/>
          <w:szCs w:val="18"/>
        </w:rPr>
        <w:t xml:space="preserve">En cas de retard de paiement : pénalités au taux légal majoré de 10 points et indemnité forfaitaire de recouvrement de 40 €.</w:t>
      </w:r>
    </w:p>
    <w:p>
      <w:pPr>
        <w:numPr>
          <w:ilvl w:val="0"/>
          <w:numId w:val="1"/>
        </w:numPr>
        <w:spacing w:after="30"/>
      </w:pPr>
      <w:r>
        <w:rPr>
          <w:sz w:val="18"/>
          <w:szCs w:val="18"/>
        </w:rPr>
        <w:t xml:space="preserve">Les travaux non prévus au présent devis feront l’objet d’un avenant signé.</w:t>
      </w:r>
    </w:p>
    <w:p>
      <w:pPr>
        <w:spacing w:after="120"/>
      </w:pPr>
    </w:p>
    <w:tbl>
      <w:tblPr>
        <w:tblW w:w="1020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20"/>
        <w:gridCol w:w="567"/>
        <w:gridCol w:w="4820"/>
      </w:tblGrid>
      <w:tr>
        <w:trPr>
          <w:cantSplit/>
          <w:trHeight w:val="1814" w:hRule="atLeast"/>
        </w:trPr>
        <w:tc>
          <w:tcPr>
            <w:tcW w:w="4820" w:type="dxa"/>
            <w:tcBorders>
              <w:top w:val="single" w:sz="8" w:space="0" w:color="5D4037"/>
              <w:left w:val="single" w:sz="8" w:space="0" w:color="5D4037"/>
              <w:bottom w:val="single" w:sz="8" w:space="0" w:color="5D4037"/>
              <w:right w:val="single" w:sz="8" w:space="0" w:color="5D4037"/>
            </w:tcBorders>
          </w:tcPr>
          <w:p>
            <w:pPr>
              <w:spacing w:after="60"/>
            </w:pPr>
            <w:r>
              <w:rPr>
                <w:b/>
                <w:bCs/>
              </w:rPr>
              <w:t xml:space="preserve">Bon pour accord</w:t>
            </w:r>
          </w:p>
          <w:p>
            <w:pPr>
              <w:spacing w:after="0"/>
            </w:pPr>
            <w:r>
              <w:rPr>
                <w:i/>
                <w:iCs/>
                <w:sz w:val="17"/>
                <w:szCs w:val="17"/>
              </w:rPr>
              <w:t xml:space="preserve">Date, signature et mention manuscrite « Bon pour accord » :</w:t>
            </w:r>
          </w:p>
        </w:tc>
        <w:tc>
          <w:tcPr>
            <w:tcW w:w="567" w:type="dxa"/>
          </w:tcPr>
          <w:p/>
        </w:tc>
        <w:tc>
          <w:tcPr>
            <w:tcW w:w="4820" w:type="dxa"/>
          </w:tcPr>
          <w:p>
            <w:pPr>
              <w:spacing w:after="60"/>
            </w:pPr>
            <w:r>
              <w:rPr>
                <w:b/>
                <w:bCs/>
              </w:rPr>
              <w:t xml:space="preserve">Pour l’entreprise</w:t>
            </w:r>
          </w:p>
          <w:p>
            <w:pPr>
              <w:spacing w:after="0"/>
            </w:pPr>
            <w:r>
              <w:rPr>
                <w:i/>
                <w:iCs/>
                <w:sz w:val="17"/>
                <w:szCs w:val="17"/>
              </w:rPr>
              <w:t xml:space="preserve">Le gérant</w:t>
            </w:r>
          </w:p>
        </w:tc>
      </w:tr>
    </w:tbl>
    <w:sectPr>
      <w:headerReference w:type="first" r:id="rId4"/>
      <w:headerReference w:type="default" r:id="rId9"/>
      <w:footerReference w:type="first" r:id="rId10"/>
      <w:footerReference w:type="default" r:id="rId10"/>
      <w:pgSz w:w="11906" w:h="16838"/>
      <w:pgMar w:top="2381" w:right="850" w:bottom="1247" w:left="850" w:header="454" w:footer="454" w:gutter="0"/>
      <w:cols w:space="708"/>
      <w:titlePg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Arial">
    <w:panose1 w:val="020B0604020202020204"/>
    <w:charset w:val="00"/>
    <w:family w:val="swiss"/>
    <w:pitch w:val="variable"/>
  </w:font>
  <w:font w:name="Arial Black">
    <w:panose1 w:val="020B0A04020102020204"/>
    <w:charset w:val="00"/>
    <w:family w:val="swiss"/>
    <w:pitch w:val="variable"/>
  </w:font>
  <w:font w:name="Calibri">
    <w:panose1 w:val="020F0502020204030204"/>
    <w:charset w:val="00"/>
    <w:family w:val="swiss"/>
    <w:pitch w:val="variable"/>
  </w:font>
  <w:font w:name="Calibri Light">
    <w:panose1 w:val="020F0302020204030204"/>
    <w:charset w:val="00"/>
    <w:family w:val="swiss"/>
    <w:pitch w:val="variable"/>
  </w:font>
  <w:font w:name="Cambria Math">
    <w:panose1 w:val="02040503050406030204"/>
    <w:charset w:val="00"/>
    <w:family w:val="roman"/>
    <w:pitch w:val="variable"/>
  </w:font>
  <w:font w:name="Courier New">
    <w:panose1 w:val="02070309020205020404"/>
    <w:charset w:val="00"/>
    <w:family w:val="modern"/>
    <w:pitch w:val="fixed"/>
  </w:font>
  <w:font w:name="Symbol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Wingding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pBdr>
        <w:top w:val="single" w:sz="4" w:space="4" w:color="8D6E63"/>
      </w:pBdr>
      <w:jc w:val="center"/>
    </w:pPr>
    <w:r>
      <w:rPr>
        <w:color w:val="595959"/>
        <w:sz w:val="14"/>
        <w:szCs w:val="14"/>
      </w:rPr>
      <w:t xml:space="preserve">SARL au capital de 8 000 € – RCS Valmont-sur-Ourse 999 999 999 – SIRET 999 999 999 00011 – APE 1623Z – TVA intracommunautaire FR00 999999999</w:t>
    </w:r>
  </w:p>
  <w:p>
    <w:pPr>
      <w:pStyle w:val="Pieddepage"/>
      <w:tabs>
        <w:tab w:val="clear" w:pos="4536"/>
        <w:tab w:val="clear" w:pos="9072"/>
        <w:tab w:val="right" w:pos="10206"/>
      </w:tabs>
    </w:pPr>
    <w:r>
      <w:rPr>
        <w:color w:val="595959"/>
        <w:sz w:val="14"/>
        <w:szCs w:val="14"/>
      </w:rPr>
      <w:t xml:space="preserve">Assurance décennale n° D-000000 (exemple) – zone d’intervention : 50 km autour de Valmont</w:t>
    </w:r>
    <w:r>
      <w:tab/>
    </w:r>
    <w:r>
      <w:rPr>
        <w:sz w:val="14"/>
        <w:szCs w:val="14"/>
      </w:rPr>
      <w:t xml:space="preserve">Page </w:t>
    </w:r>
    <w:r>
      <w:rPr>
        <w:sz w:val="14"/>
        <w:szCs w:val="14"/>
      </w:rPr>
      <w:fldChar w:fldCharType="begin"/>
    </w:r>
    <w:r>
      <w:rPr>
        <w:sz w:val="14"/>
        <w:szCs w:val="14"/>
      </w:rPr>
      <w:instrText xml:space="preserve"> PAGE </w:instrText>
    </w:r>
    <w:r>
      <w:rPr>
        <w:sz w:val="14"/>
        <w:szCs w:val="14"/>
      </w:rPr>
      <w:fldChar w:fldCharType="separate"/>
    </w:r>
    <w:r>
      <w:rPr>
        <w:sz w:val="14"/>
        <w:szCs w:val="14"/>
      </w:rPr>
      <w:t xml:space="preserve">1</w:t>
    </w:r>
    <w:r>
      <w:rPr>
        <w:sz w:val="14"/>
        <w:szCs w:val="14"/>
      </w:rPr>
      <w:fldChar w:fldCharType="end"/>
    </w:r>
    <w:r>
      <w:rPr>
        <w:sz w:val="14"/>
        <w:szCs w:val="14"/>
      </w:rPr>
      <w:t xml:space="preserve">/</w:t>
    </w:r>
    <w:r>
      <w:rPr>
        <w:sz w:val="14"/>
        <w:szCs w:val="14"/>
      </w:rPr>
      <w:fldChar w:fldCharType="begin"/>
    </w:r>
    <w:r>
      <w:rPr>
        <w:sz w:val="14"/>
        <w:szCs w:val="14"/>
      </w:rPr>
      <w:instrText xml:space="preserve"> NUMPAGES </w:instrText>
    </w:r>
    <w:r>
      <w:rPr>
        <w:sz w:val="14"/>
        <w:szCs w:val="14"/>
      </w:rPr>
      <w:fldChar w:fldCharType="separate"/>
    </w:r>
    <w:r>
      <w:rPr>
        <w:sz w:val="14"/>
        <w:szCs w:val="14"/>
      </w:rPr>
      <w:t xml:space="preserve">1</w:t>
    </w:r>
    <w:r>
      <w:rPr>
        <w:sz w:val="14"/>
        <w:szCs w:val="14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tbl>
    <w:tblPr>
      <w:tblW w:w="10206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1701"/>
      <w:gridCol w:w="8505"/>
    </w:tblGrid>
    <w:tr>
      <w:tc>
        <w:tcPr>
          <w:tcW w:w="1701" w:type="dxa"/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864000" cy="864000"/>
                <wp:effectExtent l="0" t="0" r="0" b="0"/>
                <wp:docPr id="1" name="Logo 1" descr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1" name="Logo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4000" cy="864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05" w:type="dxa"/>
          <w:vAlign w:val="center"/>
        </w:tcPr>
        <w:p>
          <w:pPr>
            <w:spacing w:after="0"/>
          </w:pPr>
          <w:r>
            <w:rPr>
              <w:b/>
              <w:bCs/>
              <w:color w:val="5D4037"/>
              <w:sz w:val="30"/>
              <w:szCs w:val="30"/>
            </w:rPr>
            <w:t xml:space="preserve">MENUISERIE DU VAL FLEURI</w:t>
          </w:r>
        </w:p>
        <w:p>
          <w:pPr>
            <w:spacing w:after="40"/>
          </w:pPr>
          <w:r>
            <w:rPr>
              <w:i/>
              <w:iCs/>
              <w:color w:val="8D6E63"/>
              <w:sz w:val="18"/>
              <w:szCs w:val="18"/>
            </w:rPr>
            <w:t xml:space="preserve">Menuiserie – Agencement – Escaliers sur mesure</w:t>
          </w:r>
        </w:p>
        <w:p>
          <w:pPr>
            <w:spacing w:after="0"/>
          </w:pPr>
          <w:r>
            <w:rPr>
              <w:sz w:val="17"/>
              <w:szCs w:val="17"/>
            </w:rPr>
            <w:t xml:space="preserve">12 rue des Artisans – ZA des Prés – 99120 Valmont-sur-Ourse</w:t>
          </w:r>
        </w:p>
        <w:p>
          <w:pPr>
            <w:spacing w:after="0"/>
          </w:pPr>
          <w:r>
            <w:rPr>
              <w:sz w:val="17"/>
              <w:szCs w:val="17"/>
            </w:rPr>
            <w:t xml:space="preserve">Tél. 01 99 00 41 27 – atelier@menuiserie-valfleuri.example.org</w:t>
          </w:r>
        </w:p>
      </w:tc>
    </w:tr>
  </w:tbl>
  <w:p>
    <w:pPr>
      <w:pStyle w:val="En-tte"/>
    </w:pPr>
  </w:p>
  <w:p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2050" type="#_x0000_t136" style="position:absolute;margin-left:0;margin-top:0;width:425.2pt;height:141.7pt;rotation:315;z-index:-251657216;mso-position-horizontal:center;mso-position-horizontal-relative:margin;mso-position-vertical:center;mso-position-vertical-relative:margin" o:allowincell="f" fillcolor="#D7CCC8" stroked="f">
          <v:fill opacity=".5"/>
          <v:textpath style="font-family:&quot;Arial Black&quot;;font-size:1pt" string="DEVI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pBdr>
        <w:bottom w:val="single" w:sz="4" w:space="1" w:color="8D6E63"/>
      </w:pBdr>
    </w:pPr>
    <w:r>
      <w:rPr>
        <w:color w:val="8D6E63"/>
        <w:sz w:val="16"/>
        <w:szCs w:val="16"/>
      </w:rPr>
      <w:t xml:space="preserve">Menuiserie du Val Fleuri – Devis n° 2026-0042 (suite)</w:t>
    </w:r>
  </w:p>
  <w:p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2051" type="#_x0000_t136" style="position:absolute;margin-left:0;margin-top:0;width:425.2pt;height:141.7pt;rotation:315;z-index:-251657216;mso-position-horizontal:center;mso-position-horizontal-relative:margin;mso-position-vertical:center;mso-position-vertical-relative:margin" o:allowincell="f" fillcolor="#D7CCC8" stroked="f">
          <v:fill opacity=".5"/>
          <v:textpath style="font-family:&quot;Arial Black&quot;;font-size:1pt" string="DEVI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decimal"/>
      <w:lvlText w:val="%1."/>
      <w:lvlJc w:val="left"/>
      <w:pPr>
        <w:ind w:left="284" w:hanging="284"/>
      </w:pPr>
    </w:lvl>
    <w:lvl w:ilvl="1">
      <w:start w:val="1"/>
      <w:numFmt w:val="decimal"/>
      <w:lvlText w:val="%2."/>
      <w:lvlJc w:val="left"/>
      <w:pPr>
        <w:ind w:left="1004" w:hanging="284"/>
      </w:pPr>
    </w:lvl>
    <w:lvl w:ilvl="2">
      <w:start w:val="1"/>
      <w:numFmt w:val="decimal"/>
      <w:lvlText w:val="%3."/>
      <w:lvlJc w:val="left"/>
      <w:pPr>
        <w:ind w:left="1724" w:hanging="284"/>
      </w:pPr>
    </w:lvl>
    <w:lvl w:ilvl="3">
      <w:start w:val="1"/>
      <w:numFmt w:val="decimal"/>
      <w:lvlText w:val="%4."/>
      <w:lvlJc w:val="left"/>
      <w:pPr>
        <w:ind w:left="2444" w:hanging="284"/>
      </w:pPr>
    </w:lvl>
    <w:lvl w:ilvl="4">
      <w:start w:val="1"/>
      <w:numFmt w:val="decimal"/>
      <w:lvlText w:val="%5."/>
      <w:lvlJc w:val="left"/>
      <w:pPr>
        <w:ind w:left="3164" w:hanging="284"/>
      </w:pPr>
    </w:lvl>
    <w:lvl w:ilvl="5">
      <w:start w:val="1"/>
      <w:numFmt w:val="decimal"/>
      <w:lvlText w:val="%6."/>
      <w:lvlJc w:val="left"/>
      <w:pPr>
        <w:ind w:left="3884" w:hanging="284"/>
      </w:pPr>
    </w:lvl>
    <w:lvl w:ilvl="6">
      <w:start w:val="1"/>
      <w:numFmt w:val="decimal"/>
      <w:lvlText w:val="%7."/>
      <w:lvlJc w:val="left"/>
      <w:pPr>
        <w:ind w:left="4604" w:hanging="284"/>
      </w:pPr>
    </w:lvl>
    <w:lvl w:ilvl="7">
      <w:start w:val="1"/>
      <w:numFmt w:val="decimal"/>
      <w:lvlText w:val="%8."/>
      <w:lvlJc w:val="left"/>
      <w:pPr>
        <w:ind w:left="5324" w:hanging="284"/>
      </w:pPr>
    </w:lvl>
    <w:lvl w:ilvl="8">
      <w:start w:val="1"/>
      <w:numFmt w:val="decimal"/>
      <w:lvlText w:val="%9."/>
      <w:lvlJc w:val="left"/>
      <w:pPr>
        <w:ind w:left="6044" w:hanging="284"/>
      </w:p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Arial" w:eastAsia="Arial" w:hAnsi="Arial" w:cs="Arial"/>
        <w:kern w:val="2"/>
        <w:sz w:val="20"/>
        <w:szCs w:val="20"/>
        <w:lang w:val="fr-FR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Theme="majorEastAsia" w:cstheme="majorBidi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Theme="majorEastAsia" w:cstheme="majorBidi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Theme="majorEastAsia" w:cstheme="majorBidi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Theme="majorEastAsia" w:cstheme="majorBidi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png"/><Relationship Id="rId4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Devis n° 2026-0042 – Menuiserie du Val Fleuri</dc:title>
  <dc:subject>Devis</dc:subject>
  <dc:creator>Corpus provisoire ElixirOffice (contenu fictif)</dc:creator>
  <cp:keywords>devis; TPE; menuiserie</cp:keywords>
  <dc:description>Document genere - corpus provisoire, a remplacer par les documents reels.</dc:description>
  <cp:lastModifiedBy>Corpus provisoire ElixirOffice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