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body>
    <w:p>
      <w:pPr>
        <w:pStyle w:val="Titre"/>
      </w:pPr>
      <w:r>
        <w:t xml:space="preserve">Compte rendu de l’assemblée générale ordinaire</w:t>
      </w:r>
    </w:p>
    <w:p>
      <w:r>
        <w:rPr>
          <w:b/>
          <w:bCs/>
        </w:rPr>
        <w:t xml:space="preserve">Date :</w:t>
      </w:r>
      <w:r>
        <w:t xml:space="preserve"> samedi 28 mars 2026, de 14 h 30 à 17 h 15 – </w:t>
      </w:r>
      <w:r>
        <w:rPr>
          <w:b/>
          <w:bCs/>
        </w:rPr>
        <w:t xml:space="preserve">Lieu :</w:t>
      </w:r>
      <w:r>
        <w:t xml:space="preserve"> salle polyvalente de Valmont-sur-Ourse</w:t>
      </w:r>
    </w:p>
    <w:p>
      <w:r>
        <w:rPr>
          <w:b/>
          <w:bCs/>
        </w:rPr>
        <w:t xml:space="preserve">Présidence de séance :</w:t>
      </w:r>
      <w:r>
        <w:t xml:space="preserve"> Odile Ferrand, présidente – </w:t>
      </w:r>
      <w:r>
        <w:rPr>
          <w:b/>
          <w:bCs/>
        </w:rPr>
        <w:t xml:space="preserve">Secrétariat de séance :</w:t>
      </w:r>
      <w:r>
        <w:t xml:space="preserve"> Karim Benali. Nombre de membres à jour de cotisation : 87 ; présents : 41 ; </w:t>
      </w:r>
      <w:commentRangeStart w:id="0"/>
      <w:commentRangeStart w:id="1"/>
      <w:r>
        <w:t xml:space="preserve">représentés : 12</w:t>
      </w:r>
      <w:commentRangeEnd w:id="0"/>
      <w:r>
        <w:rPr>
          <w:rStyle w:val="Marquedecommentaire"/>
        </w:rPr>
        <w:commentReference w:id="0"/>
      </w:r>
      <w:commentRangeEnd w:id="1"/>
      <w:r>
        <w:rPr>
          <w:rStyle w:val="Marquedecommentaire"/>
        </w:rPr>
        <w:commentReference w:id="1"/>
      </w:r>
      <w:r>
        <w:t xml:space="preserve">. Le quorum du quart des membres (22) étant atteint</w:t>
      </w:r>
      <w:r>
        <w:rPr>
          <w:rStyle w:val="Appelnotedebasdep"/>
        </w:rPr>
        <w:footnoteReference w:id="1"/>
      </w:r>
      <w:r>
        <w:t xml:space="preserve">, l’assemblée peut valablement délibérer.</w:t>
      </w:r>
    </w:p>
    <w:p>
      <w:pPr>
        <w:keepNext/>
        <w:spacing w:before="120" w:after="60"/>
      </w:pPr>
      <w:r>
        <w:rPr>
          <w:b/>
          <w:bCs/>
        </w:rPr>
        <w:t xml:space="preserve">Membres du conseil d’administration présents ou excusés</w:t>
      </w:r>
    </w:p>
    <w:p>
      <w:pPr>
        <w:spacing w:after="0"/>
        <w:sectPr>
          <w:headerReference w:type="default" r:id="rId1"/>
          <w:footerReference w:type="default" r:id="rId4"/>
          <w:type w:val="continuous"/>
          <w:pgSz w:w="11906" w:h="16838"/>
          <w:pgMar w:top="1418" w:right="1418" w:bottom="1247" w:left="1418" w:header="624" w:footer="567" w:gutter="0"/>
          <w:cols w:space="708"/>
          <w:docGrid w:linePitch="360"/>
        </w:sectPr>
      </w:pPr>
    </w:p>
    <w:p>
      <w:pPr>
        <w:numPr>
          <w:ilvl w:val="0"/>
          <w:numId w:val="2"/>
        </w:numPr>
        <w:spacing w:after="20"/>
      </w:pPr>
      <w:r>
        <w:t xml:space="preserve">Odile Ferrand (présidente)</w:t>
      </w:r>
    </w:p>
    <w:p>
      <w:pPr>
        <w:numPr>
          <w:ilvl w:val="0"/>
          <w:numId w:val="2"/>
        </w:numPr>
        <w:spacing w:after="20"/>
      </w:pPr>
      <w:r>
        <w:t xml:space="preserve">Karim Benali (secrétaire)</w:t>
      </w:r>
    </w:p>
    <w:p>
      <w:pPr>
        <w:numPr>
          <w:ilvl w:val="0"/>
          <w:numId w:val="2"/>
        </w:numPr>
        <w:spacing w:after="20"/>
      </w:pPr>
      <w:r>
        <w:t xml:space="preserve">Martine Leroy (trésorière)</w:t>
      </w:r>
    </w:p>
    <w:p>
      <w:pPr>
        <w:numPr>
          <w:ilvl w:val="0"/>
          <w:numId w:val="2"/>
        </w:numPr>
        <w:spacing w:after="20"/>
      </w:pPr>
      <w:r>
        <w:t xml:space="preserve">Paul Nguyen (vice-président)</w:t>
      </w:r>
    </w:p>
    <w:p>
      <w:pPr>
        <w:numPr>
          <w:ilvl w:val="0"/>
          <w:numId w:val="2"/>
        </w:numPr>
        <w:spacing w:after="20"/>
      </w:pPr>
      <w:r>
        <w:t xml:space="preserve">Sabine Morel</w:t>
      </w:r>
    </w:p>
    <w:p>
      <w:pPr>
        <w:numPr>
          <w:ilvl w:val="0"/>
          <w:numId w:val="2"/>
        </w:numPr>
        <w:spacing w:after="20"/>
      </w:pPr>
      <w:r>
        <w:t xml:space="preserve">Ahmed Haddad</w:t>
      </w:r>
    </w:p>
    <w:p>
      <w:pPr>
        <w:numPr>
          <w:ilvl w:val="0"/>
          <w:numId w:val="2"/>
        </w:numPr>
        <w:spacing w:after="20"/>
      </w:pPr>
      <w:r>
        <w:t xml:space="preserve">Louise Garnier – excusée</w:t>
      </w:r>
    </w:p>
    <w:p>
      <w:pPr>
        <w:numPr>
          <w:ilvl w:val="0"/>
          <w:numId w:val="2"/>
        </w:numPr>
        <w:spacing w:after="20"/>
      </w:pPr>
      <w:r>
        <w:t xml:space="preserve">Thomas Petit – excusé, pouvoir à S. Morel</w:t>
      </w:r>
    </w:p>
    <w:p>
      <w:pPr>
        <w:spacing w:after="0"/>
        <w:sectPr>
          <w:headerReference w:type="default" r:id="rId1"/>
          <w:footerReference w:type="default" r:id="rId4"/>
          <w:type w:val="continuous"/>
          <w:pgSz w:w="11906" w:h="16838"/>
          <w:pgMar w:top="1418" w:right="1418" w:bottom="1247" w:left="1418" w:header="624" w:footer="567" w:gutter="0"/>
          <w:cols w:num="2" w:space="567"/>
          <w:docGrid w:linePitch="360"/>
        </w:sectPr>
      </w:pPr>
    </w:p>
    <w:p>
      <w:pPr>
        <w:pStyle w:val="Titre1"/>
      </w:pPr>
      <w:r>
        <w:t xml:space="preserve">Ordre du jour</w:t>
      </w:r>
    </w:p>
    <w:p>
      <w:pPr>
        <w:numPr>
          <w:ilvl w:val="0"/>
          <w:numId w:val="3"/>
        </w:numPr>
        <w:spacing w:after="20"/>
      </w:pPr>
      <w:r>
        <w:t xml:space="preserve">Rapport moral de la présidente</w:t>
      </w:r>
    </w:p>
    <w:p>
      <w:pPr>
        <w:numPr>
          <w:ilvl w:val="0"/>
          <w:numId w:val="3"/>
        </w:numPr>
        <w:spacing w:after="20"/>
      </w:pPr>
      <w:r>
        <w:t xml:space="preserve">Rapport d’activité</w:t>
      </w:r>
    </w:p>
    <w:p>
      <w:pPr>
        <w:numPr>
          <w:ilvl w:val="0"/>
          <w:numId w:val="3"/>
        </w:numPr>
        <w:spacing w:after="20"/>
      </w:pPr>
      <w:r>
        <w:t xml:space="preserve">Rapport financier et affectation du résultat</w:t>
      </w:r>
    </w:p>
    <w:p>
      <w:pPr>
        <w:numPr>
          <w:ilvl w:val="0"/>
          <w:numId w:val="3"/>
        </w:numPr>
        <w:spacing w:after="20"/>
      </w:pPr>
      <w:r>
        <w:t xml:space="preserve">Projets 2026 et budget prévisionnel</w:t>
      </w:r>
    </w:p>
    <w:p>
      <w:pPr>
        <w:numPr>
          <w:ilvl w:val="0"/>
          <w:numId w:val="3"/>
        </w:numPr>
        <w:spacing w:after="20"/>
      </w:pPr>
      <w:r>
        <w:t xml:space="preserve">Montant de la cotisation 2027</w:t>
      </w:r>
    </w:p>
    <w:p>
      <w:pPr>
        <w:numPr>
          <w:ilvl w:val="0"/>
          <w:numId w:val="3"/>
        </w:numPr>
        <w:spacing w:after="20"/>
      </w:pPr>
      <w:r>
        <w:t xml:space="preserve">Renouvellement du tiers sortant du conseil d’administration</w:t>
      </w:r>
    </w:p>
    <w:p>
      <w:pPr>
        <w:numPr>
          <w:ilvl w:val="0"/>
          <w:numId w:val="3"/>
        </w:numPr>
        <w:spacing w:after="20"/>
      </w:pPr>
      <w:r>
        <w:t xml:space="preserve">Questions diverses</w:t>
      </w:r>
    </w:p>
    <w:p>
      <w:pPr>
        <w:pStyle w:val="Titre1"/>
      </w:pPr>
      <w:r>
        <w:t xml:space="preserve">Rapport moral</w:t>
      </w:r>
    </w:p>
    <w:p>
      <w:pPr>
        <w:jc w:val="both"/>
      </w:pPr>
      <w:r>
        <w:t xml:space="preserve">La présidente remercie les membres présents et rappelle que l’année 2025 a été marquée par l’ouverture de la deuxième parcelle, rue des Saules, et par l’arrivée de 23 nouveaux adhérents. Elle souligne l’implication des bénévoles lors des ateliers du mercredi et remercie la commune pour le prêt du local technique.</w:t>
      </w:r>
    </w:p>
    <w:p>
      <w:pPr>
        <w:pStyle w:val="Titre1"/>
      </w:pPr>
      <w:r>
        <w:t xml:space="preserve">Rapport d’activité</w:t>
      </w:r>
    </w:p>
    <w:p>
      <w:pPr>
        <w:pStyle w:val="Titre2"/>
      </w:pPr>
      <w:r>
        <w:t xml:space="preserve">Ateliers et animations</w:t>
      </w:r>
    </w:p>
    <w:p>
      <w:pPr>
        <w:jc w:val="both"/>
      </w:pPr>
      <w:commentRangeStart w:id="2"/>
      <w:r>
        <w:t xml:space="preserve">Quarante-deux ateliers ont été organisés</w:t>
      </w:r>
      <w:commentRangeEnd w:id="2"/>
      <w:r>
        <w:rPr>
          <w:rStyle w:val="Marquedecommentaire"/>
        </w:rPr>
        <w:commentReference w:id="2"/>
      </w:r>
      <w:r>
        <w:t xml:space="preserve">, dont dix-huit à destination des enfants de l’accueil de loisirs (312 participations au total). La fête des récoltes du 20 septembre a réuni environ 250 personnes.</w:t>
      </w:r>
    </w:p>
    <w:p>
      <w:pPr>
        <w:pStyle w:val="Titre2"/>
      </w:pPr>
      <w:r>
        <w:t xml:space="preserve">Partenariats</w:t>
      </w:r>
    </w:p>
    <w:p>
      <w:pPr>
        <w:jc w:val="both"/>
      </w:pPr>
      <w:r>
        <w:t xml:space="preserve">Le partenariat avec le collège des Trois-Rivières (club nature) a été reconduit ; une convention a été signée avec l’association Vélo Solidaire pour l’entretien des vélos-remorques.</w:t>
      </w:r>
    </w:p>
    <w:p>
      <w:pPr>
        <w:pStyle w:val="Titre1"/>
      </w:pPr>
      <w:r>
        <w:t xml:space="preserve">Rapport financier</w:t>
      </w:r>
    </w:p>
    <w:p>
      <w:pPr>
        <w:jc w:val="both"/>
      </w:pPr>
      <w:r>
        <w:t xml:space="preserve">La trésorière présente les comptes 2025 : produits 14 860 €, charges 13 925 €, soit un excédent de 935 €, qu’elle propose d’affecter au fonds de réserve.</w:t>
      </w:r>
    </w:p>
    <w:p>
      <w:pPr>
        <w:pStyle w:val="Titre1"/>
      </w:pPr>
      <w:r>
        <w:t xml:space="preserve">Votes</w:t>
      </w:r>
    </w:p>
    <w:tbl>
      <w:tblPr>
        <w:tblW w:w="9072"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3629"/>
        <w:gridCol w:w="907"/>
        <w:gridCol w:w="907"/>
        <w:gridCol w:w="907"/>
        <w:gridCol w:w="2722"/>
      </w:tblGrid>
      <w:tr>
        <w:trPr>
          <w:tblHeader/>
        </w:trPr>
        <w:tc>
          <w:tcPr>
            <w:tcW w:w="3629" w:type="dxa"/>
            <w:vMerge w:val="restart"/>
            <w:shd w:val="clear" w:color="auto" w:fill="DBE5F1"/>
            <w:vAlign w:val="center"/>
          </w:tcPr>
          <w:p>
            <w:pPr>
              <w:spacing w:after="0"/>
            </w:pPr>
            <w:r>
              <w:rPr>
                <w:b/>
                <w:bCs/>
              </w:rPr>
              <w:t xml:space="preserve">Résolution</w:t>
            </w:r>
          </w:p>
        </w:tc>
        <w:tc>
          <w:tcPr>
            <w:tcW w:w="2721" w:type="dxa"/>
            <w:gridSpan w:val="3"/>
            <w:shd w:val="clear" w:color="auto" w:fill="DBE5F1"/>
          </w:tcPr>
          <w:p>
            <w:pPr>
              <w:spacing w:after="0"/>
              <w:jc w:val="center"/>
            </w:pPr>
            <w:r>
              <w:rPr>
                <w:b/>
                <w:bCs/>
              </w:rPr>
              <w:t xml:space="preserve">Votes</w:t>
            </w:r>
          </w:p>
        </w:tc>
        <w:tc>
          <w:tcPr>
            <w:tcW w:w="2722" w:type="dxa"/>
            <w:vMerge w:val="restart"/>
            <w:shd w:val="clear" w:color="auto" w:fill="DBE5F1"/>
            <w:vAlign w:val="center"/>
          </w:tcPr>
          <w:p>
            <w:pPr>
              <w:spacing w:after="0"/>
            </w:pPr>
            <w:r>
              <w:rPr>
                <w:b/>
                <w:bCs/>
              </w:rPr>
              <w:t xml:space="preserve">Résultat</w:t>
            </w:r>
          </w:p>
        </w:tc>
      </w:tr>
      <w:tr>
        <w:trPr>
          <w:tblHeader/>
        </w:trPr>
        <w:tc>
          <w:tcPr>
            <w:tcW w:w="3629" w:type="dxa"/>
            <w:vMerge/>
            <w:shd w:val="clear" w:color="auto" w:fill="DBE5F1"/>
          </w:tcPr>
          <w:p/>
        </w:tc>
        <w:tc>
          <w:tcPr>
            <w:tcW w:w="907" w:type="dxa"/>
            <w:shd w:val="clear" w:color="auto" w:fill="DBE5F1"/>
          </w:tcPr>
          <w:p>
            <w:pPr>
              <w:spacing w:after="0"/>
              <w:jc w:val="center"/>
            </w:pPr>
            <w:r>
              <w:rPr>
                <w:b/>
                <w:bCs/>
              </w:rPr>
              <w:t xml:space="preserve">Pour</w:t>
            </w:r>
          </w:p>
        </w:tc>
        <w:tc>
          <w:tcPr>
            <w:tcW w:w="907" w:type="dxa"/>
            <w:shd w:val="clear" w:color="auto" w:fill="DBE5F1"/>
          </w:tcPr>
          <w:p>
            <w:pPr>
              <w:spacing w:after="0"/>
              <w:jc w:val="center"/>
            </w:pPr>
            <w:r>
              <w:rPr>
                <w:b/>
                <w:bCs/>
              </w:rPr>
              <w:t xml:space="preserve">Contre</w:t>
            </w:r>
          </w:p>
        </w:tc>
        <w:tc>
          <w:tcPr>
            <w:tcW w:w="907" w:type="dxa"/>
            <w:shd w:val="clear" w:color="auto" w:fill="DBE5F1"/>
          </w:tcPr>
          <w:p>
            <w:pPr>
              <w:spacing w:after="0"/>
              <w:jc w:val="center"/>
            </w:pPr>
            <w:r>
              <w:rPr>
                <w:b/>
                <w:bCs/>
              </w:rPr>
              <w:t xml:space="preserve">Abst.</w:t>
            </w:r>
          </w:p>
        </w:tc>
        <w:tc>
          <w:tcPr>
            <w:tcW w:w="2722" w:type="dxa"/>
            <w:vMerge/>
            <w:shd w:val="clear" w:color="auto" w:fill="DBE5F1"/>
          </w:tcPr>
          <w:p/>
        </w:tc>
      </w:tr>
      <w:tr>
        <w:tc>
          <w:tcPr>
            <w:tcW w:w="3629" w:type="dxa"/>
          </w:tcPr>
          <w:p>
            <w:pPr>
              <w:spacing w:after="0"/>
            </w:pPr>
            <w:r>
              <w:t xml:space="preserve">1. Approbation du rapport moral</w:t>
            </w:r>
          </w:p>
        </w:tc>
        <w:tc>
          <w:tcPr>
            <w:tcW w:w="907" w:type="dxa"/>
          </w:tcPr>
          <w:p>
            <w:pPr>
              <w:spacing w:after="0"/>
              <w:jc w:val="center"/>
            </w:pPr>
            <w:r>
              <w:t xml:space="preserve">53</w:t>
            </w:r>
          </w:p>
        </w:tc>
        <w:tc>
          <w:tcPr>
            <w:tcW w:w="907" w:type="dxa"/>
          </w:tcPr>
          <w:p>
            <w:pPr>
              <w:spacing w:after="0"/>
              <w:jc w:val="center"/>
            </w:pPr>
            <w:r>
              <w:t xml:space="preserve">0</w:t>
            </w:r>
          </w:p>
        </w:tc>
        <w:tc>
          <w:tcPr>
            <w:tcW w:w="907" w:type="dxa"/>
          </w:tcPr>
          <w:p>
            <w:pPr>
              <w:spacing w:after="0"/>
              <w:jc w:val="center"/>
            </w:pPr>
            <w:r>
              <w:t xml:space="preserve">0</w:t>
            </w:r>
          </w:p>
        </w:tc>
        <w:tc>
          <w:tcPr>
            <w:tcW w:w="2722" w:type="dxa"/>
          </w:tcPr>
          <w:p>
            <w:pPr>
              <w:spacing w:after="0"/>
            </w:pPr>
            <w:r>
              <w:rPr>
                <w:i/>
                <w:iCs/>
              </w:rPr>
              <w:t xml:space="preserve">Adoptée à l’unanimité</w:t>
            </w:r>
          </w:p>
        </w:tc>
      </w:tr>
      <w:tr>
        <w:tc>
          <w:tcPr>
            <w:tcW w:w="3629" w:type="dxa"/>
          </w:tcPr>
          <w:p>
            <w:pPr>
              <w:spacing w:after="0"/>
            </w:pPr>
            <w:r>
              <w:t xml:space="preserve">2. Approbation des comptes 2025</w:t>
            </w:r>
          </w:p>
        </w:tc>
        <w:tc>
          <w:tcPr>
            <w:tcW w:w="907" w:type="dxa"/>
          </w:tcPr>
          <w:p>
            <w:pPr>
              <w:spacing w:after="0"/>
              <w:jc w:val="center"/>
            </w:pPr>
            <w:r>
              <w:t xml:space="preserve">51</w:t>
            </w:r>
          </w:p>
        </w:tc>
        <w:tc>
          <w:tcPr>
            <w:tcW w:w="907" w:type="dxa"/>
          </w:tcPr>
          <w:p>
            <w:pPr>
              <w:spacing w:after="0"/>
              <w:jc w:val="center"/>
            </w:pPr>
            <w:r>
              <w:t xml:space="preserve">0</w:t>
            </w:r>
          </w:p>
        </w:tc>
        <w:tc>
          <w:tcPr>
            <w:tcW w:w="907" w:type="dxa"/>
          </w:tcPr>
          <w:p>
            <w:pPr>
              <w:spacing w:after="0"/>
              <w:jc w:val="center"/>
            </w:pPr>
            <w:r>
              <w:t xml:space="preserve">2</w:t>
            </w:r>
          </w:p>
        </w:tc>
        <w:tc>
          <w:tcPr>
            <w:tcW w:w="2722" w:type="dxa"/>
          </w:tcPr>
          <w:p>
            <w:pPr>
              <w:spacing w:after="0"/>
            </w:pPr>
            <w:r>
              <w:rPr>
                <w:i/>
                <w:iCs/>
              </w:rPr>
              <w:t xml:space="preserve">Adoptée</w:t>
            </w:r>
          </w:p>
        </w:tc>
      </w:tr>
      <w:tr>
        <w:tc>
          <w:tcPr>
            <w:tcW w:w="3629" w:type="dxa"/>
          </w:tcPr>
          <w:p>
            <w:pPr>
              <w:spacing w:after="0"/>
            </w:pPr>
            <w:r>
              <w:t xml:space="preserve">3. Affectation du résultat</w:t>
            </w:r>
          </w:p>
        </w:tc>
        <w:tc>
          <w:tcPr>
            <w:tcW w:w="907" w:type="dxa"/>
          </w:tcPr>
          <w:p>
            <w:pPr>
              <w:spacing w:after="0"/>
              <w:jc w:val="center"/>
            </w:pPr>
            <w:r>
              <w:t xml:space="preserve">52</w:t>
            </w:r>
          </w:p>
        </w:tc>
        <w:tc>
          <w:tcPr>
            <w:tcW w:w="907" w:type="dxa"/>
          </w:tcPr>
          <w:p>
            <w:pPr>
              <w:spacing w:after="0"/>
              <w:jc w:val="center"/>
            </w:pPr>
            <w:r>
              <w:t xml:space="preserve">1</w:t>
            </w:r>
          </w:p>
        </w:tc>
        <w:tc>
          <w:tcPr>
            <w:tcW w:w="907" w:type="dxa"/>
          </w:tcPr>
          <w:p>
            <w:pPr>
              <w:spacing w:after="0"/>
              <w:jc w:val="center"/>
            </w:pPr>
            <w:r>
              <w:t xml:space="preserve">0</w:t>
            </w:r>
          </w:p>
        </w:tc>
        <w:tc>
          <w:tcPr>
            <w:tcW w:w="2722" w:type="dxa"/>
          </w:tcPr>
          <w:p>
            <w:pPr>
              <w:spacing w:after="0"/>
            </w:pPr>
            <w:r>
              <w:rPr>
                <w:i/>
                <w:iCs/>
              </w:rPr>
              <w:t xml:space="preserve">Adoptée</w:t>
            </w:r>
          </w:p>
        </w:tc>
      </w:tr>
      <w:tr>
        <w:tc>
          <w:tcPr>
            <w:tcW w:w="3629" w:type="dxa"/>
          </w:tcPr>
          <w:p>
            <w:pPr>
              <w:spacing w:after="0"/>
            </w:pPr>
            <w:r>
              <w:t xml:space="preserve">4. Cotisation 2027 portée à 20 €</w:t>
            </w:r>
          </w:p>
        </w:tc>
        <w:tc>
          <w:tcPr>
            <w:tcW w:w="907" w:type="dxa"/>
          </w:tcPr>
          <w:p>
            <w:pPr>
              <w:spacing w:after="0"/>
              <w:jc w:val="center"/>
            </w:pPr>
            <w:r>
              <w:t xml:space="preserve">38</w:t>
            </w:r>
          </w:p>
        </w:tc>
        <w:tc>
          <w:tcPr>
            <w:tcW w:w="907" w:type="dxa"/>
          </w:tcPr>
          <w:p>
            <w:pPr>
              <w:spacing w:after="0"/>
              <w:jc w:val="center"/>
            </w:pPr>
            <w:r>
              <w:t xml:space="preserve">9</w:t>
            </w:r>
          </w:p>
        </w:tc>
        <w:tc>
          <w:tcPr>
            <w:tcW w:w="907" w:type="dxa"/>
          </w:tcPr>
          <w:p>
            <w:pPr>
              <w:spacing w:after="0"/>
              <w:jc w:val="center"/>
            </w:pPr>
            <w:r>
              <w:t xml:space="preserve">6</w:t>
            </w:r>
          </w:p>
        </w:tc>
        <w:tc>
          <w:tcPr>
            <w:tcW w:w="2722" w:type="dxa"/>
          </w:tcPr>
          <w:p>
            <w:pPr>
              <w:spacing w:after="0"/>
            </w:pPr>
            <w:r>
              <w:rPr>
                <w:i/>
                <w:iCs/>
              </w:rPr>
              <w:t xml:space="preserve">Adoptée</w:t>
            </w:r>
          </w:p>
        </w:tc>
      </w:tr>
      <w:tr>
        <w:tc>
          <w:tcPr>
            <w:tcW w:w="3629" w:type="dxa"/>
          </w:tcPr>
          <w:p>
            <w:pPr>
              <w:spacing w:after="0"/>
            </w:pPr>
            <w:r>
              <w:t xml:space="preserve">5. Budget prévisionnel 2026</w:t>
            </w:r>
          </w:p>
        </w:tc>
        <w:tc>
          <w:tcPr>
            <w:tcW w:w="907" w:type="dxa"/>
          </w:tcPr>
          <w:p>
            <w:pPr>
              <w:spacing w:after="0"/>
              <w:jc w:val="center"/>
            </w:pPr>
            <w:r>
              <w:t xml:space="preserve">50</w:t>
            </w:r>
          </w:p>
        </w:tc>
        <w:tc>
          <w:tcPr>
            <w:tcW w:w="907" w:type="dxa"/>
          </w:tcPr>
          <w:p>
            <w:pPr>
              <w:spacing w:after="0"/>
              <w:jc w:val="center"/>
            </w:pPr>
            <w:r>
              <w:t xml:space="preserve">0</w:t>
            </w:r>
          </w:p>
        </w:tc>
        <w:tc>
          <w:tcPr>
            <w:tcW w:w="907" w:type="dxa"/>
          </w:tcPr>
          <w:p>
            <w:pPr>
              <w:spacing w:after="0"/>
              <w:jc w:val="center"/>
            </w:pPr>
            <w:r>
              <w:t xml:space="preserve">3</w:t>
            </w:r>
          </w:p>
        </w:tc>
        <w:tc>
          <w:tcPr>
            <w:tcW w:w="2722" w:type="dxa"/>
          </w:tcPr>
          <w:p>
            <w:pPr>
              <w:spacing w:after="0"/>
            </w:pPr>
            <w:r>
              <w:rPr>
                <w:i/>
                <w:iCs/>
              </w:rPr>
              <w:t xml:space="preserve">Adoptée</w:t>
            </w:r>
          </w:p>
        </w:tc>
      </w:tr>
    </w:tbl>
    <w:p>
      <w:pPr>
        <w:pStyle w:val="Titre2"/>
      </w:pPr>
      <w:r>
        <w:t xml:space="preserve">Élection au conseil d’administration</w:t>
      </w:r>
    </w:p>
    <w:p>
      <w:pPr>
        <w:jc w:val="both"/>
      </w:pPr>
      <w:r>
        <w:t xml:space="preserve">Sont élus pour trois ans : Sabine Morel, Ahmed Haddad (renouvellement) et Julie Lambert (nouvelle candidate), à la majorité des suffrages exprimés.</w:t>
      </w:r>
    </w:p>
    <w:p>
      <w:pPr>
        <w:pStyle w:val="Titre1"/>
      </w:pPr>
      <w:r>
        <w:t xml:space="preserve">Questions diverses</w:t>
      </w:r>
    </w:p>
    <w:p>
      <w:pPr>
        <w:jc w:val="both"/>
      </w:pPr>
      <w:r>
        <w:t xml:space="preserve">Un adhérent demande l’installation d’un récupérateur d’eau de pluie supplémentaire ; le conseil étudiera un devis avant l’été. L’ordre du jour étant épuisé, la séance est levée à 17 h 15.</w:t>
      </w:r>
    </w:p>
    <w:p>
      <w:pPr>
        <w:spacing w:after="240"/>
      </w:pPr>
    </w:p>
    <w:tbl>
      <w:tblPr>
        <w:tblW w:w="9072" w:type="dxa"/>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trPr>
          <w:cantSplit/>
        </w:trPr>
        <w:tc>
          <w:tcPr>
            <w:tcW w:w="4536" w:type="dxa"/>
          </w:tcPr>
          <w:p>
            <w:pPr>
              <w:spacing w:after="600"/>
              <w:jc w:val="center"/>
            </w:pPr>
            <w:r>
              <w:rPr>
                <w:b/>
                <w:bCs/>
              </w:rPr>
              <w:t xml:space="preserve">La présidente</w:t>
            </w:r>
          </w:p>
          <w:p>
            <w:pPr>
              <w:spacing w:after="0"/>
              <w:jc w:val="center"/>
            </w:pPr>
            <w:r>
              <w:t xml:space="preserve">Odile Ferrand</w:t>
            </w:r>
          </w:p>
        </w:tc>
        <w:tc>
          <w:tcPr>
            <w:tcW w:w="4536" w:type="dxa"/>
          </w:tcPr>
          <w:p>
            <w:pPr>
              <w:spacing w:after="600"/>
              <w:jc w:val="center"/>
            </w:pPr>
            <w:r>
              <w:rPr>
                <w:b/>
                <w:bCs/>
              </w:rPr>
              <w:t xml:space="preserve">Le secrétaire de séance</w:t>
            </w:r>
          </w:p>
          <w:p>
            <w:pPr>
              <w:spacing w:after="0"/>
              <w:jc w:val="center"/>
            </w:pPr>
            <w:r>
              <w:t xml:space="preserve">Karim Benali</w:t>
            </w:r>
          </w:p>
        </w:tc>
      </w:tr>
    </w:tbl>
    <w:sectPr>
      <w:headerReference w:type="default" r:id="rId1"/>
      <w:footerReference w:type="default" r:id="rId4"/>
      <w:type w:val="continuous"/>
      <w:pgSz w:w="11906" w:h="16838"/>
      <w:pgMar w:top="1418" w:right="1418" w:bottom="1247" w:left="1418" w:header="624" w:footer="56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comment w:id="0" w:author="Martine Leroy" w:date="2026-04-02T18:12:00Z" w:initials="ML">
    <w:p w14:paraId="1C000000" w14:textId="77777777">
      <w:pPr>
        <w:pStyle w:val="Commentaire"/>
      </w:pPr>
      <w:r>
        <w:rPr>
          <w:rStyle w:val="Marquedecommentaire"/>
        </w:rPr>
        <w:annotationRef/>
      </w:r>
      <w:r>
        <w:t xml:space="preserve">Penser à préciser le nombre exact de pouvoirs reçus (12 ou 13 ?).</w:t>
      </w:r>
    </w:p>
  </w:comment>
  <w:comment w:id="1" w:author="Karim Benali" w:date="2026-04-03T09:40:00Z" w:initials="KB">
    <w:p w14:paraId="1C001003" w14:textId="77777777">
      <w:pPr>
        <w:pStyle w:val="Commentaire"/>
      </w:pPr>
      <w:r>
        <w:rPr>
          <w:rStyle w:val="Marquedecommentaire"/>
        </w:rPr>
        <w:annotationRef/>
      </w:r>
      <w:r>
        <w:t xml:space="preserve">Vérifié sur la feuille d’émargement : 12 pouvoirs.</w:t>
      </w:r>
    </w:p>
  </w:comment>
  <w:comment w:id="2" w:author="Odile Ferrand" w:date="2026-04-02T21:05:00Z" w:initials="OF">
    <w:p w14:paraId="1C002006" w14:textId="77777777">
      <w:pPr>
        <w:pStyle w:val="Commentaire"/>
      </w:pPr>
      <w:r>
        <w:rPr>
          <w:rStyle w:val="Marquedecommentaire"/>
        </w:rPr>
        <w:annotationRef/>
      </w:r>
      <w:r>
        <w:t xml:space="preserve">Ajouter les chiffres de fréquentation des ateliers enfants.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15:commentEx w15:paraId="1C000000" w15:done="0"/>
  <w15:commentEx w15:paraId="1C001003" w15:paraIdParent="1C000000" w15:done="0"/>
  <w15:commentEx w15:paraId="1C002006" w15:done="1"/>
</w15:commentsEx>
</file>

<file path=word/fontTable.xml><?xml version="1.0" encoding="utf-8"?>
<w:fo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font w:name="Calibri">
    <w:panose1 w:val="020F0502020204030204"/>
    <w:charset w:val="00"/>
    <w:family w:val="swiss"/>
    <w:pitch w:val="variable"/>
  </w:font>
  <w:font w:name="Cambria">
    <w:panose1 w:val="02040503050406030204"/>
    <w:charset w:val="00"/>
    <w:family w:val="roman"/>
    <w:pitch w:val="variable"/>
  </w:font>
  <w:font w:name="Cambria Math">
    <w:panose1 w:val="02040503050406030204"/>
    <w:charset w:val="00"/>
    <w:family w:val="roman"/>
    <w:pitch w:val="variable"/>
  </w:font>
  <w:font w:name="Courier New">
    <w:panose1 w:val="02070309020205020404"/>
    <w:charset w:val="00"/>
    <w:family w:val="modern"/>
    <w:pitch w:val="fixed"/>
  </w:font>
  <w:font w:name="Symbol">
    <w:panose1 w:val="05050102010706020507"/>
    <w:charset w:val="02"/>
    <w:family w:val="roman"/>
    <w:pitch w:val="variable"/>
  </w:font>
  <w:font w:name="Times New Roman">
    <w:panose1 w:val="02020603050405020304"/>
    <w:charset w:val="00"/>
    <w:family w:val="roman"/>
    <w:pitch w:val="variable"/>
  </w:font>
  <w:font w:name="Wingdings">
    <w:panose1 w:val="05000000000000000000"/>
    <w:charset w:val="02"/>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Pieddepage"/>
      <w:jc w:val="center"/>
    </w:pPr>
    <w:r>
      <w:t xml:space="preserve">Page </w:t>
    </w:r>
    <w:r>
      <w:fldChar w:fldCharType="begin"/>
    </w:r>
    <w:r>
      <w:instrText xml:space="preserve"> PAGE </w:instrText>
    </w:r>
    <w:r>
      <w:fldChar w:fldCharType="separate"/>
    </w:r>
    <w:r>
      <w:t xml:space="preserve">1</w:t>
    </w:r>
    <w:r>
      <w:fldChar w:fldCharType="end"/>
    </w:r>
    <w:r>
      <w:t xml:space="preserve"> sur </w:t>
    </w:r>
    <w:r>
      <w:fldChar w:fldCharType="begin"/>
    </w:r>
    <w:r>
      <w:instrText xml:space="preserve"> NUMPAGES </w:instrText>
    </w:r>
    <w:r>
      <w:fldChar w:fldCharType="separate"/>
    </w:r>
    <w:r>
      <w:t xml:space="preserve">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Notedebasdepage"/>
      </w:pPr>
      <w:r>
        <w:rPr>
          <w:rStyle w:val="Appelnotedebasdep"/>
        </w:rPr>
        <w:footnoteRef/>
      </w:r>
      <w:r>
        <w:t xml:space="preserve"> </w:t>
      </w:r>
      <w:r>
        <w:t xml:space="preserve">Article 10 des statuts : « L’assemblée générale ne délibère valablement que si le quart au moins des membres est présent ou représenté.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En-tte"/>
      <w:pBdr>
        <w:bottom w:val="single" w:sz="4" w:space="1" w:color="4F81BD"/>
      </w:pBdr>
      <w:tabs>
        <w:tab w:val="clear" w:pos="4536"/>
        <w:tab w:val="right" w:pos="9072"/>
      </w:tabs>
    </w:pPr>
    <w:r>
      <w:rPr>
        <w:b/>
        <w:bCs/>
        <w:color w:val="365F91"/>
        <w:sz w:val="18"/>
        <w:szCs w:val="18"/>
      </w:rPr>
      <w:t xml:space="preserve">Les Jardins partagés du Moulin</w:t>
    </w:r>
    <w:r>
      <w:tab/>
    </w:r>
    <w:r>
      <w:rPr>
        <w:color w:val="365F91"/>
        <w:sz w:val="18"/>
        <w:szCs w:val="18"/>
      </w:rPr>
      <w:t xml:space="preserve">Compte rendu – AG du 28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abstractNum w:abstractNumId="0" w15:restartNumberingAfterBreak="0">
    <w:nsid w:val="1A2B0000"/>
    <w:multiLevelType w:val="multilevel"/>
    <w:tmpl w:val="5C3D0000"/>
    <w:lvl w:ilvl="0">
      <w:start w:val="1"/>
      <w:numFmt w:val="decimal"/>
      <w:pStyle w:val="Titre1"/>
      <w:lvlText w:val="%1."/>
      <w:lvlJc w:val="left"/>
      <w:pPr>
        <w:ind w:left="432" w:hanging="432"/>
      </w:pPr>
    </w:lvl>
    <w:lvl w:ilvl="1">
      <w:start w:val="1"/>
      <w:numFmt w:val="decimal"/>
      <w:pStyle w:val="Titre2"/>
      <w:isLgl/>
      <w:lvlText w:val="%1.%2."/>
      <w:lvlJc w:val="left"/>
      <w:pPr>
        <w:ind w:left="576" w:hanging="576"/>
      </w:pPr>
    </w:lvl>
    <w:lvl w:ilvl="2">
      <w:start w:val="1"/>
      <w:numFmt w:val="decimal"/>
      <w:pStyle w:val="Titre3"/>
      <w:isLgl/>
      <w:lvlText w:val="%1.%2.%3."/>
      <w:lvlJc w:val="left"/>
      <w:pPr>
        <w:ind w:left="720" w:hanging="720"/>
      </w:pPr>
    </w:lvl>
    <w:lvl w:ilvl="3">
      <w:start w:val="1"/>
      <w:numFmt w:val="decimal"/>
      <w:isLgl/>
      <w:lvlText w:val=""/>
      <w:lvlJc w:val="left"/>
      <w:pPr>
        <w:ind w:left="864" w:hanging="864"/>
      </w:pPr>
    </w:lvl>
    <w:lvl w:ilvl="4">
      <w:start w:val="1"/>
      <w:numFmt w:val="decimal"/>
      <w:isLgl/>
      <w:lvlText w:val=""/>
      <w:lvlJc w:val="left"/>
      <w:pPr>
        <w:ind w:left="1008" w:hanging="1008"/>
      </w:pPr>
    </w:lvl>
    <w:lvl w:ilvl="5">
      <w:start w:val="1"/>
      <w:numFmt w:val="decimal"/>
      <w:isLgl/>
      <w:lvlText w:val=""/>
      <w:lvlJc w:val="left"/>
      <w:pPr>
        <w:ind w:left="1152" w:hanging="1152"/>
      </w:pPr>
    </w:lvl>
    <w:lvl w:ilvl="6">
      <w:start w:val="1"/>
      <w:numFmt w:val="decimal"/>
      <w:isLgl/>
      <w:lvlText w:val=""/>
      <w:lvlJc w:val="left"/>
      <w:pPr>
        <w:ind w:left="1296" w:hanging="1296"/>
      </w:pPr>
    </w:lvl>
    <w:lvl w:ilvl="7">
      <w:start w:val="1"/>
      <w:numFmt w:val="decimal"/>
      <w:isLgl/>
      <w:lvlText w:val=""/>
      <w:lvlJc w:val="left"/>
      <w:pPr>
        <w:ind w:left="1440" w:hanging="1440"/>
      </w:pPr>
    </w:lvl>
    <w:lvl w:ilvl="8">
      <w:start w:val="1"/>
      <w:numFmt w:val="decimal"/>
      <w:isLgl/>
      <w:lvlText w:val=""/>
      <w:lvlJc w:val="left"/>
      <w:pPr>
        <w:ind w:left="1584" w:hanging="1584"/>
      </w:pPr>
    </w:lvl>
  </w:abstractNum>
  <w:abstractNum w:abstractNumId="1" w15:restartNumberingAfterBreak="0">
    <w:nsid w:val="1A2B1EEF"/>
    <w:multiLevelType w:val="hybridMultilevel"/>
    <w:tmpl w:val="5C3E99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A2B3DDE"/>
    <w:multiLevelType w:val="hybridMultilevel"/>
    <w:tmpl w:val="5C4032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zoom w:percent="100"/>
  <w:proofState w:spelling="clean" w:grammar="clean"/>
  <w:defaultTabStop w:val="708"/>
  <w:hyphenationZone w:val="425"/>
  <w:characterSpacingControl w:val="doNotCompress"/>
  <w:footnotePr>
    <w:footnote w:id="-1"/>
    <w:footnote w:id="0"/>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docDefaults>
    <w:rPrDefault>
      <w:rPr>
        <w:rFonts w:asciiTheme="minorHAnsi" w:eastAsiaTheme="minorHAnsi" w:hAnsiTheme="minorHAnsi" w:cstheme="minorBidi"/>
        <w:kern w:val="2"/>
        <w:sz w:val="22"/>
        <w:szCs w:val="22"/>
        <w:lang w:val="fr-F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Title" w:uiPriority="10" w:qFormat="1"/>
    <w:lsdException w:name="Table Grid" w:uiPriority="39"/>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1">
    <w:name w:val="heading 1"/>
    <w:basedOn w:val="Normal"/>
    <w:next w:val="Normal"/>
    <w:link w:val="Titre1Car"/>
    <w:uiPriority w:val="9"/>
    <w:qFormat/>
    <w:pPr>
      <w:keepNext/>
      <w:keepLines/>
      <w:numPr>
        <w:numId w:val="1"/>
      </w:numPr>
      <w:spacing w:before="280" w:after="80"/>
      <w:outlineLvl w:val="0"/>
    </w:pPr>
    <w:rPr>
      <w:rFonts w:asciiTheme="majorHAnsi" w:hAnsiTheme="majorHAnsi" w:eastAsiaTheme="majorEastAsia" w:cstheme="majorBidi"/>
      <w:b/>
      <w:bCs/>
      <w:color w:val="365F91"/>
      <w:sz w:val="26"/>
      <w:szCs w:val="26"/>
    </w:rPr>
  </w:style>
  <w:style w:type="character" w:styleId="Titre1Car">
    <w:name w:val="Titre 1 Car"/>
    <w:basedOn w:val="Policepardfaut"/>
    <w:link w:val="Titre1"/>
    <w:uiPriority w:val="9"/>
    <w:rPr>
      <w:rFonts w:asciiTheme="majorHAnsi" w:hAnsiTheme="majorHAnsi" w:eastAsiaTheme="majorEastAsia" w:cstheme="majorBidi"/>
      <w:b/>
      <w:bCs/>
      <w:color w:val="365F91"/>
      <w:sz w:val="26"/>
      <w:szCs w:val="26"/>
    </w:rPr>
  </w:style>
  <w:style w:type="paragraph" w:styleId="Titre2">
    <w:name w:val="heading 2"/>
    <w:basedOn w:val="Normal"/>
    <w:next w:val="Normal"/>
    <w:link w:val="Titre2Car"/>
    <w:uiPriority w:val="9"/>
    <w:qFormat/>
    <w:pPr>
      <w:keepNext/>
      <w:keepLines/>
      <w:numPr>
        <w:ilvl w:val="1"/>
        <w:numId w:val="1"/>
      </w:numPr>
      <w:spacing w:before="160" w:after="40"/>
      <w:outlineLvl w:val="1"/>
    </w:pPr>
    <w:rPr>
      <w:rFonts w:asciiTheme="majorHAnsi" w:hAnsiTheme="majorHAnsi" w:eastAsiaTheme="majorEastAsia" w:cstheme="majorBidi"/>
      <w:b/>
      <w:bCs/>
      <w:color w:val="4F81BD"/>
      <w:sz w:val="23"/>
      <w:szCs w:val="23"/>
    </w:rPr>
  </w:style>
  <w:style w:type="character" w:styleId="Titre2Car">
    <w:name w:val="Titre 2 Car"/>
    <w:basedOn w:val="Policepardfaut"/>
    <w:link w:val="Titre2"/>
    <w:uiPriority w:val="9"/>
    <w:rPr>
      <w:rFonts w:asciiTheme="majorHAnsi" w:hAnsiTheme="majorHAnsi" w:eastAsiaTheme="majorEastAsia" w:cstheme="majorBidi"/>
      <w:b/>
      <w:bCs/>
      <w:color w:val="4F81BD"/>
      <w:sz w:val="23"/>
      <w:szCs w:val="23"/>
    </w:rPr>
  </w:style>
  <w:style w:type="paragraph" w:styleId="Titre3">
    <w:name w:val="heading 3"/>
    <w:basedOn w:val="Normal"/>
    <w:next w:val="Normal"/>
    <w:link w:val="Titre3Car"/>
    <w:uiPriority w:val="9"/>
    <w:qFormat/>
    <w:pPr>
      <w:keepNext/>
      <w:keepLines/>
      <w:spacing w:before="40" w:after="0"/>
      <w:outlineLvl w:val="2"/>
    </w:pPr>
    <w:rPr>
      <w:rFonts w:asciiTheme="majorHAnsi" w:hAnsiTheme="majorHAnsi" w:eastAsiaTheme="majorEastAsia" w:cstheme="majorBidi"/>
      <w:color w:val="1F3763"/>
      <w:sz w:val="24"/>
      <w:szCs w:val="24"/>
    </w:rPr>
  </w:style>
  <w:style w:type="character" w:styleId="Titre3Car">
    <w:name w:val="Titre 3 Car"/>
    <w:basedOn w:val="Policepardfaut"/>
    <w:link w:val="Titre3"/>
    <w:uiPriority w:val="9"/>
    <w:rPr>
      <w:rFonts w:asciiTheme="majorHAnsi" w:hAnsiTheme="majorHAnsi" w:eastAsiaTheme="majorEastAsia" w:cstheme="majorBidi"/>
      <w:color w:val="1F3763"/>
      <w:sz w:val="24"/>
      <w:szCs w:val="24"/>
    </w:rPr>
  </w:style>
  <w:style w:type="paragraph" w:styleId="Titre">
    <w:name w:val="Title"/>
    <w:basedOn w:val="Normal"/>
    <w:next w:val="Normal"/>
    <w:link w:val="TitreCar"/>
    <w:uiPriority w:val="10"/>
    <w:qFormat/>
    <w:pPr>
      <w:spacing w:after="0" w:line="240" w:lineRule="auto"/>
      <w:contextualSpacing/>
    </w:pPr>
    <w:rPr>
      <w:rFonts w:asciiTheme="majorHAnsi" w:hAnsiTheme="majorHAnsi" w:eastAsiaTheme="majorEastAsia" w:cstheme="majorBidi"/>
      <w:color w:val="000000"/>
      <w:spacing w:val="-10"/>
      <w:kern w:val="28"/>
      <w:sz w:val="56"/>
      <w:spacing w:val="-10"/>
      <w:kern w:val="28"/>
      <w:szCs w:val="56"/>
    </w:rPr>
  </w:style>
  <w:style w:type="character" w:styleId="TitreCar">
    <w:name w:val="Titre Car"/>
    <w:basedOn w:val="Policepardfaut"/>
    <w:link w:val="Titre"/>
    <w:uiPriority w:val="10"/>
    <w:rPr>
      <w:rFonts w:asciiTheme="majorHAnsi" w:hAnsiTheme="majorHAnsi" w:eastAsiaTheme="majorEastAsia" w:cstheme="majorBidi"/>
      <w:color w:val="000000"/>
      <w:spacing w:val="-10"/>
      <w:kern w:val="28"/>
      <w:sz w:val="56"/>
      <w:spacing w:val="-10"/>
      <w:kern w:val="28"/>
      <w:szCs w:val="56"/>
    </w:rPr>
  </w:style>
  <w:style w:type="paragraph" w:styleId="Sous-titre">
    <w:name w:val="Subtitle"/>
    <w:basedOn w:val="Normal"/>
    <w:next w:val="Normal"/>
    <w:uiPriority w:val="11"/>
    <w:qFormat/>
    <w:pPr>
      <w:numPr>
        <w:ilvl w:val="1"/>
      </w:numPr>
    </w:pPr>
    <w:rPr>
      <w:color w:val="5A5A5A"/>
      <w:spacing w:val="15"/>
    </w:rPr>
  </w:style>
  <w:style w:type="paragraph" w:styleId="Paragraphedeliste">
    <w:name w:val="List Paragraph"/>
    <w:basedOn w:val="Normal"/>
    <w:uiPriority w:val="34"/>
    <w:qFormat/>
    <w:pPr>
      <w:ind w:left="720"/>
      <w:contextualSpacing/>
    </w:pPr>
  </w:style>
  <w:style w:type="paragraph" w:styleId="Sansinterligne">
    <w:name w:val="No Spacing"/>
    <w:uiPriority w:val="1"/>
    <w:qFormat/>
    <w:pPr>
      <w:spacing w:after="0" w:line="240" w:lineRule="auto"/>
    </w:pPr>
  </w:style>
  <w:style w:type="paragraph" w:styleId="En-tte">
    <w:name w:val="header"/>
    <w:basedOn w:val="Normal"/>
    <w:link w:val="En-tteCar"/>
    <w:uiPriority w:val="99"/>
    <w:semiHidden/>
    <w:unhideWhenUsed/>
    <w:pPr>
      <w:tabs>
        <w:tab w:val="center" w:pos="4536"/>
        <w:tab w:val="right" w:pos="9072"/>
      </w:tabs>
      <w:spacing w:after="0" w:line="240" w:lineRule="auto"/>
    </w:pPr>
  </w:style>
  <w:style w:type="character" w:styleId="En-tteCar">
    <w:name w:val="En-tête Car"/>
    <w:basedOn w:val="Policepardfaut"/>
    <w:link w:val="En-tte"/>
    <w:uiPriority w:val="99"/>
  </w:style>
  <w:style w:type="paragraph" w:styleId="Pieddepage">
    <w:name w:val="footer"/>
    <w:basedOn w:val="Normal"/>
    <w:link w:val="PieddepageCar"/>
    <w:uiPriority w:val="99"/>
    <w:semiHidden/>
    <w:unhideWhenUsed/>
    <w:pPr>
      <w:tabs>
        <w:tab w:val="center" w:pos="4536"/>
        <w:tab w:val="right" w:pos="9072"/>
      </w:tabs>
      <w:spacing w:after="0" w:line="240" w:lineRule="auto"/>
    </w:pPr>
  </w:style>
  <w:style w:type="character" w:styleId="PieddepageCar">
    <w:name w:val="Pied de page Car"/>
    <w:basedOn w:val="Policepardfaut"/>
    <w:link w:val="Pieddepage"/>
    <w:uiPriority w:val="99"/>
  </w:style>
  <w:style w:type="paragraph" w:styleId="Lgende">
    <w:name w:val="caption"/>
    <w:basedOn w:val="Normal"/>
    <w:next w:val="Normal"/>
    <w:uiPriority w:val="35"/>
    <w:semiHidden/>
    <w:unhideWhenUsed/>
    <w:qFormat/>
    <w:pPr>
      <w:spacing w:after="200" w:line="240" w:lineRule="auto"/>
    </w:pPr>
    <w:rPr>
      <w:i/>
      <w:iCs/>
      <w:color w:val="44546A"/>
      <w:sz w:val="18"/>
      <w:szCs w:val="18"/>
    </w:rPr>
  </w:style>
  <w:style w:type="paragraph" w:styleId="TM1">
    <w:name w:val="toc 1"/>
    <w:basedOn w:val="Normal"/>
    <w:next w:val="Normal"/>
    <w:uiPriority w:val="39"/>
    <w:semiHidden/>
    <w:unhideWhenUsed/>
    <w:pPr>
      <w:tabs>
        <w:tab w:val="right" w:leader="dot" w:pos="9062"/>
      </w:tabs>
      <w:spacing w:after="100"/>
    </w:pPr>
  </w:style>
  <w:style w:type="paragraph" w:styleId="TM2">
    <w:name w:val="toc 2"/>
    <w:basedOn w:val="Normal"/>
    <w:next w:val="Normal"/>
    <w:uiPriority w:val="39"/>
    <w:semiHidden/>
    <w:unhideWhenUsed/>
    <w:pPr>
      <w:tabs>
        <w:tab w:val="right" w:leader="dot" w:pos="9062"/>
      </w:tabs>
      <w:spacing w:after="100"/>
      <w:ind w:left="220"/>
    </w:pPr>
  </w:style>
  <w:style w:type="paragraph" w:styleId="TM3">
    <w:name w:val="toc 3"/>
    <w:basedOn w:val="Normal"/>
    <w:next w:val="Normal"/>
    <w:uiPriority w:val="39"/>
    <w:semiHidden/>
    <w:unhideWhenUsed/>
    <w:pPr>
      <w:tabs>
        <w:tab w:val="right" w:leader="dot" w:pos="9062"/>
      </w:tabs>
      <w:spacing w:after="100"/>
      <w:ind w:left="440"/>
    </w:pPr>
  </w:style>
  <w:style w:type="paragraph" w:styleId="Tabledesillustrations">
    <w:name w:val="table of figures"/>
    <w:basedOn w:val="Normal"/>
    <w:next w:val="Normal"/>
    <w:uiPriority w:val="99"/>
    <w:semiHidden/>
    <w:unhideWhenUsed/>
    <w:pPr>
      <w:spacing w:after="0"/>
    </w:pPr>
  </w:style>
  <w:style w:type="paragraph" w:styleId="En-ttedetabledesmatires">
    <w:name w:val="TOC Heading"/>
    <w:basedOn w:val="Titre1"/>
    <w:next w:val="Normal"/>
    <w:uiPriority w:val="39"/>
    <w:semiHidden/>
    <w:unhideWhenUsed/>
    <w:qFormat/>
    <w:pPr>
      <w:numPr>
        <w:numId w:val="0"/>
      </w:numPr>
      <w:outlineLvl w:val="9"/>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styleId="NotedebasdepageCar">
    <w:name w:val="Note de bas de page Car"/>
    <w:basedOn w:val="Policepardfaut"/>
    <w:link w:val="Notedebasdepage"/>
    <w:uiPriority w:val="99"/>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styleId="NotedefinCar">
    <w:name w:val="Note de fin Car"/>
    <w:basedOn w:val="Policepardfaut"/>
    <w:link w:val="Notedefin"/>
    <w:uiPriority w:val="99"/>
    <w:rPr>
      <w:sz w:val="20"/>
      <w:szCs w:val="20"/>
    </w:rPr>
  </w:style>
  <w:style w:type="character" w:styleId="Appeldenotedefin">
    <w:name w:val="endnote reference"/>
    <w:basedOn w:val="Policepardfaut"/>
    <w:uiPriority w:val="99"/>
    <w:semiHidden/>
    <w:unhideWhenUsed/>
    <w:rPr>
      <w:vertAlign w:val="superscript"/>
    </w:rPr>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pPr>
      <w:spacing w:line="240" w:lineRule="auto"/>
    </w:pPr>
    <w:rPr>
      <w:sz w:val="20"/>
      <w:szCs w:val="20"/>
    </w:rPr>
  </w:style>
  <w:style w:type="character" w:styleId="CommentaireCar">
    <w:name w:val="Commentaire Car"/>
    <w:basedOn w:val="Policepardfaut"/>
    <w:link w:val="Commentaire"/>
    <w:uiPriority w:val="99"/>
    <w:rPr>
      <w:sz w:val="20"/>
      <w:szCs w:val="20"/>
    </w:rPr>
  </w:style>
  <w:style w:type="character" w:styleId="Lienhypertexte">
    <w:name w:val="Hyperlink"/>
    <w:basedOn w:val="Policepardfaut"/>
    <w:uiPriority w:val="99"/>
    <w:semiHidden/>
    <w:unhideWhenUsed/>
    <w:rPr>
      <w:color w:val="0563C1" w:themeColor="hyperlink"/>
      <w:u w:val="single"/>
    </w:rPr>
  </w:style>
  <w:style w:type="character" w:styleId="Textedelespacerserv">
    <w:name w:val="Placeholder Text"/>
    <w:basedOn w:val="Policepardfaut"/>
    <w:uiPriority w:val="99"/>
    <w:semiHidden/>
    <w:unhideWhenUsed/>
    <w:rPr>
      <w:color w:val="808080"/>
    </w:rPr>
  </w:style>
  <w:style w:type="character" w:styleId="lev">
    <w:name w:val="Strong"/>
    <w:basedOn w:val="Policepardfaut"/>
    <w:uiPriority w:val="22"/>
    <w:qFormat/>
    <w:rPr>
      <w:b/>
      <w:bCs/>
    </w:rPr>
  </w:style>
  <w:style w:type="paragraph" w:styleId="Citation">
    <w:name w:val="Quote"/>
    <w:basedOn w:val="Normal"/>
    <w:next w:val="Normal"/>
    <w:uiPriority w:val="29"/>
    <w:qFormat/>
    <w:pPr>
      <w:spacing w:before="200" w:after="160"/>
      <w:ind w:left="864" w:right="864"/>
      <w:jc w:val="center"/>
    </w:pPr>
    <w:rPr>
      <w:i/>
      <w:iCs/>
      <w:color w:val="404040"/>
    </w:r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Accentuation1">
    <w:name w:val="Grid Table 4 Accent 1"/>
    <w:basedOn w:val="Tableau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band1Horz">
      <w:tblPr/>
      <w:tcPr>
        <w:shd w:val="clear" w:color="auto" w:fill="D9E2F3"/>
      </w:tcPr>
    </w:tblStylePr>
  </w:style>
  <w:style w:type="table" w:styleId="Tableaulistelgre-Accentuation2">
    <w:name w:val="List Table 2 Accent 2"/>
    <w:basedOn w:val="TableauNormal"/>
    <w:uiPriority w:val="47"/>
    <w:pPr>
      <w:spacing w:after="0" w:line="240" w:lineRule="auto"/>
    </w:pPr>
    <w:tblPr>
      <w:tblStyleRowBandSize w:val="1"/>
      <w:tblBorders>
        <w:top w:val="single" w:sz="4" w:space="0" w:color="F4B083"/>
        <w:bottom w:val="single" w:sz="4" w:space="0" w:color="F4B083"/>
        <w:insideH w:val="single" w:sz="4" w:space="0" w:color="F4B083"/>
      </w:tblBorders>
    </w:tblPr>
    <w:tblStylePr w:type="firstRow">
      <w:rPr>
        <w:b/>
        <w:bCs/>
      </w:rPr>
    </w:tblStylePr>
    <w:tblStylePr w:type="band1Horz">
      <w:tblPr/>
      <w:tcPr>
        <w:shd w:val="clear" w:color="auto" w:fill="FBE4D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header" Target="header1.xml"/><Relationship Id="rId4" Type="http://schemas.openxmlformats.org/officeDocument/2006/relationships/footer" Target="footer1.xml"/><Relationship Id="rId9" Type="http://schemas.openxmlformats.org/officeDocument/2006/relationships/footnotes" Target="footnotes.xml"/><Relationship Id="rId10" Type="http://schemas.openxmlformats.org/officeDocument/2006/relationships/comments" Target="comments.xml"/><Relationship Id="rId11"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472C4"/>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3</Pag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de l’assemblée générale 2026 – Les Jardins partagés du Moulin</dc:title>
  <dc:subject>Compte rendu d’AG</dc:subject>
  <dc:creator>Corpus provisoire ElixirOffice (contenu fictif)</dc:creator>
  <cp:keywords>association; AG; compte rendu</cp:keywords>
  <dc:description>Document genere - corpus provisoire, a remplacer par les documents reels.</dc:description>
  <cp:lastModifiedBy>Corpus provisoire ElixirOffice</cp:lastModifiedBy>
  <cp:revision>3</cp:revision>
  <dcterms:created xsi:type="dcterms:W3CDTF">2026-03-02T09:00:00Z</dcterms:created>
  <dcterms:modified xsi:type="dcterms:W3CDTF">2026-03-02T09:00:00Z</dcterms:modified>
  <cp:category/>
  <dc:language>fr-FR</dc:language>
  <cp:lastPrinted>2026-03-02T09:00:00Z</cp:lastPrinted>
</cp:coreProperties>
</file>