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body>
    <w:p>
      <w:pPr>
        <w:spacing w:after="60"/>
        <w:jc w:val="center"/>
      </w:pPr>
      <w:r>
        <w:rPr>
          <w:b/>
          <w:bCs/>
          <w:spacing w:val="60"/>
          <w:sz w:val="40"/>
          <w:szCs w:val="40"/>
        </w:rPr>
        <w:t xml:space="preserve">STATUTS</w:t>
      </w:r>
    </w:p>
    <w:p>
      <w:pPr>
        <w:spacing w:after="60"/>
        <w:jc w:val="center"/>
      </w:pPr>
      <w:r>
        <w:rPr>
          <w:i/>
          <w:iCs/>
          <w:sz w:val="28"/>
          <w:szCs w:val="28"/>
        </w:rPr>
        <w:t xml:space="preserve">de l’association « Les Jardins partagés du Moulin »</w:t>
      </w:r>
    </w:p>
    <w:p>
      <w:pPr>
        <w:pBdr>
          <w:bottom w:val="single" w:sz="6" w:space="12" w:color="000000"/>
        </w:pBdr>
        <w:spacing w:after="360"/>
        <w:jc w:val="center"/>
      </w:pPr>
      <w:r>
        <w:rPr>
          <w:sz w:val="22"/>
          <w:szCs w:val="22"/>
        </w:rPr>
        <w:t xml:space="preserve">Association déclarée régie par la loi du 1er juillet 1901</w:t>
      </w:r>
    </w:p>
    <w:p>
      <w:pPr>
        <w:pStyle w:val="Article"/>
        <w:numPr>
          <w:ilvl w:val="0"/>
          <w:numId w:val="1"/>
        </w:numPr>
      </w:pPr>
      <w:r>
        <w:t xml:space="preserve">Constitution et dénomination</w:t>
      </w:r>
    </w:p>
    <w:p>
      <w:pPr>
        <w:jc w:val="both"/>
      </w:pPr>
      <w:r>
        <w:t xml:space="preserve">Il est fondé entre les adhérents aux présents statuts une association régie par la loi du 1er juillet 1901</w:t>
      </w:r>
      <w:r>
        <w:rPr>
          <w:rStyle w:val="Appelnotedebasdep"/>
        </w:rPr>
        <w:footnoteReference w:id="1"/>
      </w:r>
      <w:r>
        <w:t xml:space="preserve"> et le décret du 16 août 1901</w:t>
      </w:r>
      <w:r>
        <w:rPr>
          <w:rStyle w:val="Appelnotedebasdep"/>
        </w:rPr>
        <w:footnoteReference w:id="2"/>
      </w:r>
      <w:r>
        <w:t xml:space="preserve">, ayant pour titre : « Les Jardins partagés du Moulin ».</w:t>
      </w:r>
    </w:p>
    <w:p>
      <w:pPr>
        <w:pStyle w:val="Article"/>
        <w:numPr>
          <w:ilvl w:val="0"/>
          <w:numId w:val="1"/>
        </w:numPr>
      </w:pPr>
      <w:r>
        <w:t xml:space="preserve">Objet</w:t>
      </w:r>
    </w:p>
    <w:p>
      <w:pPr>
        <w:jc w:val="both"/>
      </w:pPr>
      <w:r>
        <w:t xml:space="preserve">Cette association a pour objet de créer, aménager et animer des jardins collectifs ouverts à tous les habitants, de favoriser les échanges entre générations et cultures, de sensibiliser le public au jardinage respectueux de l’environnement et de contribuer à la vie sociale du quartier.</w:t>
      </w:r>
    </w:p>
    <w:p>
      <w:pPr>
        <w:pStyle w:val="Article"/>
        <w:numPr>
          <w:ilvl w:val="0"/>
          <w:numId w:val="1"/>
        </w:numPr>
      </w:pPr>
      <w:r>
        <w:t xml:space="preserve">Siège social</w:t>
      </w:r>
    </w:p>
    <w:p>
      <w:pPr>
        <w:jc w:val="both"/>
      </w:pPr>
      <w:r>
        <w:t xml:space="preserve">Le siège social est fixé à la maison des associations, 3 chemin du Moulin, 99120 Valmont-sur-Ourse. Il pourra être transféré par simple décision du conseil d’administration ; la ratification par l’assemblée générale sera nécessaire.</w:t>
      </w:r>
    </w:p>
    <w:p>
      <w:pPr>
        <w:pStyle w:val="Article"/>
        <w:numPr>
          <w:ilvl w:val="0"/>
          <w:numId w:val="1"/>
        </w:numPr>
      </w:pPr>
      <w:r>
        <w:t xml:space="preserve">Durée</w:t>
      </w:r>
    </w:p>
    <w:p>
      <w:pPr>
        <w:jc w:val="both"/>
      </w:pPr>
      <w:r>
        <w:t xml:space="preserve">La durée de l’association est illimitée.</w:t>
      </w:r>
    </w:p>
    <w:p>
      <w:pPr>
        <w:pStyle w:val="Article"/>
        <w:numPr>
          <w:ilvl w:val="0"/>
          <w:numId w:val="1"/>
        </w:numPr>
      </w:pPr>
      <w:r>
        <w:t xml:space="preserve">Composition</w:t>
      </w:r>
    </w:p>
    <w:p>
      <w:pPr>
        <w:jc w:val="both"/>
      </w:pPr>
      <w:r>
        <w:t xml:space="preserve">L’association se compose de :</w:t>
      </w:r>
    </w:p>
    <w:p>
      <w:pPr>
        <w:numPr>
          <w:ilvl w:val="0"/>
          <w:numId w:val="2"/>
        </w:numPr>
        <w:spacing w:after="40"/>
        <w:jc w:val="both"/>
      </w:pPr>
      <w:r>
        <w:t xml:space="preserve">membres actifs ou adhérents : personnes qui versent annuellement la cotisation fixée par l’assemblée générale et participent régulièrement aux activités ;</w:t>
      </w:r>
    </w:p>
    <w:p>
      <w:pPr>
        <w:numPr>
          <w:ilvl w:val="0"/>
          <w:numId w:val="2"/>
        </w:numPr>
        <w:spacing w:after="40"/>
        <w:jc w:val="both"/>
      </w:pPr>
      <w:r>
        <w:t xml:space="preserve">membres bienfaiteurs : personnes qui versent un don au moins égal à trois fois la cotisation ;</w:t>
      </w:r>
    </w:p>
    <w:p>
      <w:pPr>
        <w:numPr>
          <w:ilvl w:val="0"/>
          <w:numId w:val="2"/>
        </w:numPr>
        <w:spacing w:after="40"/>
        <w:jc w:val="both"/>
      </w:pPr>
      <w:r>
        <w:t xml:space="preserve">membres d’honneur : personnes qui ont rendu des services signalés à l’association ; ils sont dispensés de cotisation.</w:t>
      </w:r>
    </w:p>
    <w:p>
      <w:pPr>
        <w:pStyle w:val="Article"/>
        <w:numPr>
          <w:ilvl w:val="0"/>
          <w:numId w:val="1"/>
        </w:numPr>
      </w:pPr>
      <w:r>
        <w:t xml:space="preserve">Admission</w:t>
      </w:r>
    </w:p>
    <w:p>
      <w:pPr>
        <w:jc w:val="both"/>
      </w:pPr>
      <w:r>
        <w:t xml:space="preserve">Pour faire partie de l’association, il faut adhérer aux présents statuts et s’acquitter de la cotisation. Le conseil d’administration peut refuser une adhésion par décision motivée, notifiée à l’intéressé.</w:t>
      </w:r>
    </w:p>
    <w:p>
      <w:pPr>
        <w:pStyle w:val="Article"/>
        <w:numPr>
          <w:ilvl w:val="0"/>
          <w:numId w:val="1"/>
        </w:numPr>
      </w:pPr>
      <w:r>
        <w:t xml:space="preserve">Cotisation</w:t>
      </w:r>
    </w:p>
    <w:p>
      <w:pPr>
        <w:jc w:val="both"/>
      </w:pPr>
      <w:r>
        <w:t xml:space="preserve">Le montant de la cotisation annuelle est fixé chaque année par l’assemblée générale ordinaire, sur proposition du conseil d’administration. Un tarif réduit peut être prévu pour les étudiants, les demandeurs d’emploi et les mineurs.</w:t>
      </w:r>
    </w:p>
    <w:p>
      <w:pPr>
        <w:pStyle w:val="Article"/>
        <w:numPr>
          <w:ilvl w:val="0"/>
          <w:numId w:val="1"/>
        </w:numPr>
      </w:pPr>
      <w:r>
        <w:t xml:space="preserve">Perte de la qualité de membre</w:t>
      </w:r>
    </w:p>
    <w:p>
      <w:pPr>
        <w:jc w:val="both"/>
      </w:pPr>
      <w:r>
        <w:t xml:space="preserve">La qualité de membre se perd par :</w:t>
      </w:r>
    </w:p>
    <w:p>
      <w:pPr>
        <w:numPr>
          <w:ilvl w:val="0"/>
          <w:numId w:val="3"/>
        </w:numPr>
        <w:spacing w:after="40"/>
        <w:jc w:val="both"/>
      </w:pPr>
      <w:r>
        <w:t xml:space="preserve">la démission adressée par écrit au président ;</w:t>
      </w:r>
    </w:p>
    <w:p>
      <w:pPr>
        <w:numPr>
          <w:ilvl w:val="0"/>
          <w:numId w:val="3"/>
        </w:numPr>
        <w:spacing w:after="40"/>
        <w:jc w:val="both"/>
      </w:pPr>
      <w:r>
        <w:t xml:space="preserve">le décès ;</w:t>
      </w:r>
    </w:p>
    <w:p>
      <w:pPr>
        <w:numPr>
          <w:ilvl w:val="0"/>
          <w:numId w:val="3"/>
        </w:numPr>
        <w:spacing w:after="40"/>
        <w:jc w:val="both"/>
      </w:pPr>
      <w:r>
        <w:t xml:space="preserve">le non-paiement de la cotisation trois mois après son échéance ;</w:t>
      </w:r>
    </w:p>
    <w:p>
      <w:pPr>
        <w:numPr>
          <w:ilvl w:val="0"/>
          <w:numId w:val="3"/>
        </w:numPr>
        <w:spacing w:after="40"/>
        <w:jc w:val="both"/>
      </w:pPr>
      <w:r>
        <w:t xml:space="preserve">la radiation prononcée par le conseil d’administration pour motif grave, l’intéressé ayant été invité à fournir ses explications.</w:t>
      </w:r>
    </w:p>
    <w:p>
      <w:pPr>
        <w:pStyle w:val="Article"/>
        <w:numPr>
          <w:ilvl w:val="0"/>
          <w:numId w:val="1"/>
        </w:numPr>
      </w:pPr>
      <w:r>
        <w:t xml:space="preserve">Ressources</w:t>
      </w:r>
    </w:p>
    <w:p>
      <w:pPr>
        <w:jc w:val="both"/>
      </w:pPr>
      <w:r>
        <w:t xml:space="preserve">Les ressources de l’association comprennent : le montant des cotisations ; les subventions de l’État, des collectivités territoriales et des établissements publics ; les dons manuels ; le produit des manifestations ; toute autre ressource autorisée par les lois et règlements en vigueur.</w:t>
      </w:r>
    </w:p>
    <w:p>
      <w:pPr>
        <w:pStyle w:val="Article"/>
        <w:numPr>
          <w:ilvl w:val="0"/>
          <w:numId w:val="1"/>
        </w:numPr>
      </w:pPr>
      <w:r>
        <w:t xml:space="preserve">Assemblée générale ordinaire</w:t>
      </w:r>
    </w:p>
    <w:p>
      <w:pPr>
        <w:jc w:val="both"/>
      </w:pPr>
      <w:r>
        <w:t xml:space="preserve">L’assemblée générale ordinaire comprend tous les membres de l’association à jour de leur cotisation. Elle se réunit une fois par an. Quinze jours au moins avant la date fixée, les membres sont convoqués par courrier électronique ou postal ; l’ordre du jour figure sur la convocation.</w:t>
      </w:r>
    </w:p>
    <w:p>
      <w:pPr>
        <w:jc w:val="both"/>
      </w:pPr>
      <w:r>
        <w:t xml:space="preserve">Le président, assisté des membres du conseil, préside l’assemblée et expose la situation morale et l’activité de l’association. Le trésorier rend compte de sa gestion et soumet les comptes annuels à l’approbation de l’assemblée.</w:t>
      </w:r>
    </w:p>
    <w:p>
      <w:pPr>
        <w:jc w:val="both"/>
      </w:pPr>
      <w:r>
        <w:t xml:space="preserve">L’assemblée ne délibère valablement que si le quart au moins des membres est présent ou représenté. Chaque membre présent ne peut détenir plus de deux pouvoirs. Les décisions sont prises à la majorité des voix des membres présents ou représentés.</w:t>
      </w:r>
    </w:p>
    <w:p>
      <w:pPr>
        <w:pStyle w:val="Article"/>
        <w:numPr>
          <w:ilvl w:val="0"/>
          <w:numId w:val="1"/>
        </w:numPr>
      </w:pPr>
      <w:r>
        <w:t xml:space="preserve">Assemblée générale extraordinaire</w:t>
      </w:r>
    </w:p>
    <w:p>
      <w:pPr>
        <w:jc w:val="both"/>
      </w:pPr>
      <w:r>
        <w:t xml:space="preserve">Si besoin est, ou sur la demande de la moitié plus un des membres inscrits, le président peut convoquer une assemblée générale extraordinaire, notamment pour une modification des statuts ou la dissolution. Les délibérations sont prises à la majorité des deux tiers des membres présents ou représentés.</w:t>
      </w:r>
    </w:p>
    <w:p>
      <w:pPr>
        <w:pStyle w:val="Article"/>
        <w:numPr>
          <w:ilvl w:val="0"/>
          <w:numId w:val="1"/>
        </w:numPr>
      </w:pPr>
      <w:r>
        <w:t xml:space="preserve">Conseil d’administration</w:t>
      </w:r>
    </w:p>
    <w:p>
      <w:pPr>
        <w:jc w:val="both"/>
      </w:pPr>
      <w:r>
        <w:t xml:space="preserve">L’association est dirigée par un conseil de six à douze membres, élus pour trois années par l’assemblée générale. Les membres sont rééligibles. Le conseil est renouvelé chaque année par tiers. Il se réunit au moins une fois tous les trois mois, sur convocation du président ou à la demande du quart de ses membres.</w:t>
      </w:r>
    </w:p>
    <w:p>
      <w:pPr>
        <w:pStyle w:val="Article"/>
        <w:numPr>
          <w:ilvl w:val="0"/>
          <w:numId w:val="1"/>
        </w:numPr>
      </w:pPr>
      <w:r>
        <w:t xml:space="preserve">Bureau</w:t>
      </w:r>
    </w:p>
    <w:p>
      <w:pPr>
        <w:jc w:val="both"/>
      </w:pPr>
      <w:r>
        <w:t xml:space="preserve">Le conseil d’administration élit parmi ses membres un bureau composé de :</w:t>
      </w:r>
    </w:p>
    <w:p>
      <w:pPr>
        <w:numPr>
          <w:ilvl w:val="0"/>
          <w:numId w:val="3"/>
        </w:numPr>
        <w:spacing w:after="40"/>
        <w:jc w:val="both"/>
      </w:pPr>
      <w:r>
        <w:t xml:space="preserve">un président et, s’il y a lieu, un vice-président ;</w:t>
      </w:r>
    </w:p>
    <w:p>
      <w:pPr>
        <w:numPr>
          <w:ilvl w:val="0"/>
          <w:numId w:val="3"/>
        </w:numPr>
        <w:spacing w:after="40"/>
        <w:jc w:val="both"/>
      </w:pPr>
      <w:r>
        <w:t xml:space="preserve">un secrétaire et, s’il y a lieu, un secrétaire adjoint ;</w:t>
      </w:r>
    </w:p>
    <w:p>
      <w:pPr>
        <w:numPr>
          <w:ilvl w:val="0"/>
          <w:numId w:val="3"/>
        </w:numPr>
        <w:spacing w:after="40"/>
        <w:jc w:val="both"/>
      </w:pPr>
      <w:r>
        <w:t xml:space="preserve">un trésorier et, si besoin est, un trésorier adjoint.</w:t>
      </w:r>
    </w:p>
    <w:p>
      <w:pPr>
        <w:pStyle w:val="Article"/>
        <w:numPr>
          <w:ilvl w:val="0"/>
          <w:numId w:val="1"/>
        </w:numPr>
      </w:pPr>
      <w:r>
        <w:t xml:space="preserve">Indemnités</w:t>
      </w:r>
    </w:p>
    <w:p>
      <w:pPr>
        <w:jc w:val="both"/>
      </w:pPr>
      <w:r>
        <w:t xml:space="preserve">Toutes les fonctions, y compris celles des membres du conseil d’administration et du bureau, sont gratuites et bénévoles. Seuls les frais occasionnés par l’accomplissement de leur mandat sont remboursés sur justificatifs.</w:t>
      </w:r>
    </w:p>
    <w:p>
      <w:pPr>
        <w:pStyle w:val="Article"/>
        <w:numPr>
          <w:ilvl w:val="0"/>
          <w:numId w:val="1"/>
        </w:numPr>
      </w:pPr>
      <w:r>
        <w:t xml:space="preserve">Règlement intérieur</w:t>
      </w:r>
    </w:p>
    <w:p>
      <w:pPr>
        <w:jc w:val="both"/>
      </w:pPr>
      <w:r>
        <w:t xml:space="preserve">Un règlement intérieur peut être établi par le conseil d’administration, qui le fait alors approuver par l’assemblée générale. Il précise notamment les règles d’attribution et d’usage des parcelles.</w:t>
      </w:r>
    </w:p>
    <w:p>
      <w:pPr>
        <w:pStyle w:val="Article"/>
        <w:numPr>
          <w:ilvl w:val="0"/>
          <w:numId w:val="1"/>
        </w:numPr>
      </w:pPr>
      <w:r>
        <w:t xml:space="preserve">Dissolution</w:t>
      </w:r>
    </w:p>
    <w:p>
      <w:pPr>
        <w:jc w:val="both"/>
      </w:pPr>
      <w:r>
        <w:t xml:space="preserve">En cas de dissolution prononcée selon les modalités prévues à l’article 11, un ou plusieurs liquidateurs sont nommés, et l’actif net, s’il y a lieu, est dévolu à une association poursuivant des buts similaires</w:t>
      </w:r>
      <w:r>
        <w:rPr>
          <w:rStyle w:val="Appelnotedebasdep"/>
        </w:rPr>
        <w:footnoteReference w:id="3"/>
      </w:r>
      <w:r>
        <w:t xml:space="preserve">.</w:t>
      </w:r>
    </w:p>
    <w:p>
      <w:pPr>
        <w:keepNext/>
        <w:spacing w:before="360" w:after="240"/>
      </w:pPr>
      <w:r>
        <w:t xml:space="preserve">Fait à Valmont-sur-Ourse, le 28 mars 2026, en deux exemplaires originaux.</w:t>
      </w:r>
    </w:p>
    <w:tbl>
      <w:tblPr>
        <w:tblW w:w="9072" w:type="dxa"/>
        <w:tblBorders>
          <w:top w:val="nil"/>
          <w:left w:val="nil"/>
          <w:bottom w:val="nil"/>
          <w:right w:val="nil"/>
          <w:insideH w:val="nil"/>
          <w:insideV w:val="nil"/>
        </w:tblBorders>
        <w:tblLayout w:type="fixed"/>
        <w:tblLook w:val="04A0" w:firstRow="1" w:lastRow="0" w:firstColumn="1" w:lastColumn="0" w:noHBand="0" w:noVBand="1"/>
      </w:tblPr>
      <w:tblGrid>
        <w:gridCol w:w="4536"/>
        <w:gridCol w:w="4536"/>
      </w:tblGrid>
      <w:tr>
        <w:trPr>
          <w:cantSplit/>
        </w:trPr>
        <w:tc>
          <w:tcPr>
            <w:tcW w:w="4536" w:type="dxa"/>
          </w:tcPr>
          <w:p>
            <w:pPr>
              <w:spacing w:after="60"/>
              <w:jc w:val="center"/>
            </w:pPr>
            <w:r>
              <w:rPr>
                <w:b/>
                <w:bCs/>
              </w:rPr>
              <w:t xml:space="preserve">La présidente</w:t>
            </w:r>
          </w:p>
          <w:p>
            <w:pPr>
              <w:spacing w:after="480"/>
              <w:jc w:val="center"/>
            </w:pPr>
            <w:r>
              <w:t xml:space="preserve">Odile Ferrand</w:t>
            </w:r>
          </w:p>
          <w:p>
            <w:pPr>
              <w:tabs>
                <w:tab w:val="left" w:leader="underscore" w:pos="3686"/>
              </w:tabs>
              <w:spacing w:after="0"/>
            </w:pPr>
            <w:r>
              <w:tab/>
            </w:r>
          </w:p>
        </w:tc>
        <w:tc>
          <w:tcPr>
            <w:tcW w:w="4536" w:type="dxa"/>
          </w:tcPr>
          <w:p>
            <w:pPr>
              <w:spacing w:after="60"/>
              <w:jc w:val="center"/>
            </w:pPr>
            <w:r>
              <w:rPr>
                <w:b/>
                <w:bCs/>
              </w:rPr>
              <w:t xml:space="preserve">Le secrétaire</w:t>
            </w:r>
          </w:p>
          <w:p>
            <w:pPr>
              <w:spacing w:after="480"/>
              <w:jc w:val="center"/>
            </w:pPr>
            <w:r>
              <w:t xml:space="preserve">Karim Benali</w:t>
            </w:r>
          </w:p>
          <w:p>
            <w:pPr>
              <w:tabs>
                <w:tab w:val="left" w:leader="underscore" w:pos="3686"/>
              </w:tabs>
              <w:spacing w:after="0"/>
            </w:pPr>
            <w:r>
              <w:tab/>
            </w:r>
          </w:p>
        </w:tc>
      </w:tr>
    </w:tbl>
    <w:sectPr>
      <w:footerReference w:type="default" r:id="rId1"/>
      <w:footerReference w:type="even" r:id="rId4"/>
      <w:pgSz w:w="11906" w:h="16838"/>
      <w:pgMar w:top="1418" w:right="1134" w:bottom="1418" w:left="1418" w:header="709" w:footer="709" w:gutter="284"/>
      <w:cols w:space="708"/>
      <w:docGrid w:linePitch="360"/>
    </w:sectPr>
  </w:body>
</w:document>
</file>

<file path=word/fontTable.xml><?xml version="1.0" encoding="utf-8"?>
<w:fo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nt w:name="Calibri">
    <w:panose1 w:val="020F0502020204030204"/>
    <w:charset w:val="00"/>
    <w:family w:val="swiss"/>
    <w:pitch w:val="variable"/>
  </w:font>
  <w:font w:name="Calibri Light">
    <w:panose1 w:val="020F0302020204030204"/>
    <w:charset w:val="00"/>
    <w:family w:val="swiss"/>
    <w:pitch w:val="variable"/>
  </w:font>
  <w:font w:name="Cambria Math">
    <w:panose1 w:val="02040503050406030204"/>
    <w:charset w:val="00"/>
    <w:family w:val="roman"/>
    <w:pitch w:val="variable"/>
  </w:font>
  <w:font w:name="Courier New">
    <w:panose1 w:val="02070309020205020404"/>
    <w:charset w:val="00"/>
    <w:family w:val="modern"/>
    <w:pitch w:val="fixed"/>
  </w:font>
  <w:font w:name="Symbol">
    <w:panose1 w:val="05050102010706020507"/>
    <w:charset w:val="02"/>
    <w:family w:val="roman"/>
    <w:pitch w:val="variable"/>
  </w:font>
  <w:font w:name="Times New Roman">
    <w:panose1 w:val="02020603050405020304"/>
    <w:charset w:val="00"/>
    <w:family w:val="roman"/>
    <w:pitch w:val="variable"/>
  </w:font>
  <w:font w:name="Wingdings">
    <w:panose1 w:val="05000000000000000000"/>
    <w:charset w:val="02"/>
    <w:family w:val="auto"/>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tabs>
        <w:tab w:val="clear" w:pos="4536"/>
        <w:tab w:val="right" w:pos="9072"/>
      </w:tabs>
    </w:pPr>
    <w:r>
      <w:rPr>
        <w:i/>
        <w:iCs/>
        <w:sz w:val="18"/>
        <w:szCs w:val="18"/>
      </w:rPr>
      <w:t xml:space="preserve">Statuts – Les Jardins partagés du Moulin</w:t>
    </w:r>
    <w:r>
      <w:tab/>
    </w: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 xml:space="preserve">1</w:t>
    </w:r>
    <w:r>
      <w:rPr>
        <w:b/>
        <w:bCs/>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p>
    <w:pPr>
      <w:pStyle w:val="Pieddepage"/>
      <w:tabs>
        <w:tab w:val="clear" w:pos="4536"/>
        <w:tab w:val="right" w:pos="9072"/>
      </w:tabs>
    </w:pPr>
    <w:r>
      <w:rPr>
        <w:b/>
        <w:bCs/>
        <w:sz w:val="20"/>
        <w:szCs w:val="20"/>
      </w:rPr>
      <w:fldChar w:fldCharType="begin"/>
    </w:r>
    <w:r>
      <w:rPr>
        <w:b/>
        <w:bCs/>
        <w:sz w:val="20"/>
        <w:szCs w:val="20"/>
      </w:rPr>
      <w:instrText xml:space="preserve"> PAGE </w:instrText>
    </w:r>
    <w:r>
      <w:rPr>
        <w:b/>
        <w:bCs/>
        <w:sz w:val="20"/>
        <w:szCs w:val="20"/>
      </w:rPr>
      <w:fldChar w:fldCharType="separate"/>
    </w:r>
    <w:r>
      <w:rPr>
        <w:b/>
        <w:bCs/>
        <w:sz w:val="20"/>
        <w:szCs w:val="20"/>
      </w:rPr>
      <w:t xml:space="preserve">2</w:t>
    </w:r>
    <w:r>
      <w:rPr>
        <w:b/>
        <w:bCs/>
        <w:sz w:val="20"/>
        <w:szCs w:val="20"/>
      </w:rPr>
      <w:fldChar w:fldCharType="end"/>
    </w:r>
    <w:r>
      <w:tab/>
    </w:r>
    <w:r>
      <w:rPr>
        <w:i/>
        <w:iCs/>
        <w:sz w:val="18"/>
        <w:szCs w:val="18"/>
      </w:rPr>
      <w:t xml:space="preserve">Statuts adoptés le 14 mars 2021, modifiés le 28 mars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Notedebasdepage"/>
      </w:pPr>
      <w:r>
        <w:rPr>
          <w:rStyle w:val="Appelnotedebasdep"/>
        </w:rPr>
        <w:footnoteRef/>
      </w:r>
      <w:r>
        <w:t xml:space="preserve"> </w:t>
      </w:r>
      <w:r>
        <w:t xml:space="preserve">Loi du 1er juillet 1901 relative au contrat d’association, publiée au Journal officiel du 2 juillet 1901.</w:t>
      </w:r>
    </w:p>
  </w:footnote>
  <w:footnote w:id="2">
    <w:p>
      <w:pPr>
        <w:pStyle w:val="Notedebasdepage"/>
      </w:pPr>
      <w:r>
        <w:rPr>
          <w:rStyle w:val="Appelnotedebasdep"/>
        </w:rPr>
        <w:footnoteRef/>
      </w:r>
      <w:r>
        <w:t xml:space="preserve"> </w:t>
      </w:r>
      <w:r>
        <w:t xml:space="preserve">Décret du 16 août 1901 pris pour l’exécution de la loi du 1er juillet 1901.</w:t>
      </w:r>
    </w:p>
  </w:footnote>
  <w:footnote w:id="3">
    <w:p>
      <w:pPr>
        <w:pStyle w:val="Notedebasdepage"/>
      </w:pPr>
      <w:r>
        <w:rPr>
          <w:rStyle w:val="Appelnotedebasdep"/>
        </w:rPr>
        <w:footnoteRef/>
      </w:r>
      <w:r>
        <w:t xml:space="preserve"> </w:t>
      </w:r>
      <w:r>
        <w:t xml:space="preserve">L’actif net ne peut en aucun cas être réparti entre les membres (article 9 de la loi du 1er juillet 1901).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abstractNum w:abstractNumId="0" w15:restartNumberingAfterBreak="0">
    <w:nsid w:val="1A2B0000"/>
    <w:multiLevelType w:val="multilevel"/>
    <w:tmpl w:val="5C3D0000"/>
    <w:lvl w:ilvl="0">
      <w:start w:val="1"/>
      <w:numFmt w:val="decimal"/>
      <w:pStyle w:val="Article"/>
      <w:suff w:val="space"/>
      <w:lvlText w:val="Article %1 –"/>
      <w:lvlJc w:val="left"/>
      <w:pPr>
        <w:ind w:left="0" w:hanging="0"/>
      </w:pPr>
    </w:lvl>
    <w:lvl w:ilvl="1">
      <w:start w:val="1"/>
      <w:numFmt w:val="decimal"/>
      <w:isLgl/>
      <w:suff w:val="space"/>
      <w:lvlText w:val=""/>
      <w:lvlJc w:val="left"/>
      <w:pPr>
        <w:ind w:left="576" w:hanging="576"/>
      </w:pPr>
    </w:lvl>
    <w:lvl w:ilvl="2">
      <w:start w:val="1"/>
      <w:numFmt w:val="decimal"/>
      <w:isLgl/>
      <w:suff w:val="space"/>
      <w:lvlText w:val=""/>
      <w:lvlJc w:val="left"/>
      <w:pPr>
        <w:ind w:left="720" w:hanging="720"/>
      </w:pPr>
    </w:lvl>
    <w:lvl w:ilvl="3">
      <w:start w:val="1"/>
      <w:numFmt w:val="decimal"/>
      <w:isLgl/>
      <w:suff w:val="space"/>
      <w:lvlText w:val=""/>
      <w:lvlJc w:val="left"/>
      <w:pPr>
        <w:ind w:left="864" w:hanging="864"/>
      </w:pPr>
    </w:lvl>
    <w:lvl w:ilvl="4">
      <w:start w:val="1"/>
      <w:numFmt w:val="decimal"/>
      <w:isLgl/>
      <w:suff w:val="space"/>
      <w:lvlText w:val=""/>
      <w:lvlJc w:val="left"/>
      <w:pPr>
        <w:ind w:left="1008" w:hanging="1008"/>
      </w:pPr>
    </w:lvl>
    <w:lvl w:ilvl="5">
      <w:start w:val="1"/>
      <w:numFmt w:val="decimal"/>
      <w:isLgl/>
      <w:suff w:val="space"/>
      <w:lvlText w:val=""/>
      <w:lvlJc w:val="left"/>
      <w:pPr>
        <w:ind w:left="1152" w:hanging="1152"/>
      </w:pPr>
    </w:lvl>
    <w:lvl w:ilvl="6">
      <w:start w:val="1"/>
      <w:numFmt w:val="decimal"/>
      <w:isLgl/>
      <w:suff w:val="space"/>
      <w:lvlText w:val=""/>
      <w:lvlJc w:val="left"/>
      <w:pPr>
        <w:ind w:left="1296" w:hanging="1296"/>
      </w:pPr>
    </w:lvl>
    <w:lvl w:ilvl="7">
      <w:start w:val="1"/>
      <w:numFmt w:val="decimal"/>
      <w:isLgl/>
      <w:suff w:val="space"/>
      <w:lvlText w:val=""/>
      <w:lvlJc w:val="left"/>
      <w:pPr>
        <w:ind w:left="1440" w:hanging="1440"/>
      </w:pPr>
    </w:lvl>
    <w:lvl w:ilvl="8">
      <w:start w:val="1"/>
      <w:numFmt w:val="decimal"/>
      <w:isLgl/>
      <w:suff w:val="space"/>
      <w:lvlText w:val=""/>
      <w:lvlJc w:val="left"/>
      <w:pPr>
        <w:ind w:left="1584" w:hanging="1584"/>
      </w:pPr>
    </w:lvl>
  </w:abstractNum>
  <w:abstractNum w:abstractNumId="1" w15:restartNumberingAfterBreak="0">
    <w:nsid w:val="1A2B1EEF"/>
    <w:multiLevelType w:val="hybridMultilevel"/>
    <w:tmpl w:val="5C3E9919"/>
    <w:lvl w:ilvl="0">
      <w:start w:val="1"/>
      <w:numFmt w:val="lowerLetter"/>
      <w:lvlText w:val="%1)"/>
      <w:lvlJc w:val="left"/>
      <w:pPr>
        <w:ind w:left="567" w:hanging="283"/>
      </w:pPr>
    </w:lvl>
    <w:lvl w:ilvl="1">
      <w:start w:val="1"/>
      <w:numFmt w:val="decimal"/>
      <w:lvlText w:val="%2."/>
      <w:lvlJc w:val="left"/>
      <w:pPr>
        <w:ind w:left="1287" w:hanging="283"/>
      </w:pPr>
    </w:lvl>
    <w:lvl w:ilvl="2">
      <w:start w:val="1"/>
      <w:numFmt w:val="decimal"/>
      <w:lvlText w:val="%3."/>
      <w:lvlJc w:val="left"/>
      <w:pPr>
        <w:ind w:left="2007" w:hanging="283"/>
      </w:pPr>
    </w:lvl>
    <w:lvl w:ilvl="3">
      <w:start w:val="1"/>
      <w:numFmt w:val="decimal"/>
      <w:lvlText w:val="%4."/>
      <w:lvlJc w:val="left"/>
      <w:pPr>
        <w:ind w:left="2727" w:hanging="283"/>
      </w:pPr>
    </w:lvl>
    <w:lvl w:ilvl="4">
      <w:start w:val="1"/>
      <w:numFmt w:val="decimal"/>
      <w:lvlText w:val="%5."/>
      <w:lvlJc w:val="left"/>
      <w:pPr>
        <w:ind w:left="3447" w:hanging="283"/>
      </w:pPr>
    </w:lvl>
    <w:lvl w:ilvl="5">
      <w:start w:val="1"/>
      <w:numFmt w:val="decimal"/>
      <w:lvlText w:val="%6."/>
      <w:lvlJc w:val="left"/>
      <w:pPr>
        <w:ind w:left="4167" w:hanging="283"/>
      </w:pPr>
    </w:lvl>
    <w:lvl w:ilvl="6">
      <w:start w:val="1"/>
      <w:numFmt w:val="decimal"/>
      <w:lvlText w:val="%7."/>
      <w:lvlJc w:val="left"/>
      <w:pPr>
        <w:ind w:left="4887" w:hanging="283"/>
      </w:pPr>
    </w:lvl>
    <w:lvl w:ilvl="7">
      <w:start w:val="1"/>
      <w:numFmt w:val="decimal"/>
      <w:lvlText w:val="%8."/>
      <w:lvlJc w:val="left"/>
      <w:pPr>
        <w:ind w:left="5607" w:hanging="283"/>
      </w:pPr>
    </w:lvl>
    <w:lvl w:ilvl="8">
      <w:start w:val="1"/>
      <w:numFmt w:val="decimal"/>
      <w:lvlText w:val="%9."/>
      <w:lvlJc w:val="left"/>
      <w:pPr>
        <w:ind w:left="6327" w:hanging="283"/>
      </w:pPr>
    </w:lvl>
  </w:abstractNum>
  <w:abstractNum w:abstractNumId="2" w15:restartNumberingAfterBreak="0">
    <w:nsid w:val="1A2B3DDE"/>
    <w:multiLevelType w:val="hybridMultilevel"/>
    <w:tmpl w:val="5C403232"/>
    <w:lvl w:ilvl="0">
      <w:start w:val="1"/>
      <w:numFmt w:val="bullet"/>
      <w:lvlText w:val="–"/>
      <w:lvlJc w:val="left"/>
      <w:pPr>
        <w:ind w:left="567" w:hanging="283"/>
      </w:pPr>
      <w:rPr>
        <w:rFonts w:ascii="Calibri" w:hAnsi="Calibri" w:hint="default"/>
      </w:rPr>
    </w:lvl>
    <w:lvl w:ilvl="1">
      <w:start w:val="1"/>
      <w:numFmt w:val="bullet"/>
      <w:lvlText w:val="–"/>
      <w:lvlJc w:val="left"/>
      <w:pPr>
        <w:ind w:left="1287" w:hanging="283"/>
      </w:pPr>
      <w:rPr>
        <w:rFonts w:ascii="Calibri" w:hAnsi="Calibri" w:hint="default"/>
      </w:rPr>
    </w:lvl>
    <w:lvl w:ilvl="2">
      <w:start w:val="1"/>
      <w:numFmt w:val="bullet"/>
      <w:lvlText w:val="–"/>
      <w:lvlJc w:val="left"/>
      <w:pPr>
        <w:ind w:left="2007" w:hanging="283"/>
      </w:pPr>
      <w:rPr>
        <w:rFonts w:ascii="Calibri" w:hAnsi="Calibri" w:hint="default"/>
      </w:rPr>
    </w:lvl>
    <w:lvl w:ilvl="3">
      <w:start w:val="1"/>
      <w:numFmt w:val="bullet"/>
      <w:lvlText w:val="–"/>
      <w:lvlJc w:val="left"/>
      <w:pPr>
        <w:ind w:left="2727" w:hanging="283"/>
      </w:pPr>
      <w:rPr>
        <w:rFonts w:ascii="Calibri" w:hAnsi="Calibri" w:hint="default"/>
      </w:rPr>
    </w:lvl>
    <w:lvl w:ilvl="4">
      <w:start w:val="1"/>
      <w:numFmt w:val="bullet"/>
      <w:lvlText w:val="–"/>
      <w:lvlJc w:val="left"/>
      <w:pPr>
        <w:ind w:left="3447" w:hanging="283"/>
      </w:pPr>
      <w:rPr>
        <w:rFonts w:ascii="Calibri" w:hAnsi="Calibri" w:hint="default"/>
      </w:rPr>
    </w:lvl>
    <w:lvl w:ilvl="5">
      <w:start w:val="1"/>
      <w:numFmt w:val="bullet"/>
      <w:lvlText w:val="–"/>
      <w:lvlJc w:val="left"/>
      <w:pPr>
        <w:ind w:left="4167" w:hanging="283"/>
      </w:pPr>
      <w:rPr>
        <w:rFonts w:ascii="Calibri" w:hAnsi="Calibri" w:hint="default"/>
      </w:rPr>
    </w:lvl>
    <w:lvl w:ilvl="6">
      <w:start w:val="1"/>
      <w:numFmt w:val="bullet"/>
      <w:lvlText w:val="–"/>
      <w:lvlJc w:val="left"/>
      <w:pPr>
        <w:ind w:left="4887" w:hanging="283"/>
      </w:pPr>
      <w:rPr>
        <w:rFonts w:ascii="Calibri" w:hAnsi="Calibri" w:hint="default"/>
      </w:rPr>
    </w:lvl>
    <w:lvl w:ilvl="7">
      <w:start w:val="1"/>
      <w:numFmt w:val="bullet"/>
      <w:lvlText w:val="–"/>
      <w:lvlJc w:val="left"/>
      <w:pPr>
        <w:ind w:left="5607" w:hanging="283"/>
      </w:pPr>
      <w:rPr>
        <w:rFonts w:ascii="Calibri" w:hAnsi="Calibri" w:hint="default"/>
      </w:rPr>
    </w:lvl>
    <w:lvl w:ilvl="8">
      <w:start w:val="1"/>
      <w:numFmt w:val="bullet"/>
      <w:lvlText w:val="–"/>
      <w:lvlJc w:val="left"/>
      <w:pPr>
        <w:ind w:left="6327" w:hanging="283"/>
      </w:pPr>
      <w:rPr>
        <w:rFonts w:ascii="Calibri" w:hAnsi="Calibri" w:hint="default"/>
      </w:rPr>
    </w:lvl>
  </w:abstractNum>
  <w:num w:numId="1">
    <w:abstractNumId w:val="0"/>
  </w:num>
  <w:num w:numId="2">
    <w:abstractNumId w:val="1"/>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zoom w:percent="100"/>
  <w:mirrorMargins/>
  <w:proofState w:spelling="clean" w:grammar="clean"/>
  <w:defaultTabStop w:val="708"/>
  <w:autoHyphenation/>
  <w:hyphenationZone w:val="425"/>
  <w:evenAndOddHeaders/>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xmlns:c="http://schemas.openxmlformats.org/drawingml/2006/chart" mc:Ignorable="w14 w15 wp14">
  <w:docDefaults>
    <w:rPrDefault>
      <w:rPr>
        <w:rFonts w:ascii="Times New Roman" w:eastAsia="Times New Roman" w:hAnsi="Times New Roman" w:cs="Times New Roman"/>
        <w:kern w:val="2"/>
        <w:sz w:val="24"/>
        <w:szCs w:val="24"/>
        <w:lang w:val="fr-FR" w:eastAsia="en-US" w:bidi="ar-SA"/>
      </w:rPr>
    </w:rPrDefault>
    <w:pPrDefault>
      <w:pPr>
        <w:spacing w:after="12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Title" w:uiPriority="10" w:qFormat="1"/>
    <w:lsdException w:name="Table Grid" w:uiPriority="39"/>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1">
    <w:name w:val="heading 1"/>
    <w:basedOn w:val="Normal"/>
    <w:next w:val="Normal"/>
    <w:link w:val="Titre1Car"/>
    <w:uiPriority w:val="9"/>
    <w:qFormat/>
    <w:pPr>
      <w:keepNext/>
      <w:keepLines/>
      <w:spacing w:before="240" w:after="0"/>
      <w:outlineLvl w:val="0"/>
    </w:pPr>
    <w:rPr>
      <w:rFonts w:asciiTheme="majorHAnsi" w:hAnsiTheme="majorHAnsi" w:eastAsiaTheme="majorEastAsia" w:cstheme="majorBidi"/>
      <w:color w:val="2F5496"/>
      <w:sz w:val="32"/>
      <w:szCs w:val="32"/>
    </w:rPr>
  </w:style>
  <w:style w:type="character" w:styleId="Titre1Car">
    <w:name w:val="Titre 1 Car"/>
    <w:basedOn w:val="Policepardfaut"/>
    <w:link w:val="Titre1"/>
    <w:uiPriority w:val="9"/>
    <w:rPr>
      <w:rFonts w:asciiTheme="majorHAnsi" w:hAnsiTheme="majorHAnsi" w:eastAsiaTheme="majorEastAsia" w:cstheme="majorBidi"/>
      <w:color w:val="2F5496"/>
      <w:sz w:val="32"/>
      <w:szCs w:val="32"/>
    </w:rPr>
  </w:style>
  <w:style w:type="paragraph" w:styleId="Titre2">
    <w:name w:val="heading 2"/>
    <w:basedOn w:val="Normal"/>
    <w:next w:val="Normal"/>
    <w:link w:val="Titre2Car"/>
    <w:uiPriority w:val="9"/>
    <w:qFormat/>
    <w:pPr>
      <w:keepNext/>
      <w:keepLines/>
      <w:spacing w:before="40" w:after="0"/>
      <w:outlineLvl w:val="1"/>
    </w:pPr>
    <w:rPr>
      <w:rFonts w:ascii="Times New Roman" w:hAnsi="Times New Roman" w:eastAsia="Times New Roman" w:cs="Times New Roman"/>
      <w:b/>
      <w:bCs/>
      <w:color w:val="000000"/>
      <w:sz w:val="24"/>
      <w:szCs w:val="24"/>
    </w:rPr>
  </w:style>
  <w:style w:type="character" w:styleId="Titre2Car">
    <w:name w:val="Titre 2 Car"/>
    <w:basedOn w:val="Policepardfaut"/>
    <w:link w:val="Titre2"/>
    <w:uiPriority w:val="9"/>
    <w:rPr>
      <w:rFonts w:ascii="Times New Roman" w:hAnsi="Times New Roman" w:eastAsia="Times New Roman" w:cs="Times New Roman"/>
      <w:b/>
      <w:bCs/>
      <w:color w:val="000000"/>
      <w:sz w:val="24"/>
      <w:szCs w:val="24"/>
    </w:rPr>
  </w:style>
  <w:style w:type="paragraph" w:styleId="Titre3">
    <w:name w:val="heading 3"/>
    <w:basedOn w:val="Normal"/>
    <w:next w:val="Normal"/>
    <w:link w:val="Titre3Car"/>
    <w:uiPriority w:val="9"/>
    <w:qFormat/>
    <w:pPr>
      <w:keepNext/>
      <w:keepLines/>
      <w:spacing w:before="40" w:after="0"/>
      <w:outlineLvl w:val="2"/>
    </w:pPr>
    <w:rPr>
      <w:rFonts w:asciiTheme="majorHAnsi" w:hAnsiTheme="majorHAnsi" w:eastAsiaTheme="majorEastAsia" w:cstheme="majorBidi"/>
      <w:color w:val="1F3763"/>
      <w:sz w:val="24"/>
      <w:szCs w:val="24"/>
    </w:rPr>
  </w:style>
  <w:style w:type="character" w:styleId="Titre3Car">
    <w:name w:val="Titre 3 Car"/>
    <w:basedOn w:val="Policepardfaut"/>
    <w:link w:val="Titre3"/>
    <w:uiPriority w:val="9"/>
    <w:rPr>
      <w:rFonts w:asciiTheme="majorHAnsi" w:hAnsiTheme="majorHAnsi" w:eastAsiaTheme="majorEastAsia" w:cstheme="majorBidi"/>
      <w:color w:val="1F3763"/>
      <w:sz w:val="24"/>
      <w:szCs w:val="24"/>
    </w:rPr>
  </w:style>
  <w:style w:type="paragraph" w:styleId="Titre">
    <w:name w:val="Title"/>
    <w:basedOn w:val="Normal"/>
    <w:next w:val="Normal"/>
    <w:link w:val="TitreCar"/>
    <w:uiPriority w:val="10"/>
    <w:qFormat/>
    <w:pPr>
      <w:spacing w:after="0" w:line="240" w:lineRule="auto"/>
      <w:contextualSpacing/>
    </w:pPr>
    <w:rPr>
      <w:rFonts w:asciiTheme="majorHAnsi" w:hAnsiTheme="majorHAnsi" w:eastAsiaTheme="majorEastAsia" w:cstheme="majorBidi"/>
      <w:color w:val="000000"/>
      <w:spacing w:val="-10"/>
      <w:kern w:val="28"/>
      <w:sz w:val="56"/>
      <w:spacing w:val="-10"/>
      <w:kern w:val="28"/>
      <w:szCs w:val="56"/>
    </w:rPr>
  </w:style>
  <w:style w:type="character" w:styleId="TitreCar">
    <w:name w:val="Titre Car"/>
    <w:basedOn w:val="Policepardfaut"/>
    <w:link w:val="Titre"/>
    <w:uiPriority w:val="10"/>
    <w:rPr>
      <w:rFonts w:asciiTheme="majorHAnsi" w:hAnsiTheme="majorHAnsi" w:eastAsiaTheme="majorEastAsia" w:cstheme="majorBidi"/>
      <w:color w:val="000000"/>
      <w:spacing w:val="-10"/>
      <w:kern w:val="28"/>
      <w:sz w:val="56"/>
      <w:spacing w:val="-10"/>
      <w:kern w:val="28"/>
      <w:szCs w:val="56"/>
    </w:rPr>
  </w:style>
  <w:style w:type="paragraph" w:styleId="Sous-titre">
    <w:name w:val="Subtitle"/>
    <w:basedOn w:val="Normal"/>
    <w:next w:val="Normal"/>
    <w:uiPriority w:val="11"/>
    <w:qFormat/>
    <w:pPr>
      <w:numPr>
        <w:ilvl w:val="1"/>
      </w:numPr>
    </w:pPr>
    <w:rPr>
      <w:color w:val="5A5A5A"/>
      <w:spacing w:val="15"/>
    </w:rPr>
  </w:style>
  <w:style w:type="paragraph" w:styleId="Paragraphedeliste">
    <w:name w:val="List Paragraph"/>
    <w:basedOn w:val="Normal"/>
    <w:uiPriority w:val="34"/>
    <w:qFormat/>
    <w:pPr>
      <w:ind w:left="720"/>
      <w:contextualSpacing/>
    </w:pPr>
  </w:style>
  <w:style w:type="paragraph" w:styleId="Sansinterligne">
    <w:name w:val="No Spacing"/>
    <w:uiPriority w:val="1"/>
    <w:qFormat/>
    <w:pPr>
      <w:spacing w:after="0" w:line="240" w:lineRule="auto"/>
    </w:pPr>
  </w:style>
  <w:style w:type="paragraph" w:styleId="En-tte">
    <w:name w:val="header"/>
    <w:basedOn w:val="Normal"/>
    <w:link w:val="En-tteCar"/>
    <w:uiPriority w:val="99"/>
    <w:semiHidden/>
    <w:unhideWhenUsed/>
    <w:pPr>
      <w:tabs>
        <w:tab w:val="center" w:pos="4536"/>
        <w:tab w:val="right" w:pos="9072"/>
      </w:tabs>
      <w:spacing w:after="0" w:line="240" w:lineRule="auto"/>
    </w:pPr>
  </w:style>
  <w:style w:type="character" w:styleId="En-tteCar">
    <w:name w:val="En-tête Car"/>
    <w:basedOn w:val="Policepardfaut"/>
    <w:link w:val="En-tte"/>
    <w:uiPriority w:val="99"/>
  </w:style>
  <w:style w:type="paragraph" w:styleId="Pieddepage">
    <w:name w:val="footer"/>
    <w:basedOn w:val="Normal"/>
    <w:link w:val="PieddepageCar"/>
    <w:uiPriority w:val="99"/>
    <w:semiHidden/>
    <w:unhideWhenUsed/>
    <w:pPr>
      <w:tabs>
        <w:tab w:val="center" w:pos="4536"/>
        <w:tab w:val="right" w:pos="9072"/>
      </w:tabs>
      <w:spacing w:after="0" w:line="240" w:lineRule="auto"/>
    </w:pPr>
  </w:style>
  <w:style w:type="character" w:styleId="PieddepageCar">
    <w:name w:val="Pied de page Car"/>
    <w:basedOn w:val="Policepardfaut"/>
    <w:link w:val="Pieddepage"/>
    <w:uiPriority w:val="99"/>
  </w:style>
  <w:style w:type="paragraph" w:styleId="Lgende">
    <w:name w:val="caption"/>
    <w:basedOn w:val="Normal"/>
    <w:next w:val="Normal"/>
    <w:uiPriority w:val="35"/>
    <w:semiHidden/>
    <w:unhideWhenUsed/>
    <w:qFormat/>
    <w:pPr>
      <w:spacing w:after="200" w:line="240" w:lineRule="auto"/>
    </w:pPr>
    <w:rPr>
      <w:i/>
      <w:iCs/>
      <w:color w:val="44546A"/>
      <w:sz w:val="18"/>
      <w:szCs w:val="18"/>
    </w:rPr>
  </w:style>
  <w:style w:type="paragraph" w:styleId="TM1">
    <w:name w:val="toc 1"/>
    <w:basedOn w:val="Normal"/>
    <w:next w:val="Normal"/>
    <w:uiPriority w:val="39"/>
    <w:semiHidden/>
    <w:unhideWhenUsed/>
    <w:pPr>
      <w:tabs>
        <w:tab w:val="right" w:leader="dot" w:pos="9062"/>
      </w:tabs>
      <w:spacing w:after="100"/>
    </w:pPr>
  </w:style>
  <w:style w:type="paragraph" w:styleId="TM2">
    <w:name w:val="toc 2"/>
    <w:basedOn w:val="Normal"/>
    <w:next w:val="Normal"/>
    <w:uiPriority w:val="39"/>
    <w:semiHidden/>
    <w:unhideWhenUsed/>
    <w:pPr>
      <w:tabs>
        <w:tab w:val="right" w:leader="dot" w:pos="9062"/>
      </w:tabs>
      <w:spacing w:after="100"/>
      <w:ind w:left="220"/>
    </w:pPr>
  </w:style>
  <w:style w:type="paragraph" w:styleId="TM3">
    <w:name w:val="toc 3"/>
    <w:basedOn w:val="Normal"/>
    <w:next w:val="Normal"/>
    <w:uiPriority w:val="39"/>
    <w:semiHidden/>
    <w:unhideWhenUsed/>
    <w:pPr>
      <w:tabs>
        <w:tab w:val="right" w:leader="dot" w:pos="9062"/>
      </w:tabs>
      <w:spacing w:after="100"/>
      <w:ind w:left="440"/>
    </w:pPr>
  </w:style>
  <w:style w:type="paragraph" w:styleId="Tabledesillustrations">
    <w:name w:val="table of figures"/>
    <w:basedOn w:val="Normal"/>
    <w:next w:val="Normal"/>
    <w:uiPriority w:val="99"/>
    <w:semiHidden/>
    <w:unhideWhenUsed/>
    <w:pPr>
      <w:spacing w:after="0"/>
    </w:pPr>
  </w:style>
  <w:style w:type="paragraph" w:styleId="En-ttedetabledesmatires">
    <w:name w:val="TOC Heading"/>
    <w:basedOn w:val="Titre1"/>
    <w:next w:val="Normal"/>
    <w:uiPriority w:val="39"/>
    <w:semiHidden/>
    <w:unhideWhenUsed/>
    <w:qFormat/>
    <w:pPr>
      <w:numPr>
        <w:numId w:val="0"/>
      </w:numPr>
      <w:outlineLvl w:val="9"/>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styleId="NotedebasdepageCar">
    <w:name w:val="Note de bas de page Car"/>
    <w:basedOn w:val="Policepardfaut"/>
    <w:link w:val="Notedebasdepage"/>
    <w:uiPriority w:val="99"/>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styleId="NotedefinCar">
    <w:name w:val="Note de fin Car"/>
    <w:basedOn w:val="Policepardfaut"/>
    <w:link w:val="Notedefin"/>
    <w:uiPriority w:val="99"/>
    <w:rPr>
      <w:sz w:val="20"/>
      <w:szCs w:val="20"/>
    </w:rPr>
  </w:style>
  <w:style w:type="character" w:styleId="Appeldenotedefin">
    <w:name w:val="endnote reference"/>
    <w:basedOn w:val="Policepardfaut"/>
    <w:uiPriority w:val="99"/>
    <w:semiHidden/>
    <w:unhideWhenUsed/>
    <w:rPr>
      <w:vertAlign w:val="superscript"/>
    </w:r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styleId="CommentaireCar">
    <w:name w:val="Commentaire Car"/>
    <w:basedOn w:val="Policepardfaut"/>
    <w:link w:val="Commentaire"/>
    <w:uiPriority w:val="99"/>
    <w:rPr>
      <w:sz w:val="20"/>
      <w:szCs w:val="20"/>
    </w:rPr>
  </w:style>
  <w:style w:type="character" w:styleId="Lienhypertexte">
    <w:name w:val="Hyperlink"/>
    <w:basedOn w:val="Policepardfaut"/>
    <w:uiPriority w:val="99"/>
    <w:semiHidden/>
    <w:unhideWhenUsed/>
    <w:rPr>
      <w:color w:val="0563C1" w:themeColor="hyperlink"/>
      <w:u w:val="single"/>
    </w:rPr>
  </w:style>
  <w:style w:type="character" w:styleId="Textedelespacerserv">
    <w:name w:val="Placeholder Text"/>
    <w:basedOn w:val="Policepardfaut"/>
    <w:uiPriority w:val="99"/>
    <w:semiHidden/>
    <w:unhideWhenUsed/>
    <w:rPr>
      <w:color w:val="808080"/>
    </w:rPr>
  </w:style>
  <w:style w:type="character" w:styleId="lev">
    <w:name w:val="Strong"/>
    <w:basedOn w:val="Policepardfaut"/>
    <w:uiPriority w:val="22"/>
    <w:qFormat/>
    <w:rPr>
      <w:b/>
      <w:bCs/>
    </w:rPr>
  </w:style>
  <w:style w:type="paragraph" w:styleId="Citation">
    <w:name w:val="Quote"/>
    <w:basedOn w:val="Normal"/>
    <w:next w:val="Normal"/>
    <w:uiPriority w:val="29"/>
    <w:qFormat/>
    <w:pPr>
      <w:spacing w:before="200" w:after="160"/>
      <w:ind w:left="864" w:right="864"/>
      <w:jc w:val="center"/>
    </w:pPr>
    <w:rPr>
      <w:i/>
      <w:iCs/>
      <w:color w:val="404040"/>
    </w:rPr>
  </w:style>
  <w:style w:type="table" w:styleId="Grilledutableau">
    <w:name w:val="Table Grid"/>
    <w:basedOn w:val="Tableau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Accentuation1">
    <w:name w:val="Grid Table 4 Accent 1"/>
    <w:basedOn w:val="Tableau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band1Horz">
      <w:tblPr/>
      <w:tcPr>
        <w:shd w:val="clear" w:color="auto" w:fill="D9E2F3"/>
      </w:tcPr>
    </w:tblStylePr>
  </w:style>
  <w:style w:type="table" w:styleId="Tableaulistelgre-Accentuation2">
    <w:name w:val="List Table 2 Accent 2"/>
    <w:basedOn w:val="TableauNormal"/>
    <w:uiPriority w:val="47"/>
    <w:pPr>
      <w:spacing w:after="0" w:line="240" w:lineRule="auto"/>
    </w:pPr>
    <w:tblPr>
      <w:tblStyleRowBandSize w:val="1"/>
      <w:tblBorders>
        <w:top w:val="single" w:sz="4" w:space="0" w:color="F4B083"/>
        <w:bottom w:val="single" w:sz="4" w:space="0" w:color="F4B083"/>
        <w:insideH w:val="single" w:sz="4" w:space="0" w:color="F4B083"/>
      </w:tblBorders>
    </w:tblPr>
    <w:tblStylePr w:type="firstRow">
      <w:rPr>
        <w:b/>
        <w:bCs/>
      </w:rPr>
    </w:tblStylePr>
    <w:tblStylePr w:type="band1Horz">
      <w:tblPr/>
      <w:tcPr>
        <w:shd w:val="clear" w:color="auto" w:fill="FBE4D5"/>
      </w:tcPr>
    </w:tblStylePr>
  </w:style>
  <w:style w:type="paragraph" w:styleId="Article">
    <w:name w:val="Article"/>
    <w:basedOn w:val="Titre2"/>
    <w:next w:val="Normal"/>
    <w:qFormat/>
    <w:pPr>
      <w:keepNext/>
      <w:spacing w:before="240" w:after="80"/>
      <w:outlineLvl w:val="1"/>
    </w:pPr>
    <w:rPr>
      <w:rFonts w:ascii="Times New Roman" w:hAnsi="Times New Roman"/>
      <w:b/>
      <w:bC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footer" Target="footer1.xml"/><Relationship Id="rId4" Type="http://schemas.openxmlformats.org/officeDocument/2006/relationships/footer" Target="footer2.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472C4"/>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TotalTime>
  <Pages>3</Pag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Statuts de l’association Les Jardins partagés du Moulin</dc:title>
  <dc:subject>Statuts</dc:subject>
  <dc:creator>Corpus provisoire ElixirOffice (contenu fictif)</dc:creator>
  <cp:keywords>statuts; loi 1901</cp:keywords>
  <dc:description>Document genere - corpus provisoire, a remplacer par les documents reels.</dc:description>
  <cp:lastModifiedBy>Corpus provisoire ElixirOffice</cp:lastModifiedBy>
  <cp:revision>3</cp:revision>
  <dcterms:created xsi:type="dcterms:W3CDTF">2026-03-02T09:00:00Z</dcterms:created>
  <dcterms:modified xsi:type="dcterms:W3CDTF">2026-03-02T09:00:00Z</dcterms:modified>
  <cp:category/>
  <dc:language>fr-FR</dc:language>
  <cp:lastPrinted>2026-03-02T09:00:00Z</cp:lastPrinted>
</cp:coreProperties>
</file>