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body>
    <w:p>
      <w:pPr>
        <w:spacing w:before="1701" w:after="600"/>
        <w:jc w:val="center"/>
      </w:pPr>
      <w:r>
        <mc:AlternateContent>
          <mc:Choice Requires="wps">
            <w:drawing>
              <wp:anchor distT="45720" distB="45720" distL="114300" distR="114300" simplePos="0" relativeHeight="251659264"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Forme 1"/>
                <wp:cNvGraphicFramePr/>
                <a:graphic>
                  <a:graphicData uri="http://schemas.microsoft.com/office/word/2010/wordprocessingShape">
                    <wps:wsp>
                      <wps:cNvSpPr/>
                      <wps:spPr>
                        <a:xfrm>
                          <a:off x="0" y="0"/>
                          <a:ext cx="7560000" cy="10692000"/>
                        </a:xfrm>
                        <a:prstGeom prst="rect">
                          <a:avLst/>
                        </a:prstGeom>
                        <a:gradFill flip="none" rotWithShape="1">
                          <a:gsLst>
                            <a:gs pos="0">
                              <a:srgbClr val="1B5E20"/>
                            </a:gs>
                            <a:gs pos="100000">
                              <a:srgbClr val="66BB6A"/>
                            </a:gs>
                          </a:gsLst>
                          <a:lin ang="5400000" scaled="1"/>
                        </a:gradFill>
                        <a:ln>
                          <a:noFill/>
                        </a:ln>
                      </wps:spPr>
                      <wps:bodyPr rot="0" vert="horz" wrap="square" lIns="90000" tIns="46800" rIns="90000" bIns="46800" anchor="t" anchorCtr="0">
                        <a:noAutofit/>
                      </wps:bodyPr>
                    </wps:wsp>
                  </a:graphicData>
                </a:graphic>
              </wp:anchor>
            </w:drawing>
          </mc:Choice>
        </mc:AlternateContent>
      </w:r>
      <w:r>
        <w:drawing>
          <wp:inline distT="0" distB="0" distL="0" distR="0">
            <wp:extent cx="1440000" cy="1440000"/>
            <wp:effectExtent l="0" t="0" r="0" b="0"/>
            <wp:docPr id="2" name="Logo 2" descr=""/>
            <wp:cNvGraphicFramePr>
              <a:graphicFrameLocks noChangeAspect="1"/>
            </wp:cNvGraphicFramePr>
            <a:graphic>
              <a:graphicData uri="http://schemas.openxmlformats.org/drawingml/2006/picture">
                <pic:pic>
                  <pic:nvPicPr>
                    <pic:cNvPr id="2" name="Logo 2" descr=""/>
                    <pic:cNvPicPr>
                      <a:picLocks noChangeAspect="1" noChangeArrowheads="1"/>
                    </pic:cNvPicPr>
                  </pic:nvPicPr>
                  <pic:blipFill>
                    <a:blip r:embed="rId13"/>
                    <a:stretch>
                      <a:fillRect/>
                    </a:stretch>
                  </pic:blipFill>
                  <pic:spPr bwMode="auto">
                    <a:xfrm>
                      <a:off x="0" y="0"/>
                      <a:ext cx="1440000" cy="1440000"/>
                    </a:xfrm>
                    <a:prstGeom prst="rect">
                      <a:avLst/>
                    </a:prstGeom>
                    <a:noFill/>
                  </pic:spPr>
                </pic:pic>
              </a:graphicData>
            </a:graphic>
          </wp:inline>
        </w:drawing>
      </w:r>
    </w:p>
    <w:p>
      <w:pPr>
        <w:pStyle w:val="Titre"/>
        <w:jc w:val="center"/>
      </w:pPr>
      <w:r>
        <w:t xml:space="preserve">Rapport d’activité</w:t>
      </w:r>
    </w:p>
    <w:p>
      <w:pPr>
        <w:spacing w:after="600"/>
        <w:jc w:val="center"/>
      </w:pPr>
      <w:r>
        <w:rPr>
          <w:b/>
          <w:bCs/>
          <w:color w:val="C5E1A5"/>
          <w:sz w:val="144"/>
          <w:szCs w:val="144"/>
        </w:rPr>
        <w:t xml:space="preserve">2025</w:t>
      </w:r>
    </w:p>
    <w:p>
      <w:pPr>
        <w:spacing w:after="0"/>
        <w:jc w:val="center"/>
      </w:pPr>
      <w:r>
        <w:rPr>
          <w:color w:val="FFFFFF"/>
          <w:sz w:val="32"/>
          <w:szCs w:val="32"/>
        </w:rPr>
        <w:t xml:space="preserve">Les Jardins partagés du Moulin</w:t>
      </w:r>
    </w:p>
    <w:p>
      <w:pPr>
        <w:jc w:val="center"/>
      </w:pPr>
      <w:r>
        <w:rPr>
          <w:i/>
          <w:iCs/>
          <w:color w:val="E8F5E9"/>
          <w:sz w:val="22"/>
          <w:szCs w:val="22"/>
        </w:rPr>
        <w:t xml:space="preserve">Présenté à l’assemblée générale du 28 mars 2026</w:t>
      </w:r>
    </w:p>
    <w:p>
      <w:pPr>
        <w:sectPr>
          <w:headerReference w:type="default" r:id="rId11"/>
          <w:headerReference w:type="first" r:id="rId11"/>
          <w:headerReference w:type="even" r:id="rId11"/>
          <w:footerReference w:type="default" r:id="rId12"/>
          <w:footerReference w:type="first" r:id="rId12"/>
          <w:footerReference w:type="even" r:id="rId12"/>
          <w:pgSz w:w="11906" w:h="16838"/>
          <w:pgMar w:top="1418" w:right="1418" w:bottom="1418" w:left="1418" w:header="680" w:footer="680" w:gutter="0"/>
          <w:cols w:space="708"/>
          <w:titlePg/>
          <w:docGrid w:linePitch="360"/>
        </w:sectPr>
      </w:pPr>
    </w:p>
    <w:p>
      <w:pPr>
        <w:pStyle w:val="En-ttedetabledesmatires"/>
      </w:pPr>
      <w:r>
        <w:t xml:space="preserve">Sommaire</w:t>
      </w:r>
    </w:p>
    <w:p>
      <w:pPr>
        <w:pStyle w:val="TM1"/>
        <w:tabs>
          <w:tab w:val="left" w:pos="440"/>
          <w:tab w:val="right" w:leader="dot" w:pos="9072"/>
        </w:tabs>
      </w:pPr>
      <w:r>
        <w:fldChar w:fldCharType="begin"/>
      </w:r>
      <w:r>
        <w:instrText xml:space="preserve"> TOC \o "1-3" \h \z \u </w:instrText>
      </w:r>
      <w:r>
        <w:fldChar w:fldCharType="separate"/>
      </w:r>
      <w:hyperlink w:anchor="_Toc190001" w:history="1">
        <w:r>
          <w:rPr>
            <w:noProof/>
          </w:rPr>
          <w:t xml:space="preserve">1.</w:t>
          <w:tab/>
          <w:t xml:space="preserve">L’association en 2025</w:t>
        </w:r>
        <w:r>
          <w:rPr>
            <w:noProof/>
          </w:rPr>
          <w:tab/>
        </w:r>
        <w:r>
          <w:rPr>
            <w:noProof/>
          </w:rPr>
          <w:fldChar w:fldCharType="begin"/>
        </w:r>
        <w:r>
          <w:rPr>
            <w:noProof/>
          </w:rPr>
          <w:instrText xml:space="preserve"> PAGEREF _Toc190001 \h </w:instrText>
        </w:r>
        <w:r>
          <w:rPr>
            <w:noProof/>
          </w:rPr>
          <w:fldChar w:fldCharType="separate"/>
        </w:r>
        <w:r>
          <w:rPr>
            <w:noProof/>
          </w:rPr>
          <w:t xml:space="preserve">1</w:t>
        </w:r>
        <w:r>
          <w:rPr>
            <w:noProof/>
          </w:rPr>
          <w:fldChar w:fldCharType="end"/>
        </w:r>
      </w:hyperlink>
    </w:p>
    <w:p>
      <w:pPr>
        <w:pStyle w:val="TM2"/>
        <w:tabs>
          <w:tab w:val="left" w:pos="880"/>
          <w:tab w:val="right" w:leader="dot" w:pos="9072"/>
        </w:tabs>
      </w:pPr>
      <w:hyperlink w:anchor="_Toc190002" w:history="1">
        <w:r>
          <w:rPr>
            <w:noProof/>
          </w:rPr>
          <w:t xml:space="preserve">1.1.</w:t>
          <w:tab/>
          <w:t xml:space="preserve">Nos adhérents</w:t>
        </w:r>
        <w:r>
          <w:rPr>
            <w:noProof/>
          </w:rPr>
          <w:tab/>
        </w:r>
        <w:r>
          <w:rPr>
            <w:noProof/>
          </w:rPr>
          <w:fldChar w:fldCharType="begin"/>
        </w:r>
        <w:r>
          <w:rPr>
            <w:noProof/>
          </w:rPr>
          <w:instrText xml:space="preserve"> PAGEREF _Toc190002 \h </w:instrText>
        </w:r>
        <w:r>
          <w:rPr>
            <w:noProof/>
          </w:rPr>
          <w:fldChar w:fldCharType="separate"/>
        </w:r>
        <w:r>
          <w:rPr>
            <w:noProof/>
          </w:rPr>
          <w:t xml:space="preserve">1</w:t>
        </w:r>
        <w:r>
          <w:rPr>
            <w:noProof/>
          </w:rPr>
          <w:fldChar w:fldCharType="end"/>
        </w:r>
      </w:hyperlink>
    </w:p>
    <w:p>
      <w:pPr>
        <w:pStyle w:val="TM2"/>
        <w:tabs>
          <w:tab w:val="left" w:pos="880"/>
          <w:tab w:val="right" w:leader="dot" w:pos="9072"/>
        </w:tabs>
      </w:pPr>
      <w:hyperlink w:anchor="_Toc190003" w:history="1">
        <w:r>
          <w:rPr>
            <w:noProof/>
          </w:rPr>
          <w:t xml:space="preserve">1.2.</w:t>
          <w:tab/>
          <w:t xml:space="preserve">Les parcelles</w:t>
        </w:r>
        <w:r>
          <w:rPr>
            <w:noProof/>
          </w:rPr>
          <w:tab/>
        </w:r>
        <w:r>
          <w:rPr>
            <w:noProof/>
          </w:rPr>
          <w:fldChar w:fldCharType="begin"/>
        </w:r>
        <w:r>
          <w:rPr>
            <w:noProof/>
          </w:rPr>
          <w:instrText xml:space="preserve"> PAGEREF _Toc190003 \h </w:instrText>
        </w:r>
        <w:r>
          <w:rPr>
            <w:noProof/>
          </w:rPr>
          <w:fldChar w:fldCharType="separate"/>
        </w:r>
        <w:r>
          <w:rPr>
            <w:noProof/>
          </w:rPr>
          <w:t xml:space="preserve">2</w:t>
        </w:r>
        <w:r>
          <w:rPr>
            <w:noProof/>
          </w:rPr>
          <w:fldChar w:fldCharType="end"/>
        </w:r>
      </w:hyperlink>
    </w:p>
    <w:p>
      <w:pPr>
        <w:pStyle w:val="TM1"/>
        <w:tabs>
          <w:tab w:val="left" w:pos="440"/>
          <w:tab w:val="right" w:leader="dot" w:pos="9072"/>
        </w:tabs>
      </w:pPr>
      <w:hyperlink w:anchor="_Toc190004" w:history="1">
        <w:r>
          <w:rPr>
            <w:noProof/>
          </w:rPr>
          <w:t xml:space="preserve">2.</w:t>
          <w:tab/>
          <w:t xml:space="preserve">Activités et animations</w:t>
        </w:r>
        <w:r>
          <w:rPr>
            <w:noProof/>
          </w:rPr>
          <w:tab/>
        </w:r>
        <w:r>
          <w:rPr>
            <w:noProof/>
          </w:rPr>
          <w:fldChar w:fldCharType="begin"/>
        </w:r>
        <w:r>
          <w:rPr>
            <w:noProof/>
          </w:rPr>
          <w:instrText xml:space="preserve"> PAGEREF _Toc190004 \h </w:instrText>
        </w:r>
        <w:r>
          <w:rPr>
            <w:noProof/>
          </w:rPr>
          <w:fldChar w:fldCharType="separate"/>
        </w:r>
        <w:r>
          <w:rPr>
            <w:noProof/>
          </w:rPr>
          <w:t xml:space="preserve">2</w:t>
        </w:r>
        <w:r>
          <w:rPr>
            <w:noProof/>
          </w:rPr>
          <w:fldChar w:fldCharType="end"/>
        </w:r>
      </w:hyperlink>
    </w:p>
    <w:p>
      <w:pPr>
        <w:pStyle w:val="TM2"/>
        <w:tabs>
          <w:tab w:val="left" w:pos="880"/>
          <w:tab w:val="right" w:leader="dot" w:pos="9072"/>
        </w:tabs>
      </w:pPr>
      <w:hyperlink w:anchor="_Toc190005" w:history="1">
        <w:r>
          <w:rPr>
            <w:noProof/>
          </w:rPr>
          <w:t xml:space="preserve">2.1.</w:t>
          <w:tab/>
          <w:t xml:space="preserve">Ateliers</w:t>
        </w:r>
        <w:r>
          <w:rPr>
            <w:noProof/>
          </w:rPr>
          <w:tab/>
        </w:r>
        <w:r>
          <w:rPr>
            <w:noProof/>
          </w:rPr>
          <w:fldChar w:fldCharType="begin"/>
        </w:r>
        <w:r>
          <w:rPr>
            <w:noProof/>
          </w:rPr>
          <w:instrText xml:space="preserve"> PAGEREF _Toc190005 \h </w:instrText>
        </w:r>
        <w:r>
          <w:rPr>
            <w:noProof/>
          </w:rPr>
          <w:fldChar w:fldCharType="separate"/>
        </w:r>
        <w:r>
          <w:rPr>
            <w:noProof/>
          </w:rPr>
          <w:t xml:space="preserve">2</w:t>
        </w:r>
        <w:r>
          <w:rPr>
            <w:noProof/>
          </w:rPr>
          <w:fldChar w:fldCharType="end"/>
        </w:r>
      </w:hyperlink>
    </w:p>
    <w:p>
      <w:pPr>
        <w:pStyle w:val="TM2"/>
        <w:tabs>
          <w:tab w:val="left" w:pos="880"/>
          <w:tab w:val="right" w:leader="dot" w:pos="9072"/>
        </w:tabs>
      </w:pPr>
      <w:hyperlink w:anchor="_Toc190006" w:history="1">
        <w:r>
          <w:rPr>
            <w:noProof/>
          </w:rPr>
          <w:t xml:space="preserve">2.2.</w:t>
          <w:tab/>
          <w:t xml:space="preserve">Événements</w:t>
        </w:r>
        <w:r>
          <w:rPr>
            <w:noProof/>
          </w:rPr>
          <w:tab/>
        </w:r>
        <w:r>
          <w:rPr>
            <w:noProof/>
          </w:rPr>
          <w:fldChar w:fldCharType="begin"/>
        </w:r>
        <w:r>
          <w:rPr>
            <w:noProof/>
          </w:rPr>
          <w:instrText xml:space="preserve"> PAGEREF _Toc190006 \h </w:instrText>
        </w:r>
        <w:r>
          <w:rPr>
            <w:noProof/>
          </w:rPr>
          <w:fldChar w:fldCharType="separate"/>
        </w:r>
        <w:r>
          <w:rPr>
            <w:noProof/>
          </w:rPr>
          <w:t xml:space="preserve">3</w:t>
        </w:r>
        <w:r>
          <w:rPr>
            <w:noProof/>
          </w:rPr>
          <w:fldChar w:fldCharType="end"/>
        </w:r>
      </w:hyperlink>
    </w:p>
    <w:p>
      <w:pPr>
        <w:pStyle w:val="TM1"/>
        <w:tabs>
          <w:tab w:val="left" w:pos="440"/>
          <w:tab w:val="right" w:leader="dot" w:pos="9072"/>
        </w:tabs>
      </w:pPr>
      <w:hyperlink w:anchor="_Toc190007" w:history="1">
        <w:r>
          <w:rPr>
            <w:noProof/>
          </w:rPr>
          <w:t xml:space="preserve">3.</w:t>
          <w:tab/>
          <w:t xml:space="preserve">Finances</w:t>
        </w:r>
        <w:r>
          <w:rPr>
            <w:noProof/>
          </w:rPr>
          <w:tab/>
        </w:r>
        <w:r>
          <w:rPr>
            <w:noProof/>
          </w:rPr>
          <w:fldChar w:fldCharType="begin"/>
        </w:r>
        <w:r>
          <w:rPr>
            <w:noProof/>
          </w:rPr>
          <w:instrText xml:space="preserve"> PAGEREF _Toc190007 \h </w:instrText>
        </w:r>
        <w:r>
          <w:rPr>
            <w:noProof/>
          </w:rPr>
          <w:fldChar w:fldCharType="separate"/>
        </w:r>
        <w:r>
          <w:rPr>
            <w:noProof/>
          </w:rPr>
          <w:t xml:space="preserve">3</w:t>
        </w:r>
        <w:r>
          <w:rPr>
            <w:noProof/>
          </w:rPr>
          <w:fldChar w:fldCharType="end"/>
        </w:r>
      </w:hyperlink>
    </w:p>
    <w:p>
      <w:pPr>
        <w:pStyle w:val="TM1"/>
        <w:tabs>
          <w:tab w:val="left" w:pos="440"/>
          <w:tab w:val="right" w:leader="dot" w:pos="9072"/>
        </w:tabs>
      </w:pPr>
      <w:hyperlink w:anchor="_Toc190008" w:history="1">
        <w:r>
          <w:rPr>
            <w:noProof/>
          </w:rPr>
          <w:t xml:space="preserve">4.</w:t>
          <w:tab/>
          <w:t xml:space="preserve">Perspectives 2026</w:t>
        </w:r>
        <w:r>
          <w:rPr>
            <w:noProof/>
          </w:rPr>
          <w:tab/>
        </w:r>
        <w:r>
          <w:rPr>
            <w:noProof/>
          </w:rPr>
          <w:fldChar w:fldCharType="begin"/>
        </w:r>
        <w:r>
          <w:rPr>
            <w:noProof/>
          </w:rPr>
          <w:instrText xml:space="preserve"> PAGEREF _Toc190008 \h </w:instrText>
        </w:r>
        <w:r>
          <w:rPr>
            <w:noProof/>
          </w:rPr>
          <w:fldChar w:fldCharType="separate"/>
        </w:r>
        <w:r>
          <w:rPr>
            <w:noProof/>
          </w:rPr>
          <w:t xml:space="preserve">4</w:t>
        </w:r>
        <w:r>
          <w:rPr>
            <w:noProof/>
          </w:rPr>
          <w:fldChar w:fldCharType="end"/>
        </w:r>
      </w:hyperlink>
      <w:r>
        <w:fldChar w:fldCharType="end"/>
      </w:r>
    </w:p>
    <w:p>
      <w:pPr>
        <w:spacing w:before="480" w:after="120"/>
      </w:pPr>
      <w:r>
        <w:rPr>
          <w:b/>
          <w:bCs/>
          <w:color w:val="558B2F"/>
          <w:sz w:val="26"/>
          <w:szCs w:val="26"/>
        </w:rPr>
        <w:t xml:space="preserve">Le mot de la présidente</w:t>
      </w:r>
    </w:p>
    <w:p>
      <w:pPr>
        <w:jc w:val="both"/>
      </w:pPr>
      <w:r>
        <w:rPr>
          <w:i/>
          <w:iCs/>
        </w:rPr>
        <w:t xml:space="preserve">Chers adhérents, chers partenaires,</w:t>
      </w:r>
    </w:p>
    <w:p>
      <w:pPr>
        <w:jc w:val="both"/>
      </w:pPr>
      <w:r>
        <w:t xml:space="preserve">L’année 2025 restera celle de la croissance : une deuxième parcelle, vingt-trois nouveaux adhérents et des ateliers qui affichent complet. Rien de tout cela n’aurait été possible sans l’engagement de nos bénévoles, que je remercie chaleureusement. Ce rapport retrace une année riche, et dessine les chantiers qui nous attendent en 2026 : la mare pédagogique, l’accueil des scolaires et la recherche d’un local.</w:t>
      </w:r>
    </w:p>
    <w:p>
      <w:pPr>
        <w:jc w:val="right"/>
      </w:pPr>
      <w:r>
        <w:rPr>
          <w:i/>
          <w:iCs/>
        </w:rPr>
        <w:t xml:space="preserve">Odile Ferrand, présidente</w:t>
      </w:r>
    </w:p>
    <w:p>
      <w:pPr>
        <w:sectPr>
          <w:headerReference w:type="default" r:id="rId1"/>
          <w:headerReference w:type="even" r:id="rId4"/>
          <w:footerReference w:type="default" r:id="rId9"/>
          <w:footerReference w:type="even" r:id="rId10"/>
          <w:pgSz w:w="11906" w:h="16838"/>
          <w:pgMar w:top="1418" w:right="1418" w:bottom="1418" w:left="1418" w:header="680" w:footer="680" w:gutter="0"/>
          <w:pgNumType w:fmt="lowerRoman" w:start="1"/>
          <w:cols w:space="708"/>
          <w:docGrid w:linePitch="360"/>
        </w:sectPr>
      </w:pPr>
    </w:p>
    <w:p>
      <w:pPr>
        <w:pStyle w:val="Titre1"/>
      </w:pPr>
      <w:bookmarkStart w:id="1" w:name="_Toc190001"/>
      <w:r>
        <w:t xml:space="preserve">L’association en 2025</w:t>
      </w:r>
      <w:bookmarkEnd w:id="1"/>
    </w:p>
    <w:p>
      <w:pPr>
        <w:pStyle w:val="Titre2"/>
      </w:pPr>
      <w:bookmarkStart w:id="2" w:name="_Toc190002"/>
      <w:r>
        <w:t xml:space="preserve">Nos adhérents</w:t>
      </w:r>
      <w:bookmarkEnd w:id="2"/>
    </w:p>
    <w:tbl>
      <w:tblPr>
        <w:tblpPr w:leftFromText="227" w:rightFromText="0" w:vertAnchor="text" w:horzAnchor="margin" w:tblpXSpec="right" w:tblpY="57"/>
        <w:tblOverlap w:val="never"/>
        <w:tblW w:w="2608" w:type="dxa"/>
        <w:tblBorders>
          <w:top w:val="single" w:sz="4" w:space="0" w:color="A5D6A7"/>
          <w:left w:val="single" w:sz="4" w:space="0" w:color="A5D6A7"/>
          <w:bottom w:val="single" w:sz="4" w:space="0" w:color="A5D6A7"/>
          <w:right w:val="single" w:sz="4" w:space="0" w:color="A5D6A7"/>
          <w:insideH w:val="single" w:sz="4" w:space="0" w:color="A5D6A7"/>
          <w:insideV w:val="single" w:sz="4" w:space="0" w:color="A5D6A7"/>
        </w:tblBorders>
        <w:tblLayout w:type="fixed"/>
        <w:tblLook w:val="04A0" w:firstRow="1" w:lastRow="0" w:firstColumn="1" w:lastColumn="0" w:noHBand="0" w:noVBand="1"/>
      </w:tblPr>
      <w:tblGrid>
        <w:gridCol w:w="2608"/>
      </w:tblGrid>
      <w:tr>
        <w:tc>
          <w:tcPr>
            <w:tcW w:w="2608" w:type="dxa"/>
            <w:shd w:val="clear" w:color="auto" w:fill="2E7D32"/>
          </w:tcPr>
          <w:p>
            <w:pPr>
              <w:spacing w:after="0"/>
              <w:jc w:val="center"/>
            </w:pPr>
            <w:r>
              <w:rPr>
                <w:b/>
                <w:bCs/>
                <w:color w:val="FFFFFF"/>
              </w:rPr>
              <w:t xml:space="preserve">Chiffres clés 2025</w:t>
            </w:r>
          </w:p>
        </w:tc>
      </w:tr>
      <w:tr>
        <w:tc>
          <w:tcPr>
            <w:tcW w:w="2608" w:type="dxa"/>
            <w:shd w:val="clear" w:color="auto" w:fill="F1F8E9"/>
          </w:tcPr>
          <w:p>
            <w:pPr>
              <w:spacing w:after="0"/>
            </w:pPr>
            <w:r>
              <w:rPr>
                <w:b/>
                <w:bCs/>
                <w:color w:val="2E7D32"/>
                <w:sz w:val="32"/>
                <w:szCs w:val="32"/>
              </w:rPr>
              <w:t xml:space="preserve">87</w:t>
            </w:r>
            <w:r>
              <w:rPr>
                <w:sz w:val="18"/>
                <w:szCs w:val="18"/>
              </w:rPr>
              <w:t xml:space="preserve">  adhérents</w:t>
            </w:r>
          </w:p>
        </w:tc>
      </w:tr>
      <w:tr>
        <w:tc>
          <w:tcPr>
            <w:tcW w:w="2608" w:type="dxa"/>
            <w:shd w:val="clear" w:color="auto" w:fill="F1F8E9"/>
          </w:tcPr>
          <w:p>
            <w:pPr>
              <w:spacing w:after="0"/>
            </w:pPr>
            <w:r>
              <w:rPr>
                <w:b/>
                <w:bCs/>
                <w:color w:val="2E7D32"/>
                <w:sz w:val="32"/>
                <w:szCs w:val="32"/>
              </w:rPr>
              <w:t xml:space="preserve">46</w:t>
            </w:r>
            <w:r>
              <w:rPr>
                <w:sz w:val="18"/>
                <w:szCs w:val="18"/>
              </w:rPr>
              <w:t xml:space="preserve">  parcelles</w:t>
            </w:r>
          </w:p>
        </w:tc>
      </w:tr>
      <w:tr>
        <w:tc>
          <w:tcPr>
            <w:tcW w:w="2608" w:type="dxa"/>
            <w:shd w:val="clear" w:color="auto" w:fill="F1F8E9"/>
          </w:tcPr>
          <w:p>
            <w:pPr>
              <w:spacing w:after="0"/>
            </w:pPr>
            <w:r>
              <w:rPr>
                <w:b/>
                <w:bCs/>
                <w:color w:val="2E7D32"/>
                <w:sz w:val="32"/>
                <w:szCs w:val="32"/>
              </w:rPr>
              <w:t xml:space="preserve">42</w:t>
            </w:r>
            <w:r>
              <w:rPr>
                <w:sz w:val="18"/>
                <w:szCs w:val="18"/>
              </w:rPr>
              <w:t xml:space="preserve">  ateliers</w:t>
            </w:r>
          </w:p>
        </w:tc>
      </w:tr>
      <w:tr>
        <w:tc>
          <w:tcPr>
            <w:tcW w:w="2608" w:type="dxa"/>
            <w:shd w:val="clear" w:color="auto" w:fill="F1F8E9"/>
          </w:tcPr>
          <w:p>
            <w:pPr>
              <w:spacing w:after="0"/>
            </w:pPr>
            <w:r>
              <w:rPr>
                <w:b/>
                <w:bCs/>
                <w:color w:val="2E7D32"/>
                <w:sz w:val="32"/>
                <w:szCs w:val="32"/>
              </w:rPr>
              <w:t xml:space="preserve">250</w:t>
            </w:r>
            <w:r>
              <w:rPr>
                <w:sz w:val="18"/>
                <w:szCs w:val="18"/>
              </w:rPr>
              <w:t xml:space="preserve">  visiteurs à la fête</w:t>
            </w:r>
          </w:p>
        </w:tc>
      </w:tr>
    </w:tbl>
    <w:p>
      <w:pPr>
        <w:jc w:val="both"/>
      </w:pPr>
      <w:r>
        <w:t xml:space="preserve">Au 31 décembre 2025, l’association comptait </w:t>
      </w:r>
      <w:r>
        <w:rPr>
          <w:b/>
          <w:bCs/>
        </w:rPr>
        <w:t xml:space="preserve">87 adhérents</w:t>
      </w:r>
      <w:r>
        <w:t xml:space="preserve"> à jour de cotisation, contre 64 un an plus tôt (voir </w:t>
      </w:r>
      <w:r>
        <w:fldChar w:fldCharType="begin"/>
      </w:r>
      <w:r>
        <w:instrText xml:space="preserve"> REF fig_adh \h </w:instrText>
      </w:r>
      <w:r>
        <w:fldChar w:fldCharType="separate"/>
      </w:r>
      <w:r>
        <w:t xml:space="preserve">Figure 1</w:t>
      </w:r>
      <w:r>
        <w:fldChar w:fldCharType="end"/>
      </w:r>
      <w:r>
        <w:t xml:space="preserve">)</w:t>
      </w:r>
      <w:r>
        <w:rPr>
          <w:rStyle w:val="Appeldenotedefin"/>
        </w:rPr>
        <w:endnoteReference w:id="1"/>
      </w:r>
      <w:r>
        <w:t xml:space="preserve">. La part des moins de 30 ans progresse nettement grâce au partenariat avec le collège.</w:t>
      </w:r>
    </w:p>
    <w:p>
      <w:pPr>
        <w:keepNext/>
        <w:spacing w:after="0"/>
        <w:jc w:val="center"/>
      </w:pPr>
      <w:r>
        <w:drawing>
          <wp:inline distT="0" distB="0" distL="0" distR="0">
            <wp:extent cx="5400000" cy="2520000"/>
            <wp:effectExtent l="0" t="0" r="0" b="0"/>
            <wp:docPr id="3" name="Graphique 3"/>
            <wp:cNvGraphicFramePr/>
            <a:graphic>
              <a:graphicData uri="http://schemas.openxmlformats.org/drawingml/2006/chart">
                <c:chart r:id="rId14"/>
              </a:graphicData>
            </a:graphic>
          </wp:inline>
        </w:drawing>
      </w:r>
    </w:p>
    <w:p>
      <w:pPr>
        <w:pStyle w:val="Lgende"/>
        <w:jc w:val="center"/>
      </w:pPr>
      <w:bookmarkStart w:id="3" w:name="fig_adh"/>
      <w:r>
        <w:t xml:space="preserve">Figure </w:t>
      </w:r>
      <w:r>
        <w:fldChar w:fldCharType="begin"/>
      </w:r>
      <w:r>
        <w:instrText xml:space="preserve"> SEQ Figure \* ARABIC </w:instrText>
      </w:r>
      <w:r>
        <w:fldChar w:fldCharType="separate"/>
      </w:r>
      <w:r>
        <w:t xml:space="preserve">1</w:t>
      </w:r>
      <w:r>
        <w:fldChar w:fldCharType="end"/>
      </w:r>
      <w:bookmarkEnd w:id="3"/>
      <w:r>
        <w:t xml:space="preserve"> – Adhérents de 2021 à 2025</w:t>
      </w:r>
    </w:p>
    <w:p>
      <w:pPr>
        <w:pStyle w:val="Titre2"/>
      </w:pPr>
      <w:bookmarkStart w:id="4" w:name="_Toc190003"/>
      <w:r>
        <w:t xml:space="preserve">Les parcelles</w:t>
      </w:r>
      <w:bookmarkEnd w:id="4"/>
    </w:p>
    <w:p>
      <w:pPr>
        <w:jc w:val="both"/>
      </w:pPr>
      <w:r>
        <w:t xml:space="preserve">Les 42 parcelles individuelles (15 m² en moyenne) sont toutes attribuées ; la liste d’attente compte 11 foyers. Quatre parcelles collectives sont cultivées par les écoles, le centre de loisirs, l’EHPAD et le foyer de jeunes travailleurs.</w:t>
      </w:r>
    </w:p>
    <w:tbl>
      <w:tblPr>
        <w:tblStyle w:val="Tableausimple4-Accentuation1"/>
        <w:tblW w:w="9071" w:type="dxa"/>
        <w:tblLayout w:type="fixed"/>
        <w:tblLook w:val="06A0" w:firstRow="1" w:lastRow="0" w:firstColumn="1" w:lastColumn="0" w:noHBand="1" w:noVBand="1"/>
      </w:tblPr>
      <w:tblGrid>
        <w:gridCol w:w="3402"/>
        <w:gridCol w:w="1701"/>
        <w:gridCol w:w="1984"/>
        <w:gridCol w:w="1984"/>
      </w:tblGrid>
      <w:tr>
        <w:trPr>
          <w:tblHeader/>
        </w:trPr>
        <w:tc>
          <w:tcPr>
            <w:tcW w:w="3402" w:type="dxa"/>
          </w:tcPr>
          <w:p>
            <w:pPr>
              <w:spacing w:after="0"/>
            </w:pPr>
            <w:r>
              <w:rPr>
                <w:b/>
                <w:bCs/>
              </w:rPr>
              <w:t xml:space="preserve">Site</w:t>
            </w:r>
          </w:p>
        </w:tc>
        <w:tc>
          <w:tcPr>
            <w:tcW w:w="1701" w:type="dxa"/>
          </w:tcPr>
          <w:p>
            <w:pPr>
              <w:spacing w:after="0"/>
            </w:pPr>
            <w:r>
              <w:rPr>
                <w:b/>
                <w:bCs/>
              </w:rPr>
              <w:t xml:space="preserve">Parcelles</w:t>
            </w:r>
          </w:p>
        </w:tc>
        <w:tc>
          <w:tcPr>
            <w:tcW w:w="1984" w:type="dxa"/>
          </w:tcPr>
          <w:p>
            <w:pPr>
              <w:spacing w:after="0"/>
            </w:pPr>
            <w:r>
              <w:rPr>
                <w:b/>
                <w:bCs/>
              </w:rPr>
              <w:t xml:space="preserve">Surface (m²)</w:t>
            </w:r>
          </w:p>
        </w:tc>
        <w:tc>
          <w:tcPr>
            <w:tcW w:w="1984" w:type="dxa"/>
          </w:tcPr>
          <w:p>
            <w:pPr>
              <w:spacing w:after="0"/>
            </w:pPr>
            <w:r>
              <w:rPr>
                <w:b/>
                <w:bCs/>
              </w:rPr>
              <w:t xml:space="preserve">Ouverture</w:t>
            </w:r>
          </w:p>
        </w:tc>
      </w:tr>
      <w:tr>
        <w:tc>
          <w:tcPr>
            <w:tcW w:w="3402" w:type="dxa"/>
          </w:tcPr>
          <w:p>
            <w:pPr>
              <w:spacing w:after="0"/>
            </w:pPr>
            <w:r>
              <w:t xml:space="preserve">Chemin du Moulin</w:t>
            </w:r>
          </w:p>
        </w:tc>
        <w:tc>
          <w:tcPr>
            <w:tcW w:w="1701" w:type="dxa"/>
          </w:tcPr>
          <w:p>
            <w:pPr>
              <w:spacing w:after="0"/>
              <w:jc w:val="center"/>
            </w:pPr>
            <w:r>
              <w:t xml:space="preserve">30</w:t>
            </w:r>
          </w:p>
        </w:tc>
        <w:tc>
          <w:tcPr>
            <w:tcW w:w="1984" w:type="dxa"/>
          </w:tcPr>
          <w:p>
            <w:pPr>
              <w:spacing w:after="0"/>
              <w:jc w:val="center"/>
            </w:pPr>
            <w:r>
              <w:t xml:space="preserve">620</w:t>
            </w:r>
          </w:p>
        </w:tc>
        <w:tc>
          <w:tcPr>
            <w:tcW w:w="1984" w:type="dxa"/>
          </w:tcPr>
          <w:p>
            <w:pPr>
              <w:spacing w:after="0"/>
            </w:pPr>
            <w:r>
              <w:t xml:space="preserve">2021</w:t>
            </w:r>
          </w:p>
        </w:tc>
      </w:tr>
      <w:tr>
        <w:tc>
          <w:tcPr>
            <w:tcW w:w="3402" w:type="dxa"/>
          </w:tcPr>
          <w:p>
            <w:pPr>
              <w:spacing w:after="0"/>
            </w:pPr>
            <w:r>
              <w:t xml:space="preserve">Rue des Saules</w:t>
            </w:r>
          </w:p>
        </w:tc>
        <w:tc>
          <w:tcPr>
            <w:tcW w:w="1701" w:type="dxa"/>
          </w:tcPr>
          <w:p>
            <w:pPr>
              <w:spacing w:after="0"/>
              <w:jc w:val="center"/>
            </w:pPr>
            <w:r>
              <w:t xml:space="preserve">12</w:t>
            </w:r>
          </w:p>
        </w:tc>
        <w:tc>
          <w:tcPr>
            <w:tcW w:w="1984" w:type="dxa"/>
          </w:tcPr>
          <w:p>
            <w:pPr>
              <w:spacing w:after="0"/>
              <w:jc w:val="center"/>
            </w:pPr>
            <w:r>
              <w:t xml:space="preserve">240</w:t>
            </w:r>
          </w:p>
        </w:tc>
        <w:tc>
          <w:tcPr>
            <w:tcW w:w="1984" w:type="dxa"/>
          </w:tcPr>
          <w:p>
            <w:pPr>
              <w:spacing w:after="0"/>
            </w:pPr>
            <w:r>
              <w:t xml:space="preserve">2025</w:t>
            </w:r>
          </w:p>
        </w:tc>
      </w:tr>
      <w:tr>
        <w:tc>
          <w:tcPr>
            <w:tcW w:w="3402" w:type="dxa"/>
          </w:tcPr>
          <w:p>
            <w:pPr>
              <w:spacing w:after="0"/>
            </w:pPr>
            <w:r>
              <w:t xml:space="preserve">Parcelles collectives</w:t>
            </w:r>
          </w:p>
        </w:tc>
        <w:tc>
          <w:tcPr>
            <w:tcW w:w="1701" w:type="dxa"/>
          </w:tcPr>
          <w:p>
            <w:pPr>
              <w:spacing w:after="0"/>
              <w:jc w:val="center"/>
            </w:pPr>
            <w:r>
              <w:t xml:space="preserve">4</w:t>
            </w:r>
          </w:p>
        </w:tc>
        <w:tc>
          <w:tcPr>
            <w:tcW w:w="1984" w:type="dxa"/>
          </w:tcPr>
          <w:p>
            <w:pPr>
              <w:spacing w:after="0"/>
              <w:jc w:val="center"/>
            </w:pPr>
            <w:r>
              <w:t xml:space="preserve">160</w:t>
            </w:r>
          </w:p>
        </w:tc>
        <w:tc>
          <w:tcPr>
            <w:tcW w:w="1984" w:type="dxa"/>
          </w:tcPr>
          <w:p>
            <w:pPr>
              <w:spacing w:after="0"/>
            </w:pPr>
            <w:r>
              <w:t xml:space="preserve">2022</w:t>
            </w:r>
          </w:p>
        </w:tc>
      </w:tr>
      <w:tr>
        <w:tc>
          <w:tcPr>
            <w:tcW w:w="3402" w:type="dxa"/>
          </w:tcPr>
          <w:p>
            <w:pPr>
              <w:spacing w:after="0"/>
            </w:pPr>
            <w:r>
              <w:t xml:space="preserve">Total</w:t>
            </w:r>
          </w:p>
        </w:tc>
        <w:tc>
          <w:tcPr>
            <w:tcW w:w="1701" w:type="dxa"/>
          </w:tcPr>
          <w:p>
            <w:pPr>
              <w:spacing w:after="0"/>
              <w:jc w:val="center"/>
            </w:pPr>
            <w:r>
              <w:t xml:space="preserve">46</w:t>
            </w:r>
          </w:p>
        </w:tc>
        <w:tc>
          <w:tcPr>
            <w:tcW w:w="1984" w:type="dxa"/>
          </w:tcPr>
          <w:p>
            <w:pPr>
              <w:spacing w:after="0"/>
              <w:jc w:val="center"/>
            </w:pPr>
            <w:r>
              <w:t xml:space="preserve">1 020</w:t>
            </w:r>
          </w:p>
        </w:tc>
        <w:tc>
          <w:tcPr>
            <w:tcW w:w="1984" w:type="dxa"/>
          </w:tcPr>
          <w:p/>
        </w:tc>
      </w:tr>
    </w:tbl>
    <w:p>
      <w:pPr>
        <w:pStyle w:val="Lgende"/>
        <w:jc w:val="center"/>
      </w:pPr>
      <w:r>
        <w:t xml:space="preserve">Tableau </w:t>
      </w:r>
      <w:r>
        <w:fldChar w:fldCharType="begin"/>
      </w:r>
      <w:r>
        <w:instrText xml:space="preserve"> SEQ Tableau \* ARABIC </w:instrText>
      </w:r>
      <w:r>
        <w:fldChar w:fldCharType="separate"/>
      </w:r>
      <w:r>
        <w:t xml:space="preserve">1</w:t>
      </w:r>
      <w:r>
        <w:fldChar w:fldCharType="end"/>
      </w:r>
      <w:r>
        <w:t xml:space="preserve"> – Répartition des parcelles</w:t>
      </w:r>
    </w:p>
    <w:p>
      <w:pPr>
        <w:pStyle w:val="Titre1"/>
      </w:pPr>
      <w:bookmarkStart w:id="5" w:name="_Toc190004"/>
      <w:r>
        <w:t xml:space="preserve">Activités et animations</w:t>
      </w:r>
      <w:bookmarkEnd w:id="5"/>
    </w:p>
    <w:p>
      <w:pPr>
        <w:pStyle w:val="Titre2"/>
      </w:pPr>
      <w:bookmarkStart w:id="6" w:name="_Toc190005"/>
      <w:r>
        <w:t xml:space="preserve">Ateliers</w:t>
      </w:r>
      <w:bookmarkEnd w:id="6"/>
    </w:p>
    <w:p>
      <w:pPr>
        <w:numPr>
          <w:ilvl w:val="0"/>
          <w:numId w:val="2"/>
        </w:numPr>
        <w:spacing w:after="40"/>
      </w:pPr>
      <w:r>
        <w:t xml:space="preserve">18 ateliers enfants avec l’accueil de loisirs (312 participations) ;</w:t>
      </w:r>
    </w:p>
    <w:p>
      <w:pPr>
        <w:numPr>
          <w:ilvl w:val="0"/>
          <w:numId w:val="2"/>
        </w:numPr>
        <w:spacing w:after="40"/>
      </w:pPr>
      <w:r>
        <w:t xml:space="preserve">12 ateliers « jardiner au naturel » ouverts à tous ;</w:t>
      </w:r>
    </w:p>
    <w:p>
      <w:pPr>
        <w:numPr>
          <w:ilvl w:val="0"/>
          <w:numId w:val="2"/>
        </w:numPr>
        <w:spacing w:after="40"/>
      </w:pPr>
      <w:r>
        <w:t xml:space="preserve">8 ateliers compostage avec le syndicat de collecte ;</w:t>
      </w:r>
    </w:p>
    <w:p>
      <w:pPr>
        <w:numPr>
          <w:ilvl w:val="0"/>
          <w:numId w:val="2"/>
        </w:numPr>
        <w:spacing w:after="40"/>
      </w:pPr>
      <w:r>
        <w:t xml:space="preserve">4 chantiers participatifs (mare, abri à outils, haie, nichoirs).</w:t>
      </w:r>
    </w:p>
    <w:p>
      <w:pPr>
        <w:pStyle w:val="Titre2"/>
      </w:pPr>
      <w:bookmarkStart w:id="7" w:name="_Toc190006"/>
      <w:r>
        <w:t xml:space="preserve">Événements</w:t>
      </w:r>
      <w:bookmarkEnd w:id="7"/>
    </w:p>
    <w:p>
      <w:pPr>
        <w:jc w:val="both"/>
      </w:pPr>
      <w:r>
        <w:t xml:space="preserve">La fête des récoltes du 20 septembre a accueilli environ 250 visiteurs</w:t>
      </w:r>
      <w:r>
        <w:rPr>
          <w:rStyle w:val="Appelnotedebasdep"/>
        </w:rPr>
        <w:footnoteReference w:id="1"/>
      </w:r>
      <w:r>
        <w:t xml:space="preserve">. Le troc de graines d’avril et la soirée « soupe et contes » de novembre ont également rencontré un beau succès.</w:t>
      </w:r>
    </w:p>
    <w:p>
      <w:pPr>
        <w:pStyle w:val="Titre1"/>
      </w:pPr>
      <w:bookmarkStart w:id="8" w:name="_Toc190007"/>
      <w:r>
        <w:t xml:space="preserve">Finances</w:t>
      </w:r>
      <w:bookmarkEnd w:id="8"/>
    </w:p>
    <w:p>
      <w:pPr>
        <w:jc w:val="both"/>
      </w:pPr>
      <w:r>
        <w:t xml:space="preserve">Les produits de l’exercice s’élèvent à 14 860 € et les charges à 13 925 €. La subvention communale représente un peu moins du tiers des ressources ; les cotisations et la fête des récoltes en assurent près de la moitié.</w:t>
      </w:r>
    </w:p>
    <w:p>
      <w:pPr>
        <w:keepNext/>
        <w:spacing w:after="0"/>
        <w:jc w:val="center"/>
      </w:pPr>
      <w:r>
        <w:drawing>
          <wp:inline distT="0" distB="0" distL="0" distR="0">
            <wp:extent cx="4320000" cy="2700000"/>
            <wp:effectExtent l="0" t="0" r="0" b="0"/>
            <wp:docPr id="4" name="Graphique 4"/>
            <wp:cNvGraphicFramePr/>
            <a:graphic>
              <a:graphicData uri="http://schemas.openxmlformats.org/drawingml/2006/chart">
                <c:chart r:id="rId15"/>
              </a:graphicData>
            </a:graphic>
          </wp:inline>
        </w:drawing>
      </w:r>
    </w:p>
    <w:p>
      <w:pPr>
        <w:pStyle w:val="Lgende"/>
        <w:jc w:val="center"/>
      </w:pPr>
      <w:r>
        <w:t xml:space="preserve">Figure </w:t>
      </w:r>
      <w:r>
        <w:fldChar w:fldCharType="begin"/>
      </w:r>
      <w:r>
        <w:instrText xml:space="preserve"> SEQ Figure \* ARABIC </w:instrText>
      </w:r>
      <w:r>
        <w:fldChar w:fldCharType="separate"/>
      </w:r>
      <w:r>
        <w:t xml:space="preserve">2</w:t>
      </w:r>
      <w:r>
        <w:fldChar w:fldCharType="end"/>
      </w:r>
      <w:r>
        <w:t xml:space="preserve"> – Origine des recettes</w:t>
      </w:r>
      <w:r>
        <w:rPr>
          <w:rStyle w:val="Appeldenotedefin"/>
        </w:rPr>
        <w:endnoteReference w:id="2"/>
      </w:r>
    </w:p>
    <w:p>
      <w:pPr>
        <w:pStyle w:val="Titre1"/>
      </w:pPr>
      <w:bookmarkStart w:id="9" w:name="_Toc190008"/>
      <w:r>
        <w:t xml:space="preserve">Perspectives 2026</w:t>
      </w:r>
      <w:bookmarkEnd w:id="9"/>
    </w:p>
    <w:p>
      <w:pPr>
        <w:numPr>
          <w:ilvl w:val="0"/>
          <w:numId w:val="2"/>
        </w:numPr>
        <w:spacing w:after="40"/>
      </w:pPr>
      <w:r>
        <w:t xml:space="preserve">Achever la mare pédagogique et accueillir trois classes par trimestre.</w:t>
      </w:r>
    </w:p>
    <w:p>
      <w:pPr>
        <w:numPr>
          <w:ilvl w:val="0"/>
          <w:numId w:val="2"/>
        </w:numPr>
        <w:spacing w:after="40"/>
      </w:pPr>
      <w:r>
        <w:t xml:space="preserve">Trouver un local de stockage plus grand, en lien avec la commune.</w:t>
      </w:r>
    </w:p>
    <w:p>
      <w:pPr>
        <w:numPr>
          <w:ilvl w:val="0"/>
          <w:numId w:val="2"/>
        </w:numPr>
        <w:spacing w:after="40"/>
      </w:pPr>
      <w:r>
        <w:t xml:space="preserve">Créer un groupe « jeunes jardiniers » animé par des lycéens.</w:t>
      </w:r>
    </w:p>
    <w:sectPr>
      <w:headerReference w:type="default" r:id="rId1"/>
      <w:headerReference w:type="even" r:id="rId4"/>
      <w:footerReference w:type="default" r:id="rId9"/>
      <w:footerReference w:type="even" r:id="rId10"/>
      <w:pgSz w:w="11906" w:h="16838"/>
      <w:pgMar w:top="1418" w:right="1418" w:bottom="1418" w:left="1418" w:header="680" w:footer="68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endnote w:type="separator" w:id="-1">
    <w:p>
      <w:pPr>
        <w:spacing w:after="0" w:line="240" w:lineRule="auto"/>
      </w:pPr>
      <w:r>
        <w:separator/>
      </w:r>
    </w:p>
  </w:endnote>
  <w:endnote w:type="continuationSeparator" w:id="0">
    <w:p>
      <w:pPr>
        <w:spacing w:after="0" w:line="240" w:lineRule="auto"/>
      </w:pPr>
      <w:r>
        <w:continuationSeparator/>
      </w:r>
    </w:p>
  </w:endnote>
  <w:endnote w:id="1">
    <w:p>
      <w:pPr>
        <w:pStyle w:val="Notedefin"/>
      </w:pPr>
      <w:r>
        <w:rPr>
          <w:rStyle w:val="Appeldenotedefin"/>
        </w:rPr>
        <w:endnoteRef/>
      </w:r>
      <w:r>
        <w:t xml:space="preserve"> </w:t>
      </w:r>
      <w:r>
        <w:t xml:space="preserve">Sont comptés les adhérents ayant réglé leur cotisation entre le 1er janvier et le 31 décembre.</w:t>
      </w:r>
    </w:p>
  </w:endnote>
  <w:endnote w:id="2">
    <w:p>
      <w:pPr>
        <w:pStyle w:val="Notedefin"/>
      </w:pPr>
      <w:r>
        <w:rPr>
          <w:rStyle w:val="Appeldenotedefin"/>
        </w:rPr>
        <w:endnoteRef/>
      </w:r>
      <w:r>
        <w:t xml:space="preserve"> </w:t>
      </w:r>
      <w:r>
        <w:t xml:space="preserve">Comptes arrêtés par le conseil d’administration du 21 février 2026, avant approbation par l’assemblée générale.</w:t>
      </w:r>
    </w:p>
  </w:endnote>
</w:endnotes>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nt w:name="Calibri">
    <w:panose1 w:val="020F0502020204030204"/>
    <w:charset w:val="00"/>
    <w:family w:val="swiss"/>
    <w:pitch w:val="variable"/>
  </w:font>
  <w:font w:name="Calibri Light">
    <w:panose1 w:val="020F0302020204030204"/>
    <w:charset w:val="00"/>
    <w:family w:val="swiss"/>
    <w:pitch w:val="variable"/>
  </w:font>
  <w:font w:name="Cambria Math">
    <w:panose1 w:val="02040503050406030204"/>
    <w:charset w:val="00"/>
    <w:family w:val="roman"/>
    <w:pitch w:val="variable"/>
  </w:font>
  <w:font w:name="Courier New">
    <w:panose1 w:val="02070309020205020404"/>
    <w:charset w:val="00"/>
    <w:family w:val="modern"/>
    <w:pitch w:val="fixed"/>
  </w:font>
  <w:font w:name="Symbol">
    <w:panose1 w:val="05050102010706020507"/>
    <w:charset w:val="02"/>
    <w:family w:val="roman"/>
    <w:pitch w:val="variable"/>
  </w:font>
  <w:font w:name="Times New Roman">
    <w:panose1 w:val="02020603050405020304"/>
    <w:charset w:val="00"/>
    <w:family w:val="roman"/>
    <w:pitch w:val="variable"/>
  </w:font>
  <w:font w:name="Wingdings">
    <w:panose1 w:val="05000000000000000000"/>
    <w:charset w:val="02"/>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jc w:val="right"/>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1</w:t>
    </w:r>
    <w:r>
      <w:rPr>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jc w:val="left"/>
    </w:pPr>
    <w:r>
      <w:rPr>
        <w:sz w:val="18"/>
        <w:szCs w:val="18"/>
      </w:rPr>
      <w:fldChar w:fldCharType="begin"/>
    </w:r>
    <w:r>
      <w:rPr>
        <w:sz w:val="18"/>
        <w:szCs w:val="18"/>
      </w:rPr>
      <w:instrText xml:space="preserve"> PAGE </w:instrText>
    </w:r>
    <w:r>
      <w:rPr>
        <w:sz w:val="18"/>
        <w:szCs w:val="18"/>
      </w:rPr>
      <w:fldChar w:fldCharType="separate"/>
    </w:r>
    <w:r>
      <w:rPr>
        <w:sz w:val="18"/>
        <w:szCs w:val="18"/>
      </w:rPr>
      <w:t xml:space="preserve">2</w:t>
    </w:r>
    <w:r>
      <w:rPr>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Notedebasdepage"/>
      </w:pPr>
      <w:r>
        <w:rPr>
          <w:rStyle w:val="Appelnotedebasdep"/>
        </w:rPr>
        <w:footnoteRef/>
      </w:r>
      <w:r>
        <w:t xml:space="preserve"> </w:t>
      </w:r>
      <w:r>
        <w:t xml:space="preserve">Estimation des bénévoles à partir du nombre de verres de jus de pomme servis.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En-tte"/>
      <w:pBdr>
        <w:bottom w:val="single" w:sz="4" w:space="1" w:color="2E7D32"/>
      </w:pBdr>
      <w:jc w:val="right"/>
    </w:pPr>
    <w:r>
      <w:rPr>
        <w:smallCaps/>
        <w:color w:val="2E7D32"/>
        <w:sz w:val="18"/>
        <w:szCs w:val="18"/>
      </w:rPr>
      <w:t xml:space="preserve">Rapport d’activité 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En-tte"/>
      <w:pBdr>
        <w:bottom w:val="single" w:sz="4" w:space="1" w:color="2E7D32"/>
      </w:pBdr>
      <w:jc w:val="left"/>
    </w:pPr>
    <w:r>
      <w:rPr>
        <w:smallCaps/>
        <w:color w:val="2E7D32"/>
        <w:sz w:val="18"/>
        <w:szCs w:val="18"/>
      </w:rPr>
      <w:t xml:space="preserve">Les Jardins partagés du Moulin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abstractNum w:abstractNumId="0" w15:restartNumberingAfterBreak="0">
    <w:nsid w:val="1A2B0000"/>
    <w:multiLevelType w:val="multilevel"/>
    <w:tmpl w:val="5C3D0000"/>
    <w:lvl w:ilvl="0">
      <w:start w:val="1"/>
      <w:numFmt w:val="decimal"/>
      <w:pStyle w:val="Titre1"/>
      <w:lvlText w:val="%1."/>
      <w:lvlJc w:val="left"/>
      <w:pPr>
        <w:ind w:left="432" w:hanging="432"/>
      </w:pPr>
    </w:lvl>
    <w:lvl w:ilvl="1">
      <w:start w:val="1"/>
      <w:numFmt w:val="decimal"/>
      <w:pStyle w:val="Titre2"/>
      <w:isLgl/>
      <w:lvlText w:val="%1.%2."/>
      <w:lvlJc w:val="left"/>
      <w:pPr>
        <w:ind w:left="576" w:hanging="576"/>
      </w:pPr>
    </w:lvl>
    <w:lvl w:ilvl="2">
      <w:start w:val="1"/>
      <w:numFmt w:val="decimal"/>
      <w:isLgl/>
      <w:lvlText w:val=""/>
      <w:lvlJc w:val="left"/>
      <w:pPr>
        <w:ind w:left="720" w:hanging="720"/>
      </w:pPr>
    </w:lvl>
    <w:lvl w:ilvl="3">
      <w:start w:val="1"/>
      <w:numFmt w:val="decimal"/>
      <w:isLgl/>
      <w:lvlText w:val=""/>
      <w:lvlJc w:val="left"/>
      <w:pPr>
        <w:ind w:left="864" w:hanging="864"/>
      </w:pPr>
    </w:lvl>
    <w:lvl w:ilvl="4">
      <w:start w:val="1"/>
      <w:numFmt w:val="decimal"/>
      <w:isLgl/>
      <w:lvlText w:val=""/>
      <w:lvlJc w:val="left"/>
      <w:pPr>
        <w:ind w:left="1008" w:hanging="1008"/>
      </w:pPr>
    </w:lvl>
    <w:lvl w:ilvl="5">
      <w:start w:val="1"/>
      <w:numFmt w:val="decimal"/>
      <w:isLgl/>
      <w:lvlText w:val=""/>
      <w:lvlJc w:val="left"/>
      <w:pPr>
        <w:ind w:left="1152" w:hanging="1152"/>
      </w:pPr>
    </w:lvl>
    <w:lvl w:ilvl="6">
      <w:start w:val="1"/>
      <w:numFmt w:val="decimal"/>
      <w:isLgl/>
      <w:lvlText w:val=""/>
      <w:lvlJc w:val="left"/>
      <w:pPr>
        <w:ind w:left="1296" w:hanging="1296"/>
      </w:pPr>
    </w:lvl>
    <w:lvl w:ilvl="7">
      <w:start w:val="1"/>
      <w:numFmt w:val="decimal"/>
      <w:isLgl/>
      <w:lvlText w:val=""/>
      <w:lvlJc w:val="left"/>
      <w:pPr>
        <w:ind w:left="1440" w:hanging="1440"/>
      </w:pPr>
    </w:lvl>
    <w:lvl w:ilvl="8">
      <w:start w:val="1"/>
      <w:numFmt w:val="decimal"/>
      <w:isLgl/>
      <w:lvlText w:val=""/>
      <w:lvlJc w:val="left"/>
      <w:pPr>
        <w:ind w:left="1584" w:hanging="1584"/>
      </w:pPr>
    </w:lvl>
  </w:abstractNum>
  <w:abstractNum w:abstractNumId="1" w15:restartNumberingAfterBreak="0">
    <w:nsid w:val="1A2B1EEF"/>
    <w:multiLevelType w:val="hybridMultilevel"/>
    <w:tmpl w:val="5C3E9919"/>
    <w:lvl w:ilvl="0">
      <w:start w:val="1"/>
      <w:numFmt w:val="bullet"/>
      <w:lvlText w:val=""/>
      <w:lvlJc w:val="left"/>
      <w:pPr>
        <w:ind w:left="720" w:hanging="360"/>
      </w:pPr>
      <w:rPr>
        <w:rFonts w:ascii="Symbol" w:hAnsi="Symbol" w:hint="default"/>
        <w:color w:val="2E7D32"/>
      </w:rPr>
    </w:lvl>
    <w:lvl w:ilvl="1">
      <w:start w:val="1"/>
      <w:numFmt w:val="bullet"/>
      <w:lvlText w:val="o"/>
      <w:lvlJc w:val="left"/>
      <w:pPr>
        <w:ind w:left="1440" w:hanging="360"/>
      </w:pPr>
      <w:rPr>
        <w:rFonts w:ascii="Courier New" w:hAnsi="Courier New" w:hint="default"/>
        <w:color w:val="2E7D32"/>
      </w:rPr>
    </w:lvl>
    <w:lvl w:ilvl="2">
      <w:start w:val="1"/>
      <w:numFmt w:val="bullet"/>
      <w:lvlText w:val=""/>
      <w:lvlJc w:val="left"/>
      <w:pPr>
        <w:ind w:left="2160" w:hanging="360"/>
      </w:pPr>
      <w:rPr>
        <w:rFonts w:ascii="Wingdings" w:hAnsi="Wingdings" w:hint="default"/>
        <w:color w:val="2E7D32"/>
      </w:rPr>
    </w:lvl>
    <w:lvl w:ilvl="3">
      <w:start w:val="1"/>
      <w:numFmt w:val="bullet"/>
      <w:lvlText w:val=""/>
      <w:lvlJc w:val="left"/>
      <w:pPr>
        <w:ind w:left="2880" w:hanging="360"/>
      </w:pPr>
      <w:rPr>
        <w:rFonts w:ascii="Symbol" w:hAnsi="Symbol" w:hint="default"/>
        <w:color w:val="2E7D32"/>
      </w:rPr>
    </w:lvl>
    <w:lvl w:ilvl="4">
      <w:start w:val="1"/>
      <w:numFmt w:val="bullet"/>
      <w:lvlText w:val="o"/>
      <w:lvlJc w:val="left"/>
      <w:pPr>
        <w:ind w:left="3600" w:hanging="360"/>
      </w:pPr>
      <w:rPr>
        <w:rFonts w:ascii="Courier New" w:hAnsi="Courier New" w:hint="default"/>
        <w:color w:val="2E7D32"/>
      </w:rPr>
    </w:lvl>
    <w:lvl w:ilvl="5">
      <w:start w:val="1"/>
      <w:numFmt w:val="bullet"/>
      <w:lvlText w:val=""/>
      <w:lvlJc w:val="left"/>
      <w:pPr>
        <w:ind w:left="4320" w:hanging="360"/>
      </w:pPr>
      <w:rPr>
        <w:rFonts w:ascii="Wingdings" w:hAnsi="Wingdings" w:hint="default"/>
        <w:color w:val="2E7D32"/>
      </w:rPr>
    </w:lvl>
    <w:lvl w:ilvl="6">
      <w:start w:val="1"/>
      <w:numFmt w:val="bullet"/>
      <w:lvlText w:val=""/>
      <w:lvlJc w:val="left"/>
      <w:pPr>
        <w:ind w:left="5040" w:hanging="360"/>
      </w:pPr>
      <w:rPr>
        <w:rFonts w:ascii="Symbol" w:hAnsi="Symbol" w:hint="default"/>
        <w:color w:val="2E7D32"/>
      </w:rPr>
    </w:lvl>
    <w:lvl w:ilvl="7">
      <w:start w:val="1"/>
      <w:numFmt w:val="bullet"/>
      <w:lvlText w:val="o"/>
      <w:lvlJc w:val="left"/>
      <w:pPr>
        <w:ind w:left="5760" w:hanging="360"/>
      </w:pPr>
      <w:rPr>
        <w:rFonts w:ascii="Courier New" w:hAnsi="Courier New" w:hint="default"/>
        <w:color w:val="2E7D32"/>
      </w:rPr>
    </w:lvl>
    <w:lvl w:ilvl="8">
      <w:start w:val="1"/>
      <w:numFmt w:val="bullet"/>
      <w:lvlText w:val=""/>
      <w:lvlJc w:val="left"/>
      <w:pPr>
        <w:ind w:left="6480" w:hanging="360"/>
      </w:pPr>
      <w:rPr>
        <w:rFonts w:ascii="Wingdings" w:hAnsi="Wingdings" w:hint="default"/>
        <w:color w:val="2E7D32"/>
      </w:rPr>
    </w:lvl>
  </w:abstractNum>
  <w:num w:numId="1">
    <w:abstractNumId w:val="0"/>
  </w:num>
  <w:num w:numId="2">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docDefaults>
    <w:rPrDefault>
      <w:rPr>
        <w:rFonts w:asciiTheme="minorHAnsi" w:eastAsiaTheme="minorHAnsi" w:hAnsiTheme="minorHAnsi" w:cstheme="minorBidi"/>
        <w:kern w:val="2"/>
        <w:sz w:val="22"/>
        <w:szCs w:val="22"/>
        <w:lang w:val="fr-FR"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Title" w:uiPriority="10" w:qFormat="1"/>
    <w:lsdException w:name="Table Grid" w:uiPriority="39"/>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1">
    <w:name w:val="heading 1"/>
    <w:basedOn w:val="Normal"/>
    <w:next w:val="Normal"/>
    <w:link w:val="Titre1Car"/>
    <w:uiPriority w:val="9"/>
    <w:qFormat/>
    <w:pPr>
      <w:keepNext/>
      <w:keepLines/>
      <w:numPr>
        <w:numId w:val="1"/>
      </w:numPr>
      <w:spacing w:before="360" w:after="120"/>
      <w:outlineLvl w:val="0"/>
    </w:pPr>
    <w:rPr>
      <w:rFonts w:asciiTheme="majorHAnsi" w:hAnsiTheme="majorHAnsi" w:eastAsiaTheme="majorEastAsia" w:cstheme="majorBidi"/>
      <w:color w:val="2E7D32"/>
      <w:sz w:val="32"/>
      <w:szCs w:val="32"/>
    </w:rPr>
  </w:style>
  <w:style w:type="character" w:styleId="Titre1Car">
    <w:name w:val="Titre 1 Car"/>
    <w:basedOn w:val="Policepardfaut"/>
    <w:link w:val="Titre1"/>
    <w:uiPriority w:val="9"/>
    <w:rPr>
      <w:rFonts w:asciiTheme="majorHAnsi" w:hAnsiTheme="majorHAnsi" w:eastAsiaTheme="majorEastAsia" w:cstheme="majorBidi"/>
      <w:color w:val="2E7D32"/>
      <w:sz w:val="32"/>
      <w:szCs w:val="32"/>
    </w:rPr>
  </w:style>
  <w:style w:type="paragraph" w:styleId="Titre2">
    <w:name w:val="heading 2"/>
    <w:basedOn w:val="Normal"/>
    <w:next w:val="Normal"/>
    <w:link w:val="Titre2Car"/>
    <w:uiPriority w:val="9"/>
    <w:qFormat/>
    <w:pPr>
      <w:keepNext/>
      <w:keepLines/>
      <w:numPr>
        <w:ilvl w:val="1"/>
        <w:numId w:val="1"/>
      </w:numPr>
      <w:spacing w:before="200" w:after="60"/>
      <w:outlineLvl w:val="1"/>
    </w:pPr>
    <w:rPr>
      <w:rFonts w:asciiTheme="majorHAnsi" w:hAnsiTheme="majorHAnsi" w:eastAsiaTheme="majorEastAsia" w:cstheme="majorBidi"/>
      <w:color w:val="558B2F"/>
      <w:sz w:val="26"/>
      <w:szCs w:val="26"/>
    </w:rPr>
  </w:style>
  <w:style w:type="character" w:styleId="Titre2Car">
    <w:name w:val="Titre 2 Car"/>
    <w:basedOn w:val="Policepardfaut"/>
    <w:link w:val="Titre2"/>
    <w:uiPriority w:val="9"/>
    <w:rPr>
      <w:rFonts w:asciiTheme="majorHAnsi" w:hAnsiTheme="majorHAnsi" w:eastAsiaTheme="majorEastAsia" w:cstheme="majorBidi"/>
      <w:color w:val="558B2F"/>
      <w:sz w:val="26"/>
      <w:szCs w:val="26"/>
    </w:rPr>
  </w:style>
  <w:style w:type="paragraph" w:styleId="Titre3">
    <w:name w:val="heading 3"/>
    <w:basedOn w:val="Normal"/>
    <w:next w:val="Normal"/>
    <w:link w:val="Titre3Car"/>
    <w:uiPriority w:val="9"/>
    <w:qFormat/>
    <w:pPr>
      <w:keepNext/>
      <w:keepLines/>
      <w:spacing w:before="40" w:after="0"/>
      <w:outlineLvl w:val="2"/>
    </w:pPr>
    <w:rPr>
      <w:rFonts w:asciiTheme="majorHAnsi" w:hAnsiTheme="majorHAnsi" w:eastAsiaTheme="majorEastAsia" w:cstheme="majorBidi"/>
      <w:color w:val="1F3763"/>
      <w:sz w:val="24"/>
      <w:szCs w:val="24"/>
    </w:rPr>
  </w:style>
  <w:style w:type="character" w:styleId="Titre3Car">
    <w:name w:val="Titre 3 Car"/>
    <w:basedOn w:val="Policepardfaut"/>
    <w:link w:val="Titre3"/>
    <w:uiPriority w:val="9"/>
    <w:rPr>
      <w:rFonts w:asciiTheme="majorHAnsi" w:hAnsiTheme="majorHAnsi" w:eastAsiaTheme="majorEastAsia" w:cstheme="majorBidi"/>
      <w:color w:val="1F3763"/>
      <w:sz w:val="24"/>
      <w:szCs w:val="24"/>
    </w:rPr>
  </w:style>
  <w:style w:type="paragraph" w:styleId="Titre">
    <w:name w:val="Title"/>
    <w:basedOn w:val="Normal"/>
    <w:next w:val="Normal"/>
    <w:link w:val="TitreCar"/>
    <w:uiPriority w:val="10"/>
    <w:qFormat/>
    <w:pPr>
      <w:spacing w:after="0" w:line="240" w:lineRule="auto"/>
      <w:contextualSpacing/>
    </w:pPr>
    <w:rPr>
      <w:rFonts w:asciiTheme="majorHAnsi" w:hAnsiTheme="majorHAnsi" w:eastAsiaTheme="majorEastAsia" w:cstheme="majorBidi"/>
      <w:b/>
      <w:bCs/>
      <w:color w:val="FFFFFF"/>
      <w:spacing w:val="-10"/>
      <w:kern w:val="28"/>
      <w:sz w:val="80"/>
      <w:spacing w:val="-10"/>
      <w:kern w:val="28"/>
      <w:szCs w:val="80"/>
    </w:rPr>
  </w:style>
  <w:style w:type="character" w:styleId="TitreCar">
    <w:name w:val="Titre Car"/>
    <w:basedOn w:val="Policepardfaut"/>
    <w:link w:val="Titre"/>
    <w:uiPriority w:val="10"/>
    <w:rPr>
      <w:rFonts w:asciiTheme="majorHAnsi" w:hAnsiTheme="majorHAnsi" w:eastAsiaTheme="majorEastAsia" w:cstheme="majorBidi"/>
      <w:b/>
      <w:bCs/>
      <w:color w:val="FFFFFF"/>
      <w:spacing w:val="-10"/>
      <w:kern w:val="28"/>
      <w:sz w:val="80"/>
      <w:spacing w:val="-10"/>
      <w:kern w:val="28"/>
      <w:szCs w:val="80"/>
    </w:rPr>
  </w:style>
  <w:style w:type="paragraph" w:styleId="Sous-titre">
    <w:name w:val="Subtitle"/>
    <w:basedOn w:val="Normal"/>
    <w:next w:val="Normal"/>
    <w:uiPriority w:val="11"/>
    <w:qFormat/>
    <w:pPr>
      <w:numPr>
        <w:ilvl w:val="1"/>
      </w:numPr>
    </w:pPr>
    <w:rPr>
      <w:color w:val="5A5A5A"/>
      <w:spacing w:val="15"/>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after="0" w:line="240" w:lineRule="auto"/>
    </w:pPr>
  </w:style>
  <w:style w:type="paragraph" w:styleId="En-tte">
    <w:name w:val="header"/>
    <w:basedOn w:val="Normal"/>
    <w:link w:val="En-tteCar"/>
    <w:uiPriority w:val="99"/>
    <w:semiHidden/>
    <w:unhideWhenUsed/>
    <w:pPr>
      <w:tabs>
        <w:tab w:val="center" w:pos="4536"/>
        <w:tab w:val="right" w:pos="9072"/>
      </w:tabs>
      <w:spacing w:after="0" w:line="240" w:lineRule="auto"/>
    </w:pPr>
  </w:style>
  <w:style w:type="character" w:styleId="En-tteCar">
    <w:name w:val="En-tête Car"/>
    <w:basedOn w:val="Policepardfaut"/>
    <w:link w:val="En-tte"/>
    <w:uiPriority w:val="99"/>
  </w:style>
  <w:style w:type="paragraph" w:styleId="Pieddepage">
    <w:name w:val="footer"/>
    <w:basedOn w:val="Normal"/>
    <w:link w:val="PieddepageCar"/>
    <w:uiPriority w:val="99"/>
    <w:semiHidden/>
    <w:unhideWhenUsed/>
    <w:pPr>
      <w:tabs>
        <w:tab w:val="center" w:pos="4536"/>
        <w:tab w:val="right" w:pos="9072"/>
      </w:tabs>
      <w:spacing w:after="0" w:line="240" w:lineRule="auto"/>
    </w:pPr>
  </w:style>
  <w:style w:type="character"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color w:val="44546A"/>
      <w:sz w:val="18"/>
      <w:szCs w:val="18"/>
    </w:rPr>
  </w:style>
  <w:style w:type="paragraph" w:styleId="TM1">
    <w:name w:val="toc 1"/>
    <w:basedOn w:val="Normal"/>
    <w:next w:val="Normal"/>
    <w:uiPriority w:val="39"/>
    <w:semiHidden/>
    <w:unhideWhenUsed/>
    <w:pPr>
      <w:tabs>
        <w:tab w:val="right" w:leader="dot" w:pos="9062"/>
      </w:tabs>
      <w:spacing w:after="100"/>
    </w:pPr>
  </w:style>
  <w:style w:type="paragraph" w:styleId="TM2">
    <w:name w:val="toc 2"/>
    <w:basedOn w:val="Normal"/>
    <w:next w:val="Normal"/>
    <w:uiPriority w:val="39"/>
    <w:semiHidden/>
    <w:unhideWhenUsed/>
    <w:pPr>
      <w:tabs>
        <w:tab w:val="right" w:leader="dot" w:pos="9062"/>
      </w:tabs>
      <w:spacing w:after="100"/>
      <w:ind w:left="220"/>
    </w:pPr>
  </w:style>
  <w:style w:type="paragraph" w:styleId="TM3">
    <w:name w:val="toc 3"/>
    <w:basedOn w:val="Normal"/>
    <w:next w:val="Normal"/>
    <w:uiPriority w:val="39"/>
    <w:semiHidden/>
    <w:unhideWhenUsed/>
    <w:pPr>
      <w:tabs>
        <w:tab w:val="right" w:leader="dot" w:pos="9062"/>
      </w:tabs>
      <w:spacing w:after="100"/>
      <w:ind w:left="440"/>
    </w:pPr>
  </w:style>
  <w:style w:type="paragraph" w:styleId="Tabledesillustrations">
    <w:name w:val="table of figures"/>
    <w:basedOn w:val="Normal"/>
    <w:next w:val="Normal"/>
    <w:uiPriority w:val="99"/>
    <w:semiHidden/>
    <w:unhideWhenUsed/>
    <w:pPr>
      <w:spacing w:after="0"/>
    </w:pPr>
  </w:style>
  <w:style w:type="paragraph" w:styleId="En-ttedetabledesmatires">
    <w:name w:val="TOC Heading"/>
    <w:basedOn w:val="Titre1"/>
    <w:next w:val="Normal"/>
    <w:uiPriority w:val="39"/>
    <w:semiHidden/>
    <w:unhideWhenUsed/>
    <w:qFormat/>
    <w:pPr>
      <w:numPr>
        <w:numId w:val="0"/>
      </w:numPr>
      <w:outlineLvl w:val="9"/>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NotedebasdepageCar">
    <w:name w:val="Note de bas de page Car"/>
    <w:basedOn w:val="Policepardfaut"/>
    <w:link w:val="Notedebasdepage"/>
    <w:uiPriority w:val="99"/>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styleId="NotedefinCar">
    <w:name w:val="Note de fin Car"/>
    <w:basedOn w:val="Policepardfaut"/>
    <w:link w:val="Notedefin"/>
    <w:uiPriority w:val="99"/>
    <w:rPr>
      <w:sz w:val="20"/>
      <w:szCs w:val="20"/>
    </w:rPr>
  </w:style>
  <w:style w:type="character" w:styleId="Appeldenotedefin">
    <w:name w:val="endnote reference"/>
    <w:basedOn w:val="Policepardfaut"/>
    <w:uiPriority w:val="99"/>
    <w:semiHidden/>
    <w:unhideWhenUsed/>
    <w:rPr>
      <w:vertAlign w:val="superscript"/>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name w:val="Commentaire Car"/>
    <w:basedOn w:val="Policepardfaut"/>
    <w:link w:val="Commentaire"/>
    <w:uiPriority w:val="99"/>
    <w:rPr>
      <w:sz w:val="20"/>
      <w:szCs w:val="20"/>
    </w:rPr>
  </w:style>
  <w:style w:type="character" w:styleId="Lienhypertexte">
    <w:name w:val="Hyperlink"/>
    <w:basedOn w:val="Policepardfaut"/>
    <w:uiPriority w:val="99"/>
    <w:semiHidden/>
    <w:unhideWhenUsed/>
    <w:rPr>
      <w:color w:val="0563C1" w:themeColor="hyperlink"/>
      <w:u w:val="single"/>
    </w:rPr>
  </w:style>
  <w:style w:type="character" w:styleId="Textedelespacerserv">
    <w:name w:val="Placeholder Text"/>
    <w:basedOn w:val="Policepardfaut"/>
    <w:uiPriority w:val="99"/>
    <w:semiHidden/>
    <w:unhideWhenUsed/>
    <w:rPr>
      <w:color w:val="808080"/>
    </w:rPr>
  </w:style>
  <w:style w:type="character" w:styleId="lev">
    <w:name w:val="Strong"/>
    <w:basedOn w:val="Policepardfaut"/>
    <w:uiPriority w:val="22"/>
    <w:qFormat/>
    <w:rPr>
      <w:b/>
      <w:bCs/>
    </w:rPr>
  </w:style>
  <w:style w:type="paragraph" w:styleId="Citation">
    <w:name w:val="Quote"/>
    <w:basedOn w:val="Normal"/>
    <w:next w:val="Normal"/>
    <w:uiPriority w:val="29"/>
    <w:qFormat/>
    <w:pPr>
      <w:spacing w:before="200" w:after="160"/>
      <w:ind w:left="864" w:right="864"/>
      <w:jc w:val="center"/>
    </w:pPr>
    <w:rPr>
      <w:i/>
      <w:iCs/>
      <w:color w:val="404040"/>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band1Horz">
      <w:tblPr/>
      <w:tcPr>
        <w:shd w:val="clear" w:color="auto" w:fill="D9E2F3"/>
      </w:tcPr>
    </w:tblStylePr>
  </w:style>
  <w:style w:type="table" w:styleId="Tableaulistelgre-Accentuation2">
    <w:name w:val="List Table 2 Accent 2"/>
    <w:basedOn w:val="TableauNormal"/>
    <w:uiPriority w:val="47"/>
    <w:pPr>
      <w:spacing w:after="0" w:line="240" w:lineRule="auto"/>
    </w:pPr>
    <w:tblPr>
      <w:tblStyleRowBandSize w:val="1"/>
      <w:tblBorders>
        <w:top w:val="single" w:sz="4" w:space="0" w:color="F4B083"/>
        <w:bottom w:val="single" w:sz="4" w:space="0" w:color="F4B083"/>
        <w:insideH w:val="single" w:sz="4" w:space="0" w:color="F4B083"/>
      </w:tblBorders>
    </w:tblPr>
    <w:tblStylePr w:type="firstRow">
      <w:rPr>
        <w:b/>
        <w:bCs/>
      </w:rPr>
    </w:tblStylePr>
    <w:tblStylePr w:type="band1Horz">
      <w:tblPr/>
      <w:tcPr>
        <w:shd w:val="clear" w:color="auto" w:fill="FBE4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header" Target="header1.xml"/><Relationship Id="rId4"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chart" Target="charts/chart1.xml"/><Relationship Id="rId15" Type="http://schemas.openxmlformats.org/officeDocument/2006/relationships/chart" Target="charts/chart2.xml"/><Relationship Id="rId16" Type="http://schemas.openxmlformats.org/officeDocument/2006/relationships/footnotes" Target="footnotes.xml"/><Relationship Id="rId17"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c:chart>
    <c:title>
      <c:tx>
        <c:rich>
          <a:bodyPr/>
          <a:lstStyle/>
          <a:p>
            <a:pPr>
              <a:defRPr sz="1200" b="1"/>
            </a:pPr>
            <a:r>
              <a:rPr lang="fr-FR" sz="1200" b="1"/>
              <a:t>Évolution du nombre d’adhérents</a:t>
            </a:r>
          </a:p>
        </c:rich>
      </c:tx>
      <c:overlay val="0"/>
    </c:title>
    <c:autoTitleDeleted val="0"/>
    <c:plotArea>
      <c:layout/>
      <c:barChart>
        <c:barDir val="col"/>
        <c:grouping val="clustered"/>
        <c:varyColors val="0"/>
        <c:ser>
          <c:idx val="0"/>
          <c:order val="0"/>
          <c:tx>
            <c:strRef>
              <c:f>Feuil1!$B$1</c:f>
              <c:strCache>
                <c:ptCount val="1"/>
                <c:pt idx="0">
                  <c:v>Adhérents</c:v>
                </c:pt>
              </c:strCache>
            </c:strRef>
          </c:tx>
          <c:spPr>
            <a:solidFill>
              <a:srgbClr val="2E7D32"/>
            </a:solidFill>
          </c:spPr>
          <c:invertIfNegative val="0"/>
          <c:cat>
            <c:strRef>
              <c:f>Feuil1!$A$2:$A$6</c:f>
              <c:strCache>
                <c:ptCount val="5"/>
                <c:pt idx="0">
                  <c:v>2021</c:v>
                </c:pt>
                <c:pt idx="1">
                  <c:v>2022</c:v>
                </c:pt>
                <c:pt idx="2">
                  <c:v>2023</c:v>
                </c:pt>
                <c:pt idx="3">
                  <c:v>2024</c:v>
                </c:pt>
                <c:pt idx="4">
                  <c:v>2025</c:v>
                </c:pt>
              </c:strCache>
            </c:strRef>
          </c:cat>
          <c:val>
            <c:numRef>
              <c:f>Feuil1!$B$2:$B$6</c:f>
              <c:numCache>
                <c:formatCode>General</c:formatCode>
                <c:ptCount val="5"/>
                <c:pt idx="0">
                  <c:v>21</c:v>
                </c:pt>
                <c:pt idx="1">
                  <c:v>38</c:v>
                </c:pt>
                <c:pt idx="2">
                  <c:v>52</c:v>
                </c:pt>
                <c:pt idx="3">
                  <c:v>64</c:v>
                </c:pt>
                <c:pt idx="4">
                  <c:v>87</c:v>
                </c:pt>
              </c:numCache>
            </c:numRef>
          </c:val>
        </c:ser>
        <c:ser>
          <c:idx val="1"/>
          <c:order val="1"/>
          <c:tx>
            <c:strRef>
              <c:f>Feuil1!$C$1</c:f>
              <c:strCache>
                <c:ptCount val="1"/>
                <c:pt idx="0">
                  <c:v>dont moins de 30 ans</c:v>
                </c:pt>
              </c:strCache>
            </c:strRef>
          </c:tx>
          <c:spPr>
            <a:solidFill>
              <a:srgbClr val="FFA000"/>
            </a:solidFill>
          </c:spPr>
          <c:invertIfNegative val="0"/>
          <c:cat>
            <c:strRef>
              <c:f>Feuil1!$A$2:$A$6</c:f>
              <c:strCache>
                <c:ptCount val="5"/>
                <c:pt idx="0">
                  <c:v>2021</c:v>
                </c:pt>
                <c:pt idx="1">
                  <c:v>2022</c:v>
                </c:pt>
                <c:pt idx="2">
                  <c:v>2023</c:v>
                </c:pt>
                <c:pt idx="3">
                  <c:v>2024</c:v>
                </c:pt>
                <c:pt idx="4">
                  <c:v>2025</c:v>
                </c:pt>
              </c:strCache>
            </c:strRef>
          </c:cat>
          <c:val>
            <c:numRef>
              <c:f>Feuil1!$C$2:$C$6</c:f>
              <c:numCache>
                <c:formatCode>General</c:formatCode>
                <c:ptCount val="5"/>
                <c:pt idx="0">
                  <c:v>3</c:v>
                </c:pt>
                <c:pt idx="1">
                  <c:v>6</c:v>
                </c:pt>
                <c:pt idx="2">
                  <c:v>9</c:v>
                </c:pt>
                <c:pt idx="3">
                  <c:v>12</c:v>
                </c:pt>
                <c:pt idx="4">
                  <c:v>25</c:v>
                </c:pt>
              </c:numCache>
            </c:numRef>
          </c:val>
        </c:ser>
        <c:gapWidth val="150"/>
        <c:axId val="50010001"/>
        <c:axId val="50010002"/>
      </c:barChart>
      <c:catAx>
        <c:axId val="50010001"/>
        <c:scaling>
          <c:orientation val="minMax"/>
        </c:scaling>
        <c:delete val="0"/>
        <c:axPos val="b"/>
        <c:numFmt formatCode="General" sourceLinked="1"/>
        <c:majorTickMark val="none"/>
        <c:minorTickMark val="none"/>
        <c:tickLblPos val="nextTo"/>
        <c:txPr>
          <a:bodyPr/>
          <a:lstStyle/>
          <a:p>
            <a:pPr>
              <a:defRPr sz="900">
                <a:solidFill>
                  <a:srgbClr val="595959"/>
                </a:solidFill>
              </a:defRPr>
            </a:pPr>
            <a:endParaRPr lang="fr-FR"/>
          </a:p>
        </c:txPr>
        <c:crossAx val="50010002"/>
        <c:crosses val="autoZero"/>
        <c:auto val="1"/>
        <c:lblAlgn val="ctr"/>
        <c:lblOffset val="100"/>
        <c:noMultiLvlLbl val="0"/>
      </c:catAx>
      <c:valAx>
        <c:axId val="50010002"/>
        <c:scaling>
          <c:orientation val="minMax"/>
        </c:scaling>
        <c:delete val="0"/>
        <c:axPos val="l"/>
        <c:majorGridlines>
          <c:spPr>
            <a:ln w="9525">
              <a:solidFill>
                <a:srgbClr val="D9D9D9"/>
              </a:solidFill>
            </a:ln>
          </c:spPr>
        </c:majorGridlines>
        <c:numFmt formatCode="General" sourceLinked="1"/>
        <c:majorTickMark val="none"/>
        <c:minorTickMark val="none"/>
        <c:tickLblPos val="nextTo"/>
        <c:txPr>
          <a:bodyPr/>
          <a:lstStyle/>
          <a:p>
            <a:pPr>
              <a:defRPr sz="900">
                <a:solidFill>
                  <a:srgbClr val="595959"/>
                </a:solidFill>
              </a:defRPr>
            </a:pPr>
            <a:endParaRPr lang="fr-FR"/>
          </a:p>
        </c:txPr>
        <c:crossAx val="50010001"/>
        <c:crosses val="autoZero"/>
        <c:crossBetween val="between"/>
      </c:valAx>
    </c:plotArea>
    <c:legend>
      <c:legendPos val="b"/>
      <c:overlay val="0"/>
      <c:txPr>
        <a:bodyPr/>
        <a:lstStyle/>
        <a:p>
          <a:pPr>
            <a:defRPr sz="900">
              <a:solidFill>
                <a:srgbClr val="595959"/>
              </a:solidFill>
            </a:defRPr>
          </a:pPr>
          <a:endParaRPr lang="fr-FR"/>
        </a:p>
      </c:txPr>
    </c:legend>
    <c:plotVisOnly val="1"/>
    <c:dispBlanksAs val="gap"/>
  </c:chart>
  <c:spPr>
    <a:solidFill>
      <a:srgbClr val="FFFFFF"/>
    </a:solidFill>
    <a:ln>
      <a:noFill/>
    </a:ln>
  </c:spPr>
  <c:txPr>
    <a:bodyPr/>
    <a:lstStyle/>
    <a:p>
      <a:pPr>
        <a:defRPr sz="1000">
          <a:solidFill>
            <a:srgbClr val="404040"/>
          </a:solidFill>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c:chart>
    <c:title>
      <c:tx>
        <c:rich>
          <a:bodyPr/>
          <a:lstStyle/>
          <a:p>
            <a:pPr>
              <a:defRPr sz="1200" b="1"/>
            </a:pPr>
            <a:r>
              <a:rPr lang="fr-FR" sz="1200" b="1"/>
              <a:t>Origine des recettes 2025</a:t>
            </a:r>
          </a:p>
        </c:rich>
      </c:tx>
      <c:overlay val="0"/>
    </c:title>
    <c:autoTitleDeleted val="0"/>
    <c:plotArea>
      <c:layout/>
      <c:pieChart>
        <c:varyColors val="1"/>
        <c:ser>
          <c:idx val="0"/>
          <c:order val="0"/>
          <c:tx>
            <c:strRef>
              <c:f>Feuil1!$B$1</c:f>
              <c:strCache>
                <c:ptCount val="1"/>
                <c:pt idx="0">
                  <c:v>Recettes</c:v>
                </c:pt>
              </c:strCache>
            </c:strRef>
          </c:tx>
          <c:dPt>
            <c:idx val="0"/>
            <c:bubble3D val="0"/>
            <c:spPr>
              <a:solidFill>
                <a:srgbClr val="2E7D32"/>
              </a:solidFill>
              <a:ln w="19050">
                <a:solidFill>
                  <a:srgbClr val="FFFFFF"/>
                </a:solidFill>
              </a:ln>
            </c:spPr>
          </c:dPt>
          <c:dPt>
            <c:idx val="1"/>
            <c:bubble3D val="0"/>
            <c:spPr>
              <a:solidFill>
                <a:srgbClr val="66BB6A"/>
              </a:solidFill>
              <a:ln w="19050">
                <a:solidFill>
                  <a:srgbClr val="FFFFFF"/>
                </a:solidFill>
              </a:ln>
            </c:spPr>
          </c:dPt>
          <c:dPt>
            <c:idx val="2"/>
            <c:bubble3D val="0"/>
            <c:spPr>
              <a:solidFill>
                <a:srgbClr val="FFA000"/>
              </a:solidFill>
              <a:ln w="19050">
                <a:solidFill>
                  <a:srgbClr val="FFFFFF"/>
                </a:solidFill>
              </a:ln>
            </c:spPr>
          </c:dPt>
          <c:dPt>
            <c:idx val="3"/>
            <c:bubble3D val="0"/>
            <c:spPr>
              <a:solidFill>
                <a:srgbClr val="FFD54F"/>
              </a:solidFill>
              <a:ln w="19050">
                <a:solidFill>
                  <a:srgbClr val="FFFFFF"/>
                </a:solidFill>
              </a:ln>
            </c:spPr>
          </c:dPt>
          <c:dPt>
            <c:idx val="4"/>
            <c:bubble3D val="0"/>
            <c:spPr>
              <a:solidFill>
                <a:srgbClr val="8D6E63"/>
              </a:solidFill>
              <a:ln w="19050">
                <a:solidFill>
                  <a:srgbClr val="FFFFFF"/>
                </a:solidFill>
              </a:ln>
            </c:spPr>
          </c:dPt>
          <c:dLbls>
            <c:numFmt formatCode="0%" sourceLinked="0"/>
            <c:spPr>
              <a:noFill/>
              <a:ln>
                <a:noFill/>
              </a:ln>
            </c:spPr>
            <c:txPr>
              <a:bodyPr/>
              <a:lstStyle/>
              <a:p>
                <a:pPr>
                  <a:defRPr sz="900">
                    <a:solidFill>
                      <a:srgbClr val="404040"/>
                    </a:solidFill>
                  </a:defRPr>
                </a:pPr>
                <a:endParaRPr lang="fr-FR"/>
              </a:p>
            </c:txPr>
            <c:dLblPos val="outEnd"/>
            <c:showLegendKey val="0"/>
            <c:showVal val="0"/>
            <c:showCatName val="0"/>
            <c:showSerName val="0"/>
            <c:showPercent val="1"/>
            <c:showBubbleSize val="0"/>
            <c:showLeaderLines val="1"/>
          </c:dLbls>
          <c:cat>
            <c:strRef>
              <c:f>Feuil1!$A$2:$A$6</c:f>
              <c:strCache>
                <c:ptCount val="5"/>
                <c:pt idx="0">
                  <c:v>Cotisations</c:v>
                </c:pt>
                <c:pt idx="1">
                  <c:v>Subvention communale</c:v>
                </c:pt>
                <c:pt idx="2">
                  <c:v>Fête des récoltes</c:v>
                </c:pt>
                <c:pt idx="3">
                  <c:v>Dons</c:v>
                </c:pt>
                <c:pt idx="4">
                  <c:v>Ventes de plants</c:v>
                </c:pt>
              </c:strCache>
            </c:strRef>
          </c:cat>
          <c:val>
            <c:numRef>
              <c:f>Feuil1!$B$2:$B$6</c:f>
              <c:numCache>
                <c:formatCode>General</c:formatCode>
                <c:ptCount val="5"/>
                <c:pt idx="0">
                  <c:v>1740</c:v>
                </c:pt>
                <c:pt idx="1">
                  <c:v>4500</c:v>
                </c:pt>
                <c:pt idx="2">
                  <c:v>5120</c:v>
                </c:pt>
                <c:pt idx="3">
                  <c:v>1900</c:v>
                </c:pt>
                <c:pt idx="4">
                  <c:v>1600</c:v>
                </c:pt>
              </c:numCache>
            </c:numRef>
          </c:val>
        </c:ser>
        <c:firstSliceAng val="0"/>
      </c:pieChart>
    </c:plotArea>
    <c:legend>
      <c:legendPos val="b"/>
      <c:overlay val="0"/>
      <c:txPr>
        <a:bodyPr/>
        <a:lstStyle/>
        <a:p>
          <a:pPr>
            <a:defRPr sz="900">
              <a:solidFill>
                <a:srgbClr val="595959"/>
              </a:solidFill>
            </a:defRPr>
          </a:pPr>
          <a:endParaRPr lang="fr-FR"/>
        </a:p>
      </c:txPr>
    </c:legend>
    <c:plotVisOnly val="1"/>
    <c:dispBlanksAs val="gap"/>
  </c:chart>
  <c:spPr>
    <a:solidFill>
      <a:srgbClr val="FFFFFF"/>
    </a:solidFill>
    <a:ln>
      <a:noFill/>
    </a:ln>
  </c:spPr>
  <c:txPr>
    <a:bodyPr/>
    <a:lstStyle/>
    <a:p>
      <a:pPr>
        <a:defRPr sz="1000">
          <a:solidFill>
            <a:srgbClr val="404040"/>
          </a:solidFill>
        </a:defRPr>
      </a:pPr>
      <a:endParaRPr lang="fr-F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472C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5</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d’activité 2025 – Les Jardins partagés du Moulin</dc:title>
  <dc:subject>Rapport d’activité</dc:subject>
  <dc:creator>Corpus provisoire ElixirOffice (contenu fictif)</dc:creator>
  <cp:keywords>rapport; sommaire; graphiques</cp:keywords>
  <dc:description>Document genere - corpus provisoire, a remplacer par les documents reels.</dc:description>
  <cp:lastModifiedBy>Corpus provisoire ElixirOffice</cp:lastModifiedBy>
  <cp:revision>3</cp:revision>
  <dcterms:created xsi:type="dcterms:W3CDTF">2026-03-02T09:00:00Z</dcterms:created>
  <dcterms:modified xsi:type="dcterms:W3CDTF">2026-03-02T09:00:00Z</dcterms:modified>
  <cp:category/>
  <dc:language>fr-FR</dc:language>
  <cp:lastPrinted>2026-03-02T09:00:00Z</cp:lastPrinted>
</cp:coreProperties>
</file>