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</w:pPr>
      <w:r>
        <w:t xml:space="preserve">La Révolution française et l’Empire</w:t>
      </w:r>
    </w:p>
    <w:p>
      <w:pPr>
        <w:pStyle w:val="Sous-titre"/>
      </w:pPr>
      <w:r>
        <w:t xml:space="preserve">Séquence d’histoire – Cycle 3 – CM2</w:t>
      </w:r>
    </w:p>
    <w:tbl>
      <w:tblPr>
        <w:tblW w:w="9639" w:type="dxa"/>
        <w:tblBorders>
          <w:top w:val="single" w:sz="4" w:space="0" w:color="F4B183"/>
          <w:left w:val="single" w:sz="4" w:space="0" w:color="F4B183"/>
          <w:bottom w:val="single" w:sz="4" w:space="0" w:color="F4B183"/>
          <w:right w:val="single" w:sz="4" w:space="0" w:color="F4B183"/>
          <w:insideH w:val="single" w:sz="4" w:space="0" w:color="F4B183"/>
          <w:insideV w:val="single" w:sz="4" w:space="0" w:color="F4B183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825"/>
      </w:tblGrid>
      <w:tr>
        <w:tc>
          <w:tcPr>
            <w:tcW w:w="1814" w:type="dxa"/>
            <w:shd w:val="clear" w:color="auto" w:fill="FBE4D5"/>
          </w:tcPr>
          <w:p>
            <w:r>
              <w:rPr>
                <w:b/>
                <w:bCs/>
              </w:rPr>
              <w:t xml:space="preserve">Thème</w:t>
            </w:r>
          </w:p>
        </w:tc>
        <w:tc>
          <w:tcPr>
            <w:tcW w:w="7825" w:type="dxa"/>
          </w:tcPr>
          <w:p>
            <w:r>
              <w:t xml:space="preserve">Le temps de la Révolution et de l’Empire (thème 2 du programme de CM2)</w:t>
            </w:r>
          </w:p>
        </w:tc>
      </w:tr>
      <w:tr>
        <w:tc>
          <w:tcPr>
            <w:tcW w:w="1814" w:type="dxa"/>
            <w:shd w:val="clear" w:color="auto" w:fill="FBE4D5"/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w="7825" w:type="dxa"/>
          </w:tcPr>
          <w:p>
            <w:r>
              <w:t xml:space="preserve">6 séances de 45 minutes à 1 heure, de janvier à février</w:t>
            </w:r>
          </w:p>
        </w:tc>
      </w:tr>
      <w:tr>
        <w:tc>
          <w:tcPr>
            <w:tcW w:w="1814" w:type="dxa"/>
            <w:shd w:val="clear" w:color="auto" w:fill="FBE4D5"/>
          </w:tcPr>
          <w:p>
            <w:r>
              <w:rPr>
                <w:b/>
                <w:bCs/>
              </w:rPr>
              <w:t xml:space="preserve">Prérequis</w:t>
            </w:r>
          </w:p>
        </w:tc>
        <w:tc>
          <w:tcPr>
            <w:tcW w:w="7825" w:type="dxa"/>
          </w:tcPr>
          <w:p>
            <w:r>
              <w:t xml:space="preserve">Louis XIV et la monarchie absolue ; lecture d’une frise chronologique</w:t>
            </w:r>
          </w:p>
        </w:tc>
      </w:tr>
      <w:tr>
        <w:tc>
          <w:tcPr>
            <w:tcW w:w="1814" w:type="dxa"/>
            <w:shd w:val="clear" w:color="auto" w:fill="FBE4D5"/>
          </w:tcPr>
          <w:p>
            <w:r>
              <w:rPr>
                <w:b/>
                <w:bCs/>
              </w:rPr>
              <w:t xml:space="preserve">Matériel</w:t>
            </w:r>
          </w:p>
        </w:tc>
        <w:tc>
          <w:tcPr>
            <w:tcW w:w="7825" w:type="dxa"/>
          </w:tcPr>
          <w:p>
            <w:r>
              <w:t xml:space="preserve">Frise de classe, vidéoprojecteur, corpus documentaire (gravures, extraits de textes), cahier d’histoire</w:t>
            </w:r>
          </w:p>
        </w:tc>
      </w:tr>
    </w:tbl>
    <w:p>
      <w:pPr>
        <w:pStyle w:val="Titre1"/>
      </w:pPr>
      <w:r>
        <w:t xml:space="preserve">Objectifs et compétences</w:t>
      </w:r>
    </w:p>
    <w:p>
      <w:pPr>
        <w:spacing w:after="0"/>
        <w:sectPr>
          <w:headerReference w:type="default" r:id="rId4"/>
          <w:headerReference w:type="first" r:id="rId1"/>
          <w:footerReference w:type="default" r:id="rId10"/>
          <w:footerReference w:type="first" r:id="rId10"/>
          <w:pgSz w:w="11906" w:h="16838"/>
          <w:pgMar w:top="1134" w:right="1134" w:bottom="1134" w:left="1134" w:header="567" w:footer="567" w:gutter="0"/>
          <w:cols w:space="708"/>
          <w:titlePg/>
          <w:docGrid w:linePitch="360"/>
        </w:sectPr>
      </w:pPr>
    </w:p>
    <w:p>
      <w:pPr>
        <w:pStyle w:val="Titre2"/>
      </w:pPr>
      <w:r>
        <w:t xml:space="preserve">Objectifs de connaissance</w:t>
      </w:r>
    </w:p>
    <w:p>
      <w:pPr>
        <w:numPr>
          <w:ilvl w:val="0"/>
          <w:numId w:val="1"/>
        </w:numPr>
        <w:spacing w:after="60"/>
      </w:pPr>
      <w:r>
        <w:t xml:space="preserve">Connaître quelques dates clés : 1789, 1792, 1799, 1804, 1815.</w:t>
      </w:r>
    </w:p>
    <w:p>
      <w:pPr>
        <w:numPr>
          <w:ilvl w:val="0"/>
          <w:numId w:val="1"/>
        </w:numPr>
        <w:spacing w:after="60"/>
      </w:pPr>
      <w:r>
        <w:t xml:space="preserve">Comprendre le passage d’une monarchie absolue à une république.</w:t>
      </w:r>
    </w:p>
    <w:p>
      <w:pPr>
        <w:numPr>
          <w:ilvl w:val="0"/>
          <w:numId w:val="1"/>
        </w:numPr>
        <w:spacing w:after="60"/>
      </w:pPr>
      <w:r>
        <w:t xml:space="preserve">Identifier quelques acquis durables : Déclaration des droits de l’homme, Code civil, départements, système métrique.</w:t>
      </w:r>
    </w:p>
    <w:p>
      <w:pPr>
        <w:numPr>
          <w:ilvl w:val="0"/>
          <w:numId w:val="1"/>
        </w:numPr>
        <w:spacing w:after="60"/>
      </w:pPr>
      <w:r>
        <w:t xml:space="preserve">Connaître le rôle de quelques acteurs : les députés du tiers état, le peuple de Paris, Napoléon Bonaparte.</w:t>
      </w:r>
    </w:p>
    <w:p>
      <w:pPr>
        <w:pStyle w:val="Titre2"/>
      </w:pPr>
      <w:r>
        <w:t xml:space="preserve">Compétences travaillées</w:t>
      </w:r>
    </w:p>
    <w:p>
      <w:pPr>
        <w:numPr>
          <w:ilvl w:val="0"/>
          <w:numId w:val="1"/>
        </w:numPr>
        <w:spacing w:after="60"/>
      </w:pPr>
      <w:r>
        <w:t xml:space="preserve">Se repérer dans le temps : construire des repères historiques.</w:t>
      </w:r>
    </w:p>
    <w:p>
      <w:pPr>
        <w:numPr>
          <w:ilvl w:val="0"/>
          <w:numId w:val="1"/>
        </w:numPr>
        <w:spacing w:after="60"/>
      </w:pPr>
      <w:r>
        <w:t xml:space="preserve">Comprendre un document : identifier sa nature, son auteur, sa date.</w:t>
      </w:r>
    </w:p>
    <w:p>
      <w:pPr>
        <w:numPr>
          <w:ilvl w:val="0"/>
          <w:numId w:val="1"/>
        </w:numPr>
        <w:spacing w:after="60"/>
      </w:pPr>
      <w:r>
        <w:t xml:space="preserve">Pratiquer différents langages : écrire pour structurer sa pensée.</w:t>
      </w:r>
    </w:p>
    <w:p>
      <w:pPr>
        <w:numPr>
          <w:ilvl w:val="0"/>
          <w:numId w:val="1"/>
        </w:numPr>
        <w:spacing w:after="60"/>
      </w:pPr>
      <w:r>
        <w:t xml:space="preserve">Coopérer et mutualiser : travail en groupes sur un corpus.</w:t>
      </w:r>
    </w:p>
    <w:p>
      <w:pPr>
        <w:spacing w:before="120"/>
      </w:pPr>
      <w:r>
        <w:rPr>
          <w:i/>
          <w:iCs/>
        </w:rPr>
        <w:t xml:space="preserve">Liens avec l’EMC : les symboles de la République (devise, drapeau, Marianne, hymne).</w:t>
      </w:r>
    </w:p>
    <w:p>
      <w:pPr>
        <w:spacing w:after="0"/>
        <w:sectPr>
          <w:headerReference w:type="default" r:id="rId4"/>
          <w:footerReference w:type="default" r:id="rId10"/>
          <w:type w:val="continuous"/>
          <w:pgSz w:w="11906" w:h="16838"/>
          <w:pgMar w:top="1134" w:right="1134" w:bottom="1134" w:left="1134" w:header="567" w:footer="567" w:gutter="0"/>
          <w:cols w:num="2" w:space="680" w:sep="1"/>
          <w:docGrid w:linePitch="360"/>
        </w:sectPr>
      </w:pPr>
    </w:p>
    <w:p>
      <w:pPr>
        <w:pStyle w:val="Titre1"/>
      </w:pPr>
      <w:r>
        <w:t xml:space="preserve">Déroulement de la séquence</w:t>
      </w:r>
    </w:p>
    <w:p>
      <w:pPr>
        <w:spacing w:after="0"/>
      </w:pPr>
      <w:r>
        <w:t xml:space="preserve">Le tableau ci-dessous détaille chaque séance (voir pages suivantes, en orientation paysage).</w:t>
      </w:r>
    </w:p>
    <w:p>
      <w:pPr>
        <w:spacing w:after="0"/>
        <w:sectPr>
          <w:headerReference w:type="default" r:id="rId4"/>
          <w:footerReference w:type="default" r:id="rId10"/>
          <w:type w:val="continuous"/>
          <w:pgSz w:w="11906" w:h="16838"/>
          <w:pgMar w:top="1134" w:right="1134" w:bottom="1134" w:left="1134" w:header="567" w:footer="567" w:gutter="0"/>
          <w:cols w:space="708"/>
          <w:docGrid w:linePitch="360"/>
        </w:sectPr>
      </w:pPr>
    </w:p>
    <w:tbl>
      <w:tblPr>
        <w:tblW w:w="14571" w:type="dxa"/>
        <w:tblBorders>
          <w:top w:val="single" w:sz="4" w:space="0" w:color="C55A11"/>
          <w:left w:val="single" w:sz="4" w:space="0" w:color="C55A11"/>
          <w:bottom w:val="single" w:sz="4" w:space="0" w:color="C55A11"/>
          <w:right w:val="single" w:sz="4" w:space="0" w:color="C55A11"/>
          <w:insideH w:val="single" w:sz="4" w:space="0" w:color="C55A11"/>
          <w:insideV w:val="single" w:sz="4" w:space="0" w:color="C55A1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95"/>
        <w:gridCol w:w="5216"/>
        <w:gridCol w:w="2041"/>
        <w:gridCol w:w="907"/>
        <w:gridCol w:w="2098"/>
      </w:tblGrid>
      <w:tr>
        <w:trPr>
          <w:trHeight w:val="510" w:hRule="atLeast"/>
          <w:tblHeader/>
        </w:trPr>
        <w:tc>
          <w:tcPr>
            <w:tcW w:w="1814" w:type="dxa"/>
            <w:shd w:val="clear" w:color="auto" w:fill="833C0B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Séance</w:t>
            </w:r>
          </w:p>
        </w:tc>
        <w:tc>
          <w:tcPr>
            <w:tcW w:w="2495" w:type="dxa"/>
            <w:shd w:val="clear" w:color="auto" w:fill="833C0B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Objectifs</w:t>
            </w:r>
          </w:p>
        </w:tc>
        <w:tc>
          <w:tcPr>
            <w:tcW w:w="5216" w:type="dxa"/>
            <w:shd w:val="clear" w:color="auto" w:fill="833C0B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Déroulement</w:t>
            </w:r>
          </w:p>
        </w:tc>
        <w:tc>
          <w:tcPr>
            <w:tcW w:w="2041" w:type="dxa"/>
            <w:shd w:val="clear" w:color="auto" w:fill="833C0B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Matériel</w:t>
            </w:r>
          </w:p>
        </w:tc>
        <w:tc>
          <w:tcPr>
            <w:tcW w:w="907" w:type="dxa"/>
            <w:shd w:val="clear" w:color="auto" w:fill="833C0B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Durée</w:t>
            </w:r>
          </w:p>
        </w:tc>
        <w:tc>
          <w:tcPr>
            <w:tcW w:w="2098" w:type="dxa"/>
            <w:shd w:val="clear" w:color="auto" w:fill="833C0B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Évaluation / trace</w:t>
            </w:r>
          </w:p>
        </w:tc>
      </w:tr>
      <w:tr>
        <w:trPr>
          <w:cantSplit/>
        </w:trPr>
        <w:tc>
          <w:tcPr>
            <w:tcW w:w="1814" w:type="dxa"/>
            <w:shd w:val="clear" w:color="auto" w:fill="FBE4D5"/>
          </w:tcPr>
          <w:p>
            <w:pPr>
              <w:spacing w:after="0"/>
            </w:pPr>
            <w:r>
              <w:rPr>
                <w:b/>
                <w:bCs/>
                <w:color w:val="833C0B"/>
              </w:rPr>
              <w:t xml:space="preserve">1. La France avant 1789</w:t>
            </w:r>
          </w:p>
        </w:tc>
        <w:tc>
          <w:tcPr>
            <w:tcW w:w="2495" w:type="dxa"/>
          </w:tcPr>
          <w:p>
            <w:pPr>
              <w:spacing w:after="0"/>
            </w:pPr>
            <w:r>
              <w:t xml:space="preserve">Découvrir l’organisation de la société d’Ancien Régime (trois ordres).</w:t>
            </w:r>
          </w:p>
        </w:tc>
        <w:tc>
          <w:tcPr>
            <w:tcW w:w="5216" w:type="dxa"/>
          </w:tcPr>
          <w:p>
            <w:pPr>
              <w:numPr>
                <w:ilvl w:val="0"/>
                <w:numId w:val="2"/>
              </w:numPr>
              <w:spacing w:after="40"/>
            </w:pPr>
            <w:r>
              <w:t xml:space="preserve">Rappel : Louis XIV et la monarchie absolue (5 min).</w:t>
            </w:r>
          </w:p>
          <w:p>
            <w:pPr>
              <w:numPr>
                <w:ilvl w:val="0"/>
                <w:numId w:val="2"/>
              </w:numPr>
              <w:spacing w:after="40"/>
            </w:pPr>
            <w:r>
              <w:t xml:space="preserve">Observation de la caricature « Le tiers état portant le clergé et la noblesse » : description guidée.</w:t>
            </w:r>
          </w:p>
          <w:p>
            <w:pPr>
              <w:numPr>
                <w:ilvl w:val="0"/>
                <w:numId w:val="2"/>
              </w:numPr>
              <w:spacing w:after="40"/>
            </w:pPr>
            <w:r>
              <w:t xml:space="preserve">Travail en binômes : compléter un schéma de la pyramide sociale.</w:t>
            </w:r>
          </w:p>
          <w:p>
            <w:pPr>
              <w:numPr>
                <w:ilvl w:val="0"/>
                <w:numId w:val="2"/>
              </w:numPr>
              <w:spacing w:after="40"/>
            </w:pPr>
            <w:r>
              <w:t xml:space="preserve">Mise en commun et formulation d’une phrase de synthèse.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rPr>
                <w:i/>
                <w:iCs/>
              </w:rPr>
              <w:t xml:space="preserve">Caricature vidéoprojetée ; schéma à compléter</w:t>
            </w:r>
          </w:p>
        </w:tc>
        <w:tc>
          <w:tcPr>
            <w:tcW w:w="907" w:type="dxa"/>
            <w:vAlign w:val="center"/>
          </w:tcPr>
          <w:p>
            <w:pPr>
              <w:spacing w:after="0"/>
              <w:jc w:val="center"/>
            </w:pPr>
            <w:r>
              <w:t xml:space="preserve">50 min</w:t>
            </w:r>
          </w:p>
        </w:tc>
        <w:tc>
          <w:tcPr>
            <w:tcW w:w="2098" w:type="dxa"/>
          </w:tcPr>
          <w:p>
            <w:pPr>
              <w:spacing w:after="0"/>
            </w:pPr>
            <w:r>
              <w:t xml:space="preserve">Schéma collé dans le cahier</w:t>
            </w:r>
          </w:p>
        </w:tc>
      </w:tr>
      <w:tr>
        <w:trPr>
          <w:cantSplit/>
        </w:trPr>
        <w:tc>
          <w:tcPr>
            <w:tcW w:w="1814" w:type="dxa"/>
            <w:shd w:val="clear" w:color="auto" w:fill="FBE4D5"/>
          </w:tcPr>
          <w:p>
            <w:pPr>
              <w:spacing w:after="0"/>
            </w:pPr>
            <w:r>
              <w:rPr>
                <w:b/>
                <w:bCs/>
                <w:color w:val="833C0B"/>
              </w:rPr>
              <w:t xml:space="preserve">2. 1789 : la Révolution commence</w:t>
            </w:r>
          </w:p>
        </w:tc>
        <w:tc>
          <w:tcPr>
            <w:tcW w:w="2495" w:type="dxa"/>
          </w:tcPr>
          <w:p>
            <w:pPr>
              <w:spacing w:after="0"/>
            </w:pPr>
            <w:r>
              <w:t xml:space="preserve">Comprendre les causes et les premiers événements.</w:t>
            </w:r>
          </w:p>
        </w:tc>
        <w:tc>
          <w:tcPr>
            <w:tcW w:w="5216" w:type="dxa"/>
          </w:tcPr>
          <w:p>
            <w:pPr>
              <w:numPr>
                <w:ilvl w:val="0"/>
                <w:numId w:val="2"/>
              </w:numPr>
              <w:spacing w:after="40"/>
            </w:pPr>
            <w:r>
              <w:t xml:space="preserve">Lecture d’un récit : les États généraux, le serment du Jeu de paume, la prise de la Bastille.</w:t>
            </w:r>
          </w:p>
          <w:p>
            <w:pPr>
              <w:numPr>
                <w:ilvl w:val="0"/>
                <w:numId w:val="2"/>
              </w:numPr>
              <w:spacing w:after="40"/>
            </w:pPr>
            <w:r>
              <w:t xml:space="preserve">Questionnaire de compréhension en autonomie.</w:t>
            </w:r>
          </w:p>
          <w:p>
            <w:pPr>
              <w:numPr>
                <w:ilvl w:val="0"/>
                <w:numId w:val="2"/>
              </w:numPr>
              <w:spacing w:after="40"/>
            </w:pPr>
            <w:r>
              <w:t xml:space="preserve">Construction collective d’une mini-frise : mai – août 1789.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rPr>
                <w:i/>
                <w:iCs/>
              </w:rPr>
              <w:t xml:space="preserve">Récit photocopié ; frise vierge</w:t>
            </w:r>
          </w:p>
        </w:tc>
        <w:tc>
          <w:tcPr>
            <w:tcW w:w="907" w:type="dxa"/>
            <w:vAlign w:val="center"/>
          </w:tcPr>
          <w:p>
            <w:pPr>
              <w:spacing w:after="0"/>
              <w:jc w:val="center"/>
            </w:pPr>
            <w:r>
              <w:t xml:space="preserve">55 min</w:t>
            </w:r>
          </w:p>
        </w:tc>
        <w:tc>
          <w:tcPr>
            <w:tcW w:w="2098" w:type="dxa"/>
          </w:tcPr>
          <w:p>
            <w:pPr>
              <w:spacing w:after="0"/>
            </w:pPr>
            <w:r>
              <w:t xml:space="preserve">Questionnaire corrigé</w:t>
            </w:r>
          </w:p>
        </w:tc>
      </w:tr>
      <w:tr>
        <w:trPr>
          <w:cantSplit/>
        </w:trPr>
        <w:tc>
          <w:tcPr>
            <w:tcW w:w="1814" w:type="dxa"/>
            <w:shd w:val="clear" w:color="auto" w:fill="FBE4D5"/>
          </w:tcPr>
          <w:p>
            <w:pPr>
              <w:spacing w:after="0"/>
            </w:pPr>
            <w:r>
              <w:rPr>
                <w:b/>
                <w:bCs/>
                <w:color w:val="833C0B"/>
              </w:rPr>
              <w:t xml:space="preserve">3. Les droits de l’homme</w:t>
            </w:r>
          </w:p>
        </w:tc>
        <w:tc>
          <w:tcPr>
            <w:tcW w:w="2495" w:type="dxa"/>
          </w:tcPr>
          <w:p>
            <w:pPr>
              <w:spacing w:after="0"/>
            </w:pPr>
            <w:r>
              <w:t xml:space="preserve">Étudier un texte fondateur et en dégager les idées principales.</w:t>
            </w:r>
          </w:p>
        </w:tc>
        <w:tc>
          <w:tcPr>
            <w:tcW w:w="5216" w:type="dxa"/>
          </w:tcPr>
          <w:p>
            <w:pPr>
              <w:numPr>
                <w:ilvl w:val="0"/>
                <w:numId w:val="2"/>
              </w:numPr>
              <w:spacing w:after="40"/>
            </w:pPr>
            <w:r>
              <w:t xml:space="preserve">Lecture à voix haute de quatre articles de la Déclaration de 1789.</w:t>
            </w:r>
          </w:p>
          <w:p>
            <w:pPr>
              <w:numPr>
                <w:ilvl w:val="0"/>
                <w:numId w:val="2"/>
              </w:numPr>
              <w:spacing w:after="40"/>
            </w:pPr>
            <w:r>
              <w:t xml:space="preserve">Reformulation en groupes, un article par groupe.</w:t>
            </w:r>
          </w:p>
          <w:p>
            <w:pPr>
              <w:numPr>
                <w:ilvl w:val="0"/>
                <w:numId w:val="2"/>
              </w:numPr>
              <w:spacing w:after="40"/>
            </w:pPr>
            <w:r>
              <w:t xml:space="preserve">Débat : « Ces droits sont-ils respectés aujourd’hui ? » (lien EMC).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rPr>
                <w:i/>
                <w:iCs/>
              </w:rPr>
              <w:t xml:space="preserve">Extraits de la Déclaration ; affiches</w:t>
            </w:r>
          </w:p>
        </w:tc>
        <w:tc>
          <w:tcPr>
            <w:tcW w:w="907" w:type="dxa"/>
            <w:vAlign w:val="center"/>
          </w:tcPr>
          <w:p>
            <w:pPr>
              <w:spacing w:after="0"/>
              <w:jc w:val="center"/>
            </w:pPr>
            <w:r>
              <w:t xml:space="preserve">1 h</w:t>
            </w:r>
          </w:p>
        </w:tc>
        <w:tc>
          <w:tcPr>
            <w:tcW w:w="2098" w:type="dxa"/>
          </w:tcPr>
          <w:p>
            <w:pPr>
              <w:spacing w:after="0"/>
            </w:pPr>
            <w:r>
              <w:t xml:space="preserve">Affiche de groupe</w:t>
            </w:r>
          </w:p>
        </w:tc>
      </w:tr>
      <w:tr>
        <w:trPr>
          <w:cantSplit/>
        </w:trPr>
        <w:tc>
          <w:tcPr>
            <w:tcW w:w="1814" w:type="dxa"/>
            <w:shd w:val="clear" w:color="auto" w:fill="FBE4D5"/>
          </w:tcPr>
          <w:p>
            <w:pPr>
              <w:spacing w:after="0"/>
            </w:pPr>
            <w:r>
              <w:rPr>
                <w:b/>
                <w:bCs/>
                <w:color w:val="833C0B"/>
              </w:rPr>
              <w:t xml:space="preserve">4. La fin de la monarchie</w:t>
            </w:r>
          </w:p>
        </w:tc>
        <w:tc>
          <w:tcPr>
            <w:tcW w:w="2495" w:type="dxa"/>
          </w:tcPr>
          <w:p>
            <w:pPr>
              <w:spacing w:after="0"/>
            </w:pPr>
            <w:r>
              <w:t xml:space="preserve">Comprendre le passage à la République (1792) et la période de la Terreur.</w:t>
            </w:r>
          </w:p>
        </w:tc>
        <w:tc>
          <w:tcPr>
            <w:tcW w:w="5216" w:type="dxa"/>
          </w:tcPr>
          <w:p>
            <w:pPr>
              <w:numPr>
                <w:ilvl w:val="0"/>
                <w:numId w:val="2"/>
              </w:numPr>
              <w:spacing w:after="40"/>
            </w:pPr>
            <w:r>
              <w:t xml:space="preserve">Étude d’une chronologie : fuite à Varennes, 10 août 1792, proclamation de la République.</w:t>
            </w:r>
          </w:p>
          <w:p>
            <w:pPr>
              <w:numPr>
                <w:ilvl w:val="0"/>
                <w:numId w:val="2"/>
              </w:numPr>
              <w:spacing w:after="40"/>
            </w:pPr>
            <w:r>
              <w:t xml:space="preserve">Analyse d’une gravure de l’exécution de Louis XVI : nature, date, point de vue.</w:t>
            </w:r>
          </w:p>
          <w:p>
            <w:pPr>
              <w:numPr>
                <w:ilvl w:val="0"/>
                <w:numId w:val="2"/>
              </w:numPr>
              <w:spacing w:after="40"/>
            </w:pPr>
            <w:r>
              <w:t xml:space="preserve">Trace écrite dictée à l’adulte.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rPr>
                <w:i/>
                <w:iCs/>
              </w:rPr>
              <w:t xml:space="preserve">Chronologie ; gravure</w:t>
            </w:r>
          </w:p>
        </w:tc>
        <w:tc>
          <w:tcPr>
            <w:tcW w:w="907" w:type="dxa"/>
            <w:vAlign w:val="center"/>
          </w:tcPr>
          <w:p>
            <w:pPr>
              <w:spacing w:after="0"/>
              <w:jc w:val="center"/>
            </w:pPr>
            <w:r>
              <w:t xml:space="preserve">50 min</w:t>
            </w:r>
          </w:p>
        </w:tc>
        <w:tc>
          <w:tcPr>
            <w:tcW w:w="2098" w:type="dxa"/>
          </w:tcPr>
          <w:p>
            <w:pPr>
              <w:spacing w:after="0"/>
            </w:pPr>
            <w:r>
              <w:t xml:space="preserve">Trace écrite</w:t>
            </w:r>
          </w:p>
        </w:tc>
      </w:tr>
      <w:tr>
        <w:trPr>
          <w:cantSplit/>
        </w:trPr>
        <w:tc>
          <w:tcPr>
            <w:tcW w:w="1814" w:type="dxa"/>
            <w:shd w:val="clear" w:color="auto" w:fill="FBE4D5"/>
          </w:tcPr>
          <w:p>
            <w:pPr>
              <w:spacing w:after="0"/>
            </w:pPr>
            <w:r>
              <w:rPr>
                <w:b/>
                <w:bCs/>
                <w:color w:val="833C0B"/>
              </w:rPr>
              <w:t xml:space="preserve">5. Napoléon Bonaparte</w:t>
            </w:r>
          </w:p>
        </w:tc>
        <w:tc>
          <w:tcPr>
            <w:tcW w:w="2495" w:type="dxa"/>
          </w:tcPr>
          <w:p>
            <w:pPr>
              <w:spacing w:after="0"/>
            </w:pPr>
            <w:r>
              <w:t xml:space="preserve">Identifier les grandes étapes du parcours de Napoléon et ses réformes.</w:t>
            </w:r>
          </w:p>
        </w:tc>
        <w:tc>
          <w:tcPr>
            <w:tcW w:w="5216" w:type="dxa"/>
          </w:tcPr>
          <w:p>
            <w:pPr>
              <w:numPr>
                <w:ilvl w:val="0"/>
                <w:numId w:val="2"/>
              </w:numPr>
              <w:spacing w:after="40"/>
            </w:pPr>
            <w:r>
              <w:t xml:space="preserve">Visionnage d’un extrait vidéo (4 min) puis questions orales.</w:t>
            </w:r>
          </w:p>
          <w:p>
            <w:pPr>
              <w:numPr>
                <w:ilvl w:val="0"/>
                <w:numId w:val="2"/>
              </w:numPr>
              <w:spacing w:after="40"/>
            </w:pPr>
            <w:r>
              <w:t xml:space="preserve">Lecture documentaire en groupes : le Code civil, les lycées, les préfets, le franc germinal.</w:t>
            </w:r>
          </w:p>
          <w:p>
            <w:pPr>
              <w:numPr>
                <w:ilvl w:val="0"/>
                <w:numId w:val="2"/>
              </w:numPr>
              <w:spacing w:after="40"/>
            </w:pPr>
            <w:r>
              <w:t xml:space="preserve">Chaque groupe présente « sa » réforme en une phrase.</w:t>
            </w:r>
          </w:p>
          <w:p>
            <w:pPr>
              <w:numPr>
                <w:ilvl w:val="0"/>
                <w:numId w:val="2"/>
              </w:numPr>
              <w:spacing w:after="40"/>
            </w:pPr>
            <w:r>
              <w:t xml:space="preserve">Placement des dates 1799, 1804, 1815 sur la frise de classe.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rPr>
                <w:i/>
                <w:iCs/>
              </w:rPr>
              <w:t xml:space="preserve">Vidéo ; fiches documentaires</w:t>
            </w:r>
          </w:p>
        </w:tc>
        <w:tc>
          <w:tcPr>
            <w:tcW w:w="907" w:type="dxa"/>
            <w:vAlign w:val="center"/>
          </w:tcPr>
          <w:p>
            <w:pPr>
              <w:spacing w:after="0"/>
              <w:jc w:val="center"/>
            </w:pPr>
            <w:r>
              <w:t xml:space="preserve">1 h</w:t>
            </w:r>
          </w:p>
        </w:tc>
        <w:tc>
          <w:tcPr>
            <w:tcW w:w="2098" w:type="dxa"/>
          </w:tcPr>
          <w:p>
            <w:pPr>
              <w:spacing w:after="0"/>
            </w:pPr>
            <w:r>
              <w:t xml:space="preserve">Présentation orale</w:t>
            </w:r>
          </w:p>
        </w:tc>
      </w:tr>
      <w:tr>
        <w:trPr>
          <w:cantSplit/>
        </w:trPr>
        <w:tc>
          <w:tcPr>
            <w:tcW w:w="1814" w:type="dxa"/>
            <w:shd w:val="clear" w:color="auto" w:fill="FBE4D5"/>
          </w:tcPr>
          <w:p>
            <w:pPr>
              <w:spacing w:after="0"/>
            </w:pPr>
            <w:r>
              <w:rPr>
                <w:b/>
                <w:bCs/>
                <w:color w:val="833C0B"/>
              </w:rPr>
              <w:t xml:space="preserve">6. Évaluation</w:t>
            </w:r>
          </w:p>
        </w:tc>
        <w:tc>
          <w:tcPr>
            <w:tcW w:w="2495" w:type="dxa"/>
          </w:tcPr>
          <w:p>
            <w:pPr>
              <w:spacing w:after="0"/>
            </w:pPr>
            <w:r>
              <w:t xml:space="preserve">Réinvestir les connaissances de la séquence.</w:t>
            </w:r>
          </w:p>
        </w:tc>
        <w:tc>
          <w:tcPr>
            <w:tcW w:w="5216" w:type="dxa"/>
          </w:tcPr>
          <w:p>
            <w:pPr>
              <w:numPr>
                <w:ilvl w:val="0"/>
                <w:numId w:val="2"/>
              </w:numPr>
              <w:spacing w:after="40"/>
            </w:pPr>
            <w:r>
              <w:t xml:space="preserve">Évaluation écrite : frise à compléter, vocabulaire, question rédigée.</w:t>
            </w:r>
          </w:p>
          <w:p>
            <w:pPr>
              <w:numPr>
                <w:ilvl w:val="0"/>
                <w:numId w:val="2"/>
              </w:numPr>
              <w:spacing w:after="40"/>
            </w:pPr>
            <w:r>
              <w:t xml:space="preserve">Auto-évaluation avec la grille de compétences.</w:t>
            </w:r>
          </w:p>
        </w:tc>
        <w:tc>
          <w:tcPr>
            <w:tcW w:w="2041" w:type="dxa"/>
          </w:tcPr>
          <w:p>
            <w:pPr>
              <w:spacing w:after="0"/>
            </w:pPr>
            <w:r>
              <w:rPr>
                <w:i/>
                <w:iCs/>
              </w:rPr>
              <w:t xml:space="preserve">Évaluation photocopiée</w:t>
            </w:r>
          </w:p>
        </w:tc>
        <w:tc>
          <w:tcPr>
            <w:tcW w:w="907" w:type="dxa"/>
            <w:vAlign w:val="center"/>
          </w:tcPr>
          <w:p>
            <w:pPr>
              <w:spacing w:after="0"/>
              <w:jc w:val="center"/>
            </w:pPr>
            <w:r>
              <w:t xml:space="preserve">45 min</w:t>
            </w:r>
          </w:p>
        </w:tc>
        <w:tc>
          <w:tcPr>
            <w:tcW w:w="2098" w:type="dxa"/>
          </w:tcPr>
          <w:p>
            <w:pPr>
              <w:spacing w:after="0"/>
            </w:pPr>
            <w:r>
              <w:t xml:space="preserve">Évaluation sommative</w:t>
            </w:r>
          </w:p>
        </w:tc>
      </w:tr>
    </w:tbl>
    <w:p>
      <w:pPr>
        <w:spacing w:after="0"/>
        <w:sectPr>
          <w:headerReference w:type="default" r:id="rId9"/>
          <w:footerReference w:type="default" r:id="rId11"/>
          <w:pgSz w:w="16838" w:h="11906" w:orient="landscape"/>
          <w:pgMar w:top="1134" w:right="1134" w:bottom="1021" w:left="1134" w:header="567" w:footer="510" w:gutter="0"/>
          <w:cols w:space="708"/>
          <w:docGrid w:linePitch="360"/>
        </w:sectPr>
      </w:pPr>
    </w:p>
    <w:p>
      <w:pPr>
        <w:pStyle w:val="Titre1"/>
      </w:pPr>
      <w:r>
        <w:t xml:space="preserve">Trace écrite finale</w:t>
      </w:r>
    </w:p>
    <w:p>
      <w:pPr>
        <w:pBdr>
          <w:top w:val="double" w:sz="6" w:space="8" w:color="833C0B"/>
          <w:left w:val="double" w:sz="6" w:space="8" w:color="833C0B"/>
          <w:bottom w:val="double" w:sz="6" w:space="8" w:color="833C0B"/>
          <w:right w:val="double" w:sz="6" w:space="8" w:color="833C0B"/>
        </w:pBdr>
        <w:shd w:val="clear" w:color="auto" w:fill="FFF8F2"/>
        <w:ind w:left="227" w:right="227"/>
        <w:jc w:val="both"/>
      </w:pPr>
      <w:r>
        <w:t xml:space="preserve">En </w:t>
      </w:r>
      <w:r>
        <w:rPr>
          <w:b/>
          <w:bCs/>
        </w:rPr>
        <w:t xml:space="preserve">1789</w:t>
      </w:r>
      <w:r>
        <w:t xml:space="preserve">, les Français réunis aux États généraux réclament des changements. Le 14 juillet, le peuple de Paris prend la Bastille. En août, les députés abolissent les privilèges et adoptent la </w:t>
      </w:r>
      <w:r>
        <w:rPr>
          <w:b/>
          <w:bCs/>
        </w:rPr>
        <w:t xml:space="preserve">Déclaration des droits de l’homme et du citoyen</w:t>
      </w:r>
      <w:r>
        <w:t xml:space="preserve">. En </w:t>
      </w:r>
      <w:r>
        <w:rPr>
          <w:b/>
          <w:bCs/>
        </w:rPr>
        <w:t xml:space="preserve">1792</w:t>
      </w:r>
      <w:r>
        <w:t xml:space="preserve">, la monarchie est abolie et la République proclamée. Après des années de guerre et de troubles, le général </w:t>
      </w:r>
      <w:r>
        <w:rPr>
          <w:b/>
          <w:bCs/>
        </w:rPr>
        <w:t xml:space="preserve">Napoléon Bonaparte</w:t>
      </w:r>
      <w:r>
        <w:t xml:space="preserve"> prend le pouvoir en </w:t>
      </w:r>
      <w:r>
        <w:rPr>
          <w:b/>
          <w:bCs/>
        </w:rPr>
        <w:t xml:space="preserve">1799</w:t>
      </w:r>
      <w:r>
        <w:t xml:space="preserve"> puis devient empereur en </w:t>
      </w:r>
      <w:r>
        <w:rPr>
          <w:b/>
          <w:bCs/>
        </w:rPr>
        <w:t xml:space="preserve">1804</w:t>
      </w:r>
      <w:r>
        <w:t xml:space="preserve">. Il crée le Code civil, les lycées et les préfets. Il est vaincu à Waterloo en </w:t>
      </w:r>
      <w:r>
        <w:rPr>
          <w:b/>
          <w:bCs/>
        </w:rPr>
        <w:t xml:space="preserve">1815</w:t>
      </w:r>
      <w:r>
        <w:t xml:space="preserve">.</w:t>
      </w:r>
    </w:p>
    <w:p>
      <w:pPr>
        <w:pStyle w:val="Titre1"/>
      </w:pPr>
      <w:r>
        <w:t xml:space="preserve">Différenciation</w:t>
      </w:r>
    </w:p>
    <w:p>
      <w:pPr>
        <w:numPr>
          <w:ilvl w:val="0"/>
          <w:numId w:val="3"/>
        </w:numPr>
      </w:pPr>
      <w:r>
        <w:t xml:space="preserve">Élèves en difficulté de lecture : textes enregistrés, police agrandie, frise pré-remplie.</w:t>
      </w:r>
    </w:p>
    <w:p>
      <w:pPr>
        <w:numPr>
          <w:ilvl w:val="0"/>
          <w:numId w:val="3"/>
        </w:numPr>
      </w:pPr>
      <w:r>
        <w:t xml:space="preserve">Élèves rapides : enquête sur un personnage (Olympe de Gouges, Lafayette, Robespierre).</w:t>
      </w:r>
    </w:p>
    <w:p>
      <w:pPr>
        <w:numPr>
          <w:ilvl w:val="0"/>
          <w:numId w:val="3"/>
        </w:numPr>
      </w:pPr>
      <w:r>
        <w:t xml:space="preserve">Élève allophone : lexique illustré bilingue.</w:t>
      </w:r>
    </w:p>
    <w:p>
      <w:pPr>
        <w:pStyle w:val="Titre1"/>
      </w:pPr>
      <w:r>
        <w:t xml:space="preserve">Ressources</w:t>
      </w:r>
    </w:p>
    <w:p>
      <w:r>
        <w:t xml:space="preserve">Programme du cycle 3 : </w:t>
      </w:r>
      <w:hyperlink r:id="rId12" w:history="1">
        <w:r>
          <w:rPr>
            <w:rStyle w:val="Lienhypertexte"/>
          </w:rPr>
          <w:t xml:space="preserve">eduscol.education.fr</w:t>
        </w:r>
      </w:hyperlink>
      <w:r>
        <w:t xml:space="preserve"> (consulté le 2 janvier 2026).</w:t>
      </w:r>
    </w:p>
    <w:sectPr>
      <w:headerReference w:type="default" r:id="rId4"/>
      <w:footerReference w:type="default" r:id="rId10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  <w:font w:name="Cambria Math">
    <w:panose1 w:val="020405030504060302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  <w:font w:name="Symbol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Wingding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9639"/>
      </w:tabs>
    </w:pPr>
    <w:r>
      <w:rPr>
        <w:sz w:val="16"/>
        <w:szCs w:val="16"/>
      </w:rPr>
      <w:t xml:space="preserve">École élémentaire des Tilleuls</w:t>
    </w:r>
    <w: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 xml:space="preserve">1</w:t>
    </w:r>
    <w:r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4572"/>
      </w:tabs>
    </w:pPr>
    <w:r>
      <w:rPr>
        <w:sz w:val="16"/>
        <w:szCs w:val="16"/>
      </w:rPr>
      <w:t xml:space="preserve">École élémentaire des Tilleuls</w:t>
    </w:r>
    <w: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 xml:space="preserve">1</w:t>
    </w:r>
    <w:r>
      <w:rPr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jc w:val="right"/>
    </w:pPr>
    <w:r>
      <w:rPr>
        <w:i/>
        <w:iCs/>
        <w:color w:val="7F7F7F"/>
        <w:sz w:val="16"/>
        <w:szCs w:val="16"/>
      </w:rPr>
      <w:t xml:space="preserve">Document de préparation – à usage de l’enseignant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pBdr>
        <w:bottom w:val="single" w:sz="4" w:space="1" w:color="833C0B"/>
      </w:pBdr>
      <w:tabs>
        <w:tab w:val="clear" w:pos="4536"/>
        <w:tab w:val="clear" w:pos="9072"/>
        <w:tab w:val="right" w:pos="9639"/>
      </w:tabs>
    </w:pPr>
    <w:r>
      <w:rPr>
        <w:b/>
        <w:bCs/>
        <w:color w:val="833C0B"/>
        <w:sz w:val="18"/>
        <w:szCs w:val="18"/>
      </w:rPr>
      <w:t xml:space="preserve">Histoire – CM2 – Période 3</w:t>
    </w:r>
    <w:r>
      <w:tab/>
    </w:r>
    <w:r>
      <w:rPr>
        <w:color w:val="833C0B"/>
        <w:sz w:val="18"/>
        <w:szCs w:val="18"/>
      </w:rPr>
      <w:t xml:space="preserve">Séquence : La Révolution française et l’Empire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pBdr>
        <w:bottom w:val="single" w:sz="4" w:space="1" w:color="833C0B"/>
      </w:pBdr>
      <w:tabs>
        <w:tab w:val="clear" w:pos="4536"/>
        <w:tab w:val="clear" w:pos="9072"/>
        <w:tab w:val="right" w:pos="14572"/>
      </w:tabs>
    </w:pPr>
    <w:r>
      <w:rPr>
        <w:b/>
        <w:bCs/>
        <w:color w:val="833C0B"/>
        <w:sz w:val="18"/>
        <w:szCs w:val="18"/>
      </w:rPr>
      <w:t xml:space="preserve">Histoire – CM2 – Période 3</w:t>
    </w:r>
    <w:r>
      <w:tab/>
    </w:r>
    <w:r>
      <w:rPr>
        <w:color w:val="833C0B"/>
        <w:sz w:val="18"/>
        <w:szCs w:val="18"/>
      </w:rPr>
      <w:t xml:space="preserve">Séquence : La Révolution française et l’Empire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48235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548235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548235"/>
      </w:rPr>
    </w:lvl>
    <w:lvl w:ilvl="3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  <w:color w:val="548235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  <w:color w:val="548235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548235"/>
      </w:rPr>
    </w:lvl>
    <w:lvl w:ilvl="6">
      <w:start w:val="1"/>
      <w:numFmt w:val="bullet"/>
      <w:lvlText w:val=""/>
      <w:lvlJc w:val="left"/>
      <w:pPr>
        <w:ind w:left="5040" w:hanging="360"/>
      </w:pPr>
      <w:rPr>
        <w:rFonts w:ascii="Wingdings" w:hAnsi="Wingdings" w:hint="default"/>
        <w:color w:val="548235"/>
      </w:rPr>
    </w:lvl>
    <w:lvl w:ilvl="7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  <w:color w:val="548235"/>
      </w:rPr>
    </w:lvl>
    <w:lvl w:ilvl="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  <w:color w:val="548235"/>
      </w:r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04" w:hanging="28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724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44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164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88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04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324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044" w:hanging="284"/>
      </w:pPr>
      <w:rPr>
        <w:rFonts w:ascii="Wingdings" w:hAnsi="Wingdings" w:hint="default"/>
      </w:rPr>
    </w:lvl>
  </w:abstractNum>
  <w:abstractNum w:abstractNumId="2" w15:restartNumberingAfterBreak="0">
    <w:nsid w:val="1A2B3DDE"/>
    <w:multiLevelType w:val="hybridMultilevel"/>
    <w:tmpl w:val="5C4032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80"/>
      <w:outlineLvl w:val="0"/>
    </w:pPr>
    <w:rPr>
      <w:rFonts w:asciiTheme="majorHAnsi" w:hAnsiTheme="majorHAnsi" w:eastAsiaTheme="majorEastAsia" w:cstheme="majorBidi"/>
      <w:color w:val="833C0B"/>
      <w:sz w:val="28"/>
      <w:szCs w:val="28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Theme="majorEastAsia" w:cstheme="majorBidi"/>
      <w:color w:val="833C0B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160" w:after="40"/>
      <w:outlineLvl w:val="1"/>
    </w:pPr>
    <w:rPr>
      <w:rFonts w:asciiTheme="majorHAnsi" w:hAnsiTheme="majorHAnsi" w:eastAsiaTheme="majorEastAsia" w:cstheme="majorBidi"/>
      <w:color w:val="C55A11"/>
      <w:sz w:val="24"/>
      <w:szCs w:val="24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Theme="majorEastAsia" w:cstheme="majorBidi"/>
      <w:color w:val="C55A11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Theme="majorEastAsia" w:cstheme="majorBidi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eduscol.education.f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Séquence – La Révolution française – CM2</dc:title>
  <dc:subject>Histoire CM2</dc:subject>
  <dc:creator>Corpus provisoire ElixirOffice (contenu fictif)</dc:creator>
  <cp:keywords>séquence; préparation; cycle 3</cp:keywords>
  <dc:description>Document genere - corpus provisoire, a remplacer par les documents reels.</dc:description>
  <cp:lastModifiedBy>Corpus provisoire ElixirOffice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